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lang w:eastAsia="en-US"/>
        </w:rPr>
        <w:id w:val="-158383104"/>
        <w:docPartObj>
          <w:docPartGallery w:val="Table of Contents"/>
          <w:docPartUnique/>
        </w:docPartObj>
      </w:sdtPr>
      <w:sdtEndPr>
        <w:rPr>
          <w:noProof/>
        </w:rPr>
      </w:sdtEndPr>
      <w:sdtContent>
        <w:p w:rsidR="00DC1D13" w:rsidRPr="007B764E" w:rsidRDefault="00DC1D13" w:rsidP="007B764E">
          <w:pPr>
            <w:pStyle w:val="TOCHeading"/>
            <w:suppressLineNumbers/>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3879BC" w:rsidRDefault="00830A7C" w:rsidP="009E199C">
          <w:pPr>
            <w:pStyle w:val="TOC1"/>
            <w:suppressLineNumbers/>
            <w:tabs>
              <w:tab w:val="right" w:leader="dot" w:pos="8990"/>
            </w:tabs>
            <w:spacing w:after="0" w:line="360" w:lineRule="auto"/>
            <w:rPr>
              <w:rFonts w:asciiTheme="minorHAnsi" w:eastAsiaTheme="minorEastAsia" w:hAnsiTheme="minorHAnsi" w:cstheme="minorBidi"/>
              <w:noProof/>
              <w:sz w:val="22"/>
              <w:szCs w:val="22"/>
            </w:rPr>
          </w:pPr>
          <w:r w:rsidRPr="00830A7C">
            <w:fldChar w:fldCharType="begin"/>
          </w:r>
          <w:r w:rsidR="00DC1D13">
            <w:instrText xml:space="preserve"> TOC \o "1-3" \h \z \u </w:instrText>
          </w:r>
          <w:r w:rsidRPr="00830A7C">
            <w:fldChar w:fldCharType="separate"/>
          </w:r>
          <w:hyperlink w:anchor="_Toc363024790" w:history="1">
            <w:r w:rsidR="003879BC" w:rsidRPr="00DB3D30">
              <w:rPr>
                <w:rStyle w:val="Hyperlink"/>
                <w:noProof/>
              </w:rPr>
              <w:t>PURPOSE AND SUMMARY OF TESTIMONY</w:t>
            </w:r>
            <w:r w:rsidR="003879BC">
              <w:rPr>
                <w:noProof/>
                <w:webHidden/>
              </w:rPr>
              <w:tab/>
            </w:r>
            <w:r>
              <w:rPr>
                <w:noProof/>
                <w:webHidden/>
              </w:rPr>
              <w:fldChar w:fldCharType="begin"/>
            </w:r>
            <w:r w:rsidR="003879BC">
              <w:rPr>
                <w:noProof/>
                <w:webHidden/>
              </w:rPr>
              <w:instrText xml:space="preserve"> PAGEREF _Toc363024790 \h </w:instrText>
            </w:r>
            <w:r>
              <w:rPr>
                <w:noProof/>
                <w:webHidden/>
              </w:rPr>
            </w:r>
            <w:r>
              <w:rPr>
                <w:noProof/>
                <w:webHidden/>
              </w:rPr>
              <w:fldChar w:fldCharType="separate"/>
            </w:r>
            <w:r w:rsidR="009E199C">
              <w:rPr>
                <w:noProof/>
                <w:webHidden/>
              </w:rPr>
              <w:t>1</w:t>
            </w:r>
            <w:r>
              <w:rPr>
                <w:noProof/>
                <w:webHidden/>
              </w:rPr>
              <w:fldChar w:fldCharType="end"/>
            </w:r>
          </w:hyperlink>
        </w:p>
        <w:p w:rsidR="003879BC" w:rsidRDefault="00830A7C" w:rsidP="009E199C">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1" w:history="1">
            <w:r w:rsidR="003879BC" w:rsidRPr="00DB3D30">
              <w:rPr>
                <w:rStyle w:val="Hyperlink"/>
                <w:noProof/>
              </w:rPr>
              <w:t>REVENUE REQUIREMENT INCREASE</w:t>
            </w:r>
            <w:r w:rsidR="003879BC">
              <w:rPr>
                <w:noProof/>
                <w:webHidden/>
              </w:rPr>
              <w:tab/>
            </w:r>
            <w:r>
              <w:rPr>
                <w:noProof/>
                <w:webHidden/>
              </w:rPr>
              <w:fldChar w:fldCharType="begin"/>
            </w:r>
            <w:r w:rsidR="003879BC">
              <w:rPr>
                <w:noProof/>
                <w:webHidden/>
              </w:rPr>
              <w:instrText xml:space="preserve"> PAGEREF _Toc363024791 \h </w:instrText>
            </w:r>
            <w:r>
              <w:rPr>
                <w:noProof/>
                <w:webHidden/>
              </w:rPr>
            </w:r>
            <w:r>
              <w:rPr>
                <w:noProof/>
                <w:webHidden/>
              </w:rPr>
              <w:fldChar w:fldCharType="separate"/>
            </w:r>
            <w:r w:rsidR="009E199C">
              <w:rPr>
                <w:noProof/>
                <w:webHidden/>
              </w:rPr>
              <w:t>2</w:t>
            </w:r>
            <w:r>
              <w:rPr>
                <w:noProof/>
                <w:webHidden/>
              </w:rPr>
              <w:fldChar w:fldCharType="end"/>
            </w:r>
          </w:hyperlink>
        </w:p>
        <w:p w:rsidR="003879BC" w:rsidRDefault="00830A7C" w:rsidP="009E199C">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2" w:history="1">
            <w:r w:rsidR="003879BC" w:rsidRPr="00DB3D30">
              <w:rPr>
                <w:rStyle w:val="Hyperlink"/>
                <w:noProof/>
              </w:rPr>
              <w:t>REVENUE REQUIREMENT ADJUSTMENTS</w:t>
            </w:r>
            <w:r w:rsidR="003879BC">
              <w:rPr>
                <w:noProof/>
                <w:webHidden/>
              </w:rPr>
              <w:tab/>
            </w:r>
            <w:r>
              <w:rPr>
                <w:noProof/>
                <w:webHidden/>
              </w:rPr>
              <w:fldChar w:fldCharType="begin"/>
            </w:r>
            <w:r w:rsidR="003879BC">
              <w:rPr>
                <w:noProof/>
                <w:webHidden/>
              </w:rPr>
              <w:instrText xml:space="preserve"> PAGEREF _Toc363024792 \h </w:instrText>
            </w:r>
            <w:r>
              <w:rPr>
                <w:noProof/>
                <w:webHidden/>
              </w:rPr>
            </w:r>
            <w:r>
              <w:rPr>
                <w:noProof/>
                <w:webHidden/>
              </w:rPr>
              <w:fldChar w:fldCharType="separate"/>
            </w:r>
            <w:r w:rsidR="009E199C">
              <w:rPr>
                <w:noProof/>
                <w:webHidden/>
              </w:rPr>
              <w:t>3</w:t>
            </w:r>
            <w:r>
              <w:rPr>
                <w:noProof/>
                <w:webHidden/>
              </w:rPr>
              <w:fldChar w:fldCharType="end"/>
            </w:r>
          </w:hyperlink>
        </w:p>
        <w:p w:rsidR="003879BC" w:rsidRDefault="00830A7C" w:rsidP="009E199C">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3" w:history="1">
            <w:r w:rsidR="003879BC" w:rsidRPr="00DB3D30">
              <w:rPr>
                <w:rStyle w:val="Hyperlink"/>
                <w:noProof/>
              </w:rPr>
              <w:t>ADJUSTMENTS TO THE COMPANY’S INITIAL FILING</w:t>
            </w:r>
            <w:r w:rsidR="003879BC">
              <w:rPr>
                <w:noProof/>
                <w:webHidden/>
              </w:rPr>
              <w:tab/>
            </w:r>
            <w:r>
              <w:rPr>
                <w:noProof/>
                <w:webHidden/>
              </w:rPr>
              <w:fldChar w:fldCharType="begin"/>
            </w:r>
            <w:r w:rsidR="003879BC">
              <w:rPr>
                <w:noProof/>
                <w:webHidden/>
              </w:rPr>
              <w:instrText xml:space="preserve"> PAGEREF _Toc363024793 \h </w:instrText>
            </w:r>
            <w:r>
              <w:rPr>
                <w:noProof/>
                <w:webHidden/>
              </w:rPr>
            </w:r>
            <w:r>
              <w:rPr>
                <w:noProof/>
                <w:webHidden/>
              </w:rPr>
              <w:fldChar w:fldCharType="separate"/>
            </w:r>
            <w:r w:rsidR="009E199C">
              <w:rPr>
                <w:noProof/>
                <w:webHidden/>
              </w:rPr>
              <w:t>4</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4" w:history="1">
            <w:r w:rsidR="003879BC" w:rsidRPr="00DB3D30">
              <w:rPr>
                <w:rStyle w:val="Hyperlink"/>
                <w:noProof/>
              </w:rPr>
              <w:t>COST OF CAPITAL</w:t>
            </w:r>
            <w:r w:rsidR="003879BC">
              <w:rPr>
                <w:noProof/>
                <w:webHidden/>
              </w:rPr>
              <w:tab/>
            </w:r>
            <w:r>
              <w:rPr>
                <w:noProof/>
                <w:webHidden/>
              </w:rPr>
              <w:fldChar w:fldCharType="begin"/>
            </w:r>
            <w:r w:rsidR="003879BC">
              <w:rPr>
                <w:noProof/>
                <w:webHidden/>
              </w:rPr>
              <w:instrText xml:space="preserve"> PAGEREF _Toc363024794 \h </w:instrText>
            </w:r>
            <w:r>
              <w:rPr>
                <w:noProof/>
                <w:webHidden/>
              </w:rPr>
            </w:r>
            <w:r>
              <w:rPr>
                <w:noProof/>
                <w:webHidden/>
              </w:rPr>
              <w:fldChar w:fldCharType="separate"/>
            </w:r>
            <w:r w:rsidR="009E199C">
              <w:rPr>
                <w:noProof/>
                <w:webHidden/>
              </w:rPr>
              <w:t>4</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5" w:history="1">
            <w:r w:rsidR="003879BC" w:rsidRPr="00DB3D30">
              <w:rPr>
                <w:rStyle w:val="Hyperlink"/>
                <w:noProof/>
              </w:rPr>
              <w:t>NET-TO-GROSS CONVERSION FACTOR</w:t>
            </w:r>
            <w:r w:rsidR="003879BC">
              <w:rPr>
                <w:noProof/>
                <w:webHidden/>
              </w:rPr>
              <w:tab/>
            </w:r>
            <w:r>
              <w:rPr>
                <w:noProof/>
                <w:webHidden/>
              </w:rPr>
              <w:fldChar w:fldCharType="begin"/>
            </w:r>
            <w:r w:rsidR="003879BC">
              <w:rPr>
                <w:noProof/>
                <w:webHidden/>
              </w:rPr>
              <w:instrText xml:space="preserve"> PAGEREF _Toc363024795 \h </w:instrText>
            </w:r>
            <w:r>
              <w:rPr>
                <w:noProof/>
                <w:webHidden/>
              </w:rPr>
            </w:r>
            <w:r>
              <w:rPr>
                <w:noProof/>
                <w:webHidden/>
              </w:rPr>
              <w:fldChar w:fldCharType="separate"/>
            </w:r>
            <w:r w:rsidR="009E199C">
              <w:rPr>
                <w:noProof/>
                <w:webHidden/>
              </w:rPr>
              <w:t>4</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6" w:history="1">
            <w:r w:rsidR="003879BC" w:rsidRPr="00DB3D30">
              <w:rPr>
                <w:rStyle w:val="Hyperlink"/>
                <w:noProof/>
              </w:rPr>
              <w:t>FEDERAL ENERGY REGULATORY COMMISSION (FERC) SETTLEMENT</w:t>
            </w:r>
            <w:r w:rsidR="003879BC">
              <w:rPr>
                <w:noProof/>
                <w:webHidden/>
              </w:rPr>
              <w:tab/>
            </w:r>
            <w:r>
              <w:rPr>
                <w:noProof/>
                <w:webHidden/>
              </w:rPr>
              <w:fldChar w:fldCharType="begin"/>
            </w:r>
            <w:r w:rsidR="003879BC">
              <w:rPr>
                <w:noProof/>
                <w:webHidden/>
              </w:rPr>
              <w:instrText xml:space="preserve"> PAGEREF _Toc363024796 \h </w:instrText>
            </w:r>
            <w:r>
              <w:rPr>
                <w:noProof/>
                <w:webHidden/>
              </w:rPr>
            </w:r>
            <w:r>
              <w:rPr>
                <w:noProof/>
                <w:webHidden/>
              </w:rPr>
              <w:fldChar w:fldCharType="separate"/>
            </w:r>
            <w:r w:rsidR="009E199C">
              <w:rPr>
                <w:noProof/>
                <w:webHidden/>
              </w:rPr>
              <w:t>5</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7" w:history="1">
            <w:r w:rsidR="003879BC" w:rsidRPr="00DB3D30">
              <w:rPr>
                <w:rStyle w:val="Hyperlink"/>
                <w:noProof/>
              </w:rPr>
              <w:t>SCHEDULE 300/RULE 6 MODIFICATIONS</w:t>
            </w:r>
            <w:r w:rsidR="003879BC">
              <w:rPr>
                <w:noProof/>
                <w:webHidden/>
              </w:rPr>
              <w:tab/>
            </w:r>
            <w:r>
              <w:rPr>
                <w:noProof/>
                <w:webHidden/>
              </w:rPr>
              <w:fldChar w:fldCharType="begin"/>
            </w:r>
            <w:r w:rsidR="003879BC">
              <w:rPr>
                <w:noProof/>
                <w:webHidden/>
              </w:rPr>
              <w:instrText xml:space="preserve"> PAGEREF _Toc363024797 \h </w:instrText>
            </w:r>
            <w:r>
              <w:rPr>
                <w:noProof/>
                <w:webHidden/>
              </w:rPr>
            </w:r>
            <w:r>
              <w:rPr>
                <w:noProof/>
                <w:webHidden/>
              </w:rPr>
              <w:fldChar w:fldCharType="separate"/>
            </w:r>
            <w:r w:rsidR="009E199C">
              <w:rPr>
                <w:noProof/>
                <w:webHidden/>
              </w:rPr>
              <w:t>6</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8" w:history="1">
            <w:r w:rsidR="003879BC" w:rsidRPr="00DB3D30">
              <w:rPr>
                <w:rStyle w:val="Hyperlink"/>
                <w:noProof/>
              </w:rPr>
              <w:t>JIM BRIDGER TURBINE WRITE-OFF</w:t>
            </w:r>
            <w:r w:rsidR="003879BC">
              <w:rPr>
                <w:noProof/>
                <w:webHidden/>
              </w:rPr>
              <w:tab/>
            </w:r>
            <w:r>
              <w:rPr>
                <w:noProof/>
                <w:webHidden/>
              </w:rPr>
              <w:fldChar w:fldCharType="begin"/>
            </w:r>
            <w:r w:rsidR="003879BC">
              <w:rPr>
                <w:noProof/>
                <w:webHidden/>
              </w:rPr>
              <w:instrText xml:space="preserve"> PAGEREF _Toc363024798 \h </w:instrText>
            </w:r>
            <w:r>
              <w:rPr>
                <w:noProof/>
                <w:webHidden/>
              </w:rPr>
            </w:r>
            <w:r>
              <w:rPr>
                <w:noProof/>
                <w:webHidden/>
              </w:rPr>
              <w:fldChar w:fldCharType="separate"/>
            </w:r>
            <w:r w:rsidR="009E199C">
              <w:rPr>
                <w:noProof/>
                <w:webHidden/>
              </w:rPr>
              <w:t>6</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799" w:history="1">
            <w:r w:rsidR="003879BC" w:rsidRPr="00DB3D30">
              <w:rPr>
                <w:rStyle w:val="Hyperlink"/>
                <w:noProof/>
              </w:rPr>
              <w:t>INSURANCE EXPENSE</w:t>
            </w:r>
            <w:r w:rsidR="003879BC">
              <w:rPr>
                <w:noProof/>
                <w:webHidden/>
              </w:rPr>
              <w:tab/>
            </w:r>
            <w:r>
              <w:rPr>
                <w:noProof/>
                <w:webHidden/>
              </w:rPr>
              <w:fldChar w:fldCharType="begin"/>
            </w:r>
            <w:r w:rsidR="003879BC">
              <w:rPr>
                <w:noProof/>
                <w:webHidden/>
              </w:rPr>
              <w:instrText xml:space="preserve"> PAGEREF _Toc363024799 \h </w:instrText>
            </w:r>
            <w:r>
              <w:rPr>
                <w:noProof/>
                <w:webHidden/>
              </w:rPr>
            </w:r>
            <w:r>
              <w:rPr>
                <w:noProof/>
                <w:webHidden/>
              </w:rPr>
              <w:fldChar w:fldCharType="separate"/>
            </w:r>
            <w:r w:rsidR="009E199C">
              <w:rPr>
                <w:noProof/>
                <w:webHidden/>
              </w:rPr>
              <w:t>7</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0" w:history="1">
            <w:r w:rsidR="003879BC" w:rsidRPr="00DB3D30">
              <w:rPr>
                <w:rStyle w:val="Hyperlink"/>
                <w:noProof/>
              </w:rPr>
              <w:t>UNCOLLECTIBLE EXPENSE</w:t>
            </w:r>
            <w:r w:rsidR="003879BC">
              <w:rPr>
                <w:noProof/>
                <w:webHidden/>
              </w:rPr>
              <w:tab/>
            </w:r>
            <w:r>
              <w:rPr>
                <w:noProof/>
                <w:webHidden/>
              </w:rPr>
              <w:fldChar w:fldCharType="begin"/>
            </w:r>
            <w:r w:rsidR="003879BC">
              <w:rPr>
                <w:noProof/>
                <w:webHidden/>
              </w:rPr>
              <w:instrText xml:space="preserve"> PAGEREF _Toc363024800 \h </w:instrText>
            </w:r>
            <w:r>
              <w:rPr>
                <w:noProof/>
                <w:webHidden/>
              </w:rPr>
            </w:r>
            <w:r>
              <w:rPr>
                <w:noProof/>
                <w:webHidden/>
              </w:rPr>
              <w:fldChar w:fldCharType="separate"/>
            </w:r>
            <w:r w:rsidR="009E199C">
              <w:rPr>
                <w:noProof/>
                <w:webHidden/>
              </w:rPr>
              <w:t>8</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1" w:history="1">
            <w:r w:rsidR="003879BC" w:rsidRPr="00DB3D30">
              <w:rPr>
                <w:rStyle w:val="Hyperlink"/>
                <w:noProof/>
              </w:rPr>
              <w:t>OPERATION AND MAINTENANCE EFFICIENCY</w:t>
            </w:r>
            <w:r w:rsidR="003879BC">
              <w:rPr>
                <w:noProof/>
                <w:webHidden/>
              </w:rPr>
              <w:tab/>
            </w:r>
            <w:r>
              <w:rPr>
                <w:noProof/>
                <w:webHidden/>
              </w:rPr>
              <w:fldChar w:fldCharType="begin"/>
            </w:r>
            <w:r w:rsidR="003879BC">
              <w:rPr>
                <w:noProof/>
                <w:webHidden/>
              </w:rPr>
              <w:instrText xml:space="preserve"> PAGEREF _Toc363024801 \h </w:instrText>
            </w:r>
            <w:r>
              <w:rPr>
                <w:noProof/>
                <w:webHidden/>
              </w:rPr>
            </w:r>
            <w:r>
              <w:rPr>
                <w:noProof/>
                <w:webHidden/>
              </w:rPr>
              <w:fldChar w:fldCharType="separate"/>
            </w:r>
            <w:r w:rsidR="009E199C">
              <w:rPr>
                <w:noProof/>
                <w:webHidden/>
              </w:rPr>
              <w:t>9</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2" w:history="1">
            <w:r w:rsidR="003879BC" w:rsidRPr="00DB3D30">
              <w:rPr>
                <w:rStyle w:val="Hyperlink"/>
                <w:noProof/>
              </w:rPr>
              <w:t>NET POWER COSTS</w:t>
            </w:r>
            <w:r w:rsidR="003879BC">
              <w:rPr>
                <w:noProof/>
                <w:webHidden/>
              </w:rPr>
              <w:tab/>
            </w:r>
            <w:r>
              <w:rPr>
                <w:noProof/>
                <w:webHidden/>
              </w:rPr>
              <w:fldChar w:fldCharType="begin"/>
            </w:r>
            <w:r w:rsidR="003879BC">
              <w:rPr>
                <w:noProof/>
                <w:webHidden/>
              </w:rPr>
              <w:instrText xml:space="preserve"> PAGEREF _Toc363024802 \h </w:instrText>
            </w:r>
            <w:r>
              <w:rPr>
                <w:noProof/>
                <w:webHidden/>
              </w:rPr>
            </w:r>
            <w:r>
              <w:rPr>
                <w:noProof/>
                <w:webHidden/>
              </w:rPr>
              <w:fldChar w:fldCharType="separate"/>
            </w:r>
            <w:r w:rsidR="009E199C">
              <w:rPr>
                <w:noProof/>
                <w:webHidden/>
              </w:rPr>
              <w:t>9</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3" w:history="1">
            <w:r w:rsidR="003879BC" w:rsidRPr="00DB3D30">
              <w:rPr>
                <w:rStyle w:val="Hyperlink"/>
                <w:noProof/>
              </w:rPr>
              <w:t>HYDRO DECOMMISSIONING</w:t>
            </w:r>
            <w:r w:rsidR="003879BC">
              <w:rPr>
                <w:noProof/>
                <w:webHidden/>
              </w:rPr>
              <w:tab/>
            </w:r>
            <w:r>
              <w:rPr>
                <w:noProof/>
                <w:webHidden/>
              </w:rPr>
              <w:fldChar w:fldCharType="begin"/>
            </w:r>
            <w:r w:rsidR="003879BC">
              <w:rPr>
                <w:noProof/>
                <w:webHidden/>
              </w:rPr>
              <w:instrText xml:space="preserve"> PAGEREF _Toc363024803 \h </w:instrText>
            </w:r>
            <w:r>
              <w:rPr>
                <w:noProof/>
                <w:webHidden/>
              </w:rPr>
            </w:r>
            <w:r>
              <w:rPr>
                <w:noProof/>
                <w:webHidden/>
              </w:rPr>
              <w:fldChar w:fldCharType="separate"/>
            </w:r>
            <w:r w:rsidR="009E199C">
              <w:rPr>
                <w:noProof/>
                <w:webHidden/>
              </w:rPr>
              <w:t>10</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4" w:history="1">
            <w:r w:rsidR="003879BC" w:rsidRPr="00DB3D30">
              <w:rPr>
                <w:rStyle w:val="Hyperlink"/>
                <w:noProof/>
              </w:rPr>
              <w:t>DEPRECIATION EXPENSE</w:t>
            </w:r>
            <w:r w:rsidR="003879BC">
              <w:rPr>
                <w:noProof/>
                <w:webHidden/>
              </w:rPr>
              <w:tab/>
            </w:r>
            <w:r>
              <w:rPr>
                <w:noProof/>
                <w:webHidden/>
              </w:rPr>
              <w:fldChar w:fldCharType="begin"/>
            </w:r>
            <w:r w:rsidR="003879BC">
              <w:rPr>
                <w:noProof/>
                <w:webHidden/>
              </w:rPr>
              <w:instrText xml:space="preserve"> PAGEREF _Toc363024804 \h </w:instrText>
            </w:r>
            <w:r>
              <w:rPr>
                <w:noProof/>
                <w:webHidden/>
              </w:rPr>
            </w:r>
            <w:r>
              <w:rPr>
                <w:noProof/>
                <w:webHidden/>
              </w:rPr>
              <w:fldChar w:fldCharType="separate"/>
            </w:r>
            <w:r w:rsidR="009E199C">
              <w:rPr>
                <w:noProof/>
                <w:webHidden/>
              </w:rPr>
              <w:t>10</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5" w:history="1">
            <w:r w:rsidR="003879BC" w:rsidRPr="00DB3D30">
              <w:rPr>
                <w:rStyle w:val="Hyperlink"/>
                <w:noProof/>
              </w:rPr>
              <w:t>INTEREST TRUE UP</w:t>
            </w:r>
            <w:r w:rsidR="003879BC">
              <w:rPr>
                <w:noProof/>
                <w:webHidden/>
              </w:rPr>
              <w:tab/>
            </w:r>
            <w:r>
              <w:rPr>
                <w:noProof/>
                <w:webHidden/>
              </w:rPr>
              <w:fldChar w:fldCharType="begin"/>
            </w:r>
            <w:r w:rsidR="003879BC">
              <w:rPr>
                <w:noProof/>
                <w:webHidden/>
              </w:rPr>
              <w:instrText xml:space="preserve"> PAGEREF _Toc363024805 \h </w:instrText>
            </w:r>
            <w:r>
              <w:rPr>
                <w:noProof/>
                <w:webHidden/>
              </w:rPr>
            </w:r>
            <w:r>
              <w:rPr>
                <w:noProof/>
                <w:webHidden/>
              </w:rPr>
              <w:fldChar w:fldCharType="separate"/>
            </w:r>
            <w:r w:rsidR="009E199C">
              <w:rPr>
                <w:noProof/>
                <w:webHidden/>
              </w:rPr>
              <w:t>12</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6" w:history="1">
            <w:r w:rsidR="003879BC" w:rsidRPr="00DB3D30">
              <w:rPr>
                <w:rStyle w:val="Hyperlink"/>
                <w:noProof/>
              </w:rPr>
              <w:t>PROPERTY TAX EXPENSE</w:t>
            </w:r>
            <w:r w:rsidR="003879BC">
              <w:rPr>
                <w:noProof/>
                <w:webHidden/>
              </w:rPr>
              <w:tab/>
            </w:r>
            <w:r>
              <w:rPr>
                <w:noProof/>
                <w:webHidden/>
              </w:rPr>
              <w:fldChar w:fldCharType="begin"/>
            </w:r>
            <w:r w:rsidR="003879BC">
              <w:rPr>
                <w:noProof/>
                <w:webHidden/>
              </w:rPr>
              <w:instrText xml:space="preserve"> PAGEREF _Toc363024806 \h </w:instrText>
            </w:r>
            <w:r>
              <w:rPr>
                <w:noProof/>
                <w:webHidden/>
              </w:rPr>
            </w:r>
            <w:r>
              <w:rPr>
                <w:noProof/>
                <w:webHidden/>
              </w:rPr>
              <w:fldChar w:fldCharType="separate"/>
            </w:r>
            <w:r w:rsidR="009E199C">
              <w:rPr>
                <w:noProof/>
                <w:webHidden/>
              </w:rPr>
              <w:t>12</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7" w:history="1">
            <w:r w:rsidR="003879BC" w:rsidRPr="00DB3D30">
              <w:rPr>
                <w:rStyle w:val="Hyperlink"/>
                <w:noProof/>
              </w:rPr>
              <w:t>RENEWABLE ENERGY TAX CREDITS</w:t>
            </w:r>
            <w:r w:rsidR="003879BC">
              <w:rPr>
                <w:noProof/>
                <w:webHidden/>
              </w:rPr>
              <w:tab/>
            </w:r>
            <w:r>
              <w:rPr>
                <w:noProof/>
                <w:webHidden/>
              </w:rPr>
              <w:fldChar w:fldCharType="begin"/>
            </w:r>
            <w:r w:rsidR="003879BC">
              <w:rPr>
                <w:noProof/>
                <w:webHidden/>
              </w:rPr>
              <w:instrText xml:space="preserve"> PAGEREF _Toc363024807 \h </w:instrText>
            </w:r>
            <w:r>
              <w:rPr>
                <w:noProof/>
                <w:webHidden/>
              </w:rPr>
            </w:r>
            <w:r>
              <w:rPr>
                <w:noProof/>
                <w:webHidden/>
              </w:rPr>
              <w:fldChar w:fldCharType="separate"/>
            </w:r>
            <w:r w:rsidR="009E199C">
              <w:rPr>
                <w:noProof/>
                <w:webHidden/>
              </w:rPr>
              <w:t>14</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8" w:history="1">
            <w:r w:rsidR="003879BC" w:rsidRPr="00DB3D30">
              <w:rPr>
                <w:rStyle w:val="Hyperlink"/>
                <w:noProof/>
              </w:rPr>
              <w:t>TAX FLOW-THROUGH ADJUSTMENT</w:t>
            </w:r>
            <w:r w:rsidR="003879BC">
              <w:rPr>
                <w:noProof/>
                <w:webHidden/>
              </w:rPr>
              <w:tab/>
            </w:r>
            <w:r>
              <w:rPr>
                <w:noProof/>
                <w:webHidden/>
              </w:rPr>
              <w:fldChar w:fldCharType="begin"/>
            </w:r>
            <w:r w:rsidR="003879BC">
              <w:rPr>
                <w:noProof/>
                <w:webHidden/>
              </w:rPr>
              <w:instrText xml:space="preserve"> PAGEREF _Toc363024808 \h </w:instrText>
            </w:r>
            <w:r>
              <w:rPr>
                <w:noProof/>
                <w:webHidden/>
              </w:rPr>
            </w:r>
            <w:r>
              <w:rPr>
                <w:noProof/>
                <w:webHidden/>
              </w:rPr>
              <w:fldChar w:fldCharType="separate"/>
            </w:r>
            <w:r w:rsidR="009E199C">
              <w:rPr>
                <w:noProof/>
                <w:webHidden/>
              </w:rPr>
              <w:t>14</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09" w:history="1">
            <w:r w:rsidR="003879BC" w:rsidRPr="00DB3D30">
              <w:rPr>
                <w:rStyle w:val="Hyperlink"/>
                <w:noProof/>
              </w:rPr>
              <w:t>REMOVE STATE DEFERRED TAX EXPENSE AND BALANCE</w:t>
            </w:r>
            <w:r w:rsidR="003879BC">
              <w:rPr>
                <w:noProof/>
                <w:webHidden/>
              </w:rPr>
              <w:tab/>
            </w:r>
            <w:r>
              <w:rPr>
                <w:noProof/>
                <w:webHidden/>
              </w:rPr>
              <w:fldChar w:fldCharType="begin"/>
            </w:r>
            <w:r w:rsidR="003879BC">
              <w:rPr>
                <w:noProof/>
                <w:webHidden/>
              </w:rPr>
              <w:instrText xml:space="preserve"> PAGEREF _Toc363024809 \h </w:instrText>
            </w:r>
            <w:r>
              <w:rPr>
                <w:noProof/>
                <w:webHidden/>
              </w:rPr>
            </w:r>
            <w:r>
              <w:rPr>
                <w:noProof/>
                <w:webHidden/>
              </w:rPr>
              <w:fldChar w:fldCharType="separate"/>
            </w:r>
            <w:r w:rsidR="009E199C">
              <w:rPr>
                <w:noProof/>
                <w:webHidden/>
              </w:rPr>
              <w:t>18</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0" w:history="1">
            <w:r w:rsidR="003879BC" w:rsidRPr="00DB3D30">
              <w:rPr>
                <w:rStyle w:val="Hyperlink"/>
                <w:noProof/>
              </w:rPr>
              <w:t>MAJOR PLANT ADDITIONS</w:t>
            </w:r>
            <w:r w:rsidR="003879BC">
              <w:rPr>
                <w:noProof/>
                <w:webHidden/>
              </w:rPr>
              <w:tab/>
            </w:r>
            <w:r>
              <w:rPr>
                <w:noProof/>
                <w:webHidden/>
              </w:rPr>
              <w:fldChar w:fldCharType="begin"/>
            </w:r>
            <w:r w:rsidR="003879BC">
              <w:rPr>
                <w:noProof/>
                <w:webHidden/>
              </w:rPr>
              <w:instrText xml:space="preserve"> PAGEREF _Toc363024810 \h </w:instrText>
            </w:r>
            <w:r>
              <w:rPr>
                <w:noProof/>
                <w:webHidden/>
              </w:rPr>
            </w:r>
            <w:r>
              <w:rPr>
                <w:noProof/>
                <w:webHidden/>
              </w:rPr>
              <w:fldChar w:fldCharType="separate"/>
            </w:r>
            <w:r w:rsidR="009E199C">
              <w:rPr>
                <w:noProof/>
                <w:webHidden/>
              </w:rPr>
              <w:t>18</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1" w:history="1">
            <w:r w:rsidR="003879BC" w:rsidRPr="00DB3D30">
              <w:rPr>
                <w:rStyle w:val="Hyperlink"/>
                <w:noProof/>
              </w:rPr>
              <w:t>POWERDALE HYDRO</w:t>
            </w:r>
            <w:r w:rsidR="003879BC">
              <w:rPr>
                <w:noProof/>
                <w:webHidden/>
              </w:rPr>
              <w:tab/>
            </w:r>
            <w:r>
              <w:rPr>
                <w:noProof/>
                <w:webHidden/>
              </w:rPr>
              <w:fldChar w:fldCharType="begin"/>
            </w:r>
            <w:r w:rsidR="003879BC">
              <w:rPr>
                <w:noProof/>
                <w:webHidden/>
              </w:rPr>
              <w:instrText xml:space="preserve"> PAGEREF _Toc363024811 \h </w:instrText>
            </w:r>
            <w:r>
              <w:rPr>
                <w:noProof/>
                <w:webHidden/>
              </w:rPr>
            </w:r>
            <w:r>
              <w:rPr>
                <w:noProof/>
                <w:webHidden/>
              </w:rPr>
              <w:fldChar w:fldCharType="separate"/>
            </w:r>
            <w:r w:rsidR="009E199C">
              <w:rPr>
                <w:noProof/>
                <w:webHidden/>
              </w:rPr>
              <w:t>23</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2" w:history="1">
            <w:r w:rsidR="003879BC" w:rsidRPr="00DB3D30">
              <w:rPr>
                <w:rStyle w:val="Hyperlink"/>
                <w:noProof/>
              </w:rPr>
              <w:t>PRODUCTION FACTOR</w:t>
            </w:r>
            <w:r w:rsidR="003879BC">
              <w:rPr>
                <w:noProof/>
                <w:webHidden/>
              </w:rPr>
              <w:tab/>
            </w:r>
            <w:r>
              <w:rPr>
                <w:noProof/>
                <w:webHidden/>
              </w:rPr>
              <w:fldChar w:fldCharType="begin"/>
            </w:r>
            <w:r w:rsidR="003879BC">
              <w:rPr>
                <w:noProof/>
                <w:webHidden/>
              </w:rPr>
              <w:instrText xml:space="preserve"> PAGEREF _Toc363024812 \h </w:instrText>
            </w:r>
            <w:r>
              <w:rPr>
                <w:noProof/>
                <w:webHidden/>
              </w:rPr>
            </w:r>
            <w:r>
              <w:rPr>
                <w:noProof/>
                <w:webHidden/>
              </w:rPr>
              <w:fldChar w:fldCharType="separate"/>
            </w:r>
            <w:r w:rsidR="009E199C">
              <w:rPr>
                <w:noProof/>
                <w:webHidden/>
              </w:rPr>
              <w:t>23</w:t>
            </w:r>
            <w:r>
              <w:rPr>
                <w:noProof/>
                <w:webHidden/>
              </w:rPr>
              <w:fldChar w:fldCharType="end"/>
            </w:r>
          </w:hyperlink>
        </w:p>
        <w:p w:rsidR="003879BC" w:rsidRDefault="00830A7C" w:rsidP="009E199C">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3" w:history="1">
            <w:r w:rsidR="003879BC" w:rsidRPr="00DB3D30">
              <w:rPr>
                <w:rStyle w:val="Hyperlink"/>
                <w:noProof/>
              </w:rPr>
              <w:t>ADJUSTMENTS CONTESTED BY THE COMPANY</w:t>
            </w:r>
            <w:r w:rsidR="003879BC">
              <w:rPr>
                <w:noProof/>
                <w:webHidden/>
              </w:rPr>
              <w:tab/>
            </w:r>
            <w:r>
              <w:rPr>
                <w:noProof/>
                <w:webHidden/>
              </w:rPr>
              <w:fldChar w:fldCharType="begin"/>
            </w:r>
            <w:r w:rsidR="003879BC">
              <w:rPr>
                <w:noProof/>
                <w:webHidden/>
              </w:rPr>
              <w:instrText xml:space="preserve"> PAGEREF _Toc363024813 \h </w:instrText>
            </w:r>
            <w:r>
              <w:rPr>
                <w:noProof/>
                <w:webHidden/>
              </w:rPr>
            </w:r>
            <w:r>
              <w:rPr>
                <w:noProof/>
                <w:webHidden/>
              </w:rPr>
              <w:fldChar w:fldCharType="separate"/>
            </w:r>
            <w:r w:rsidR="009E199C">
              <w:rPr>
                <w:noProof/>
                <w:webHidden/>
              </w:rPr>
              <w:t>24</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4" w:history="1">
            <w:r w:rsidR="003879BC" w:rsidRPr="00DB3D30">
              <w:rPr>
                <w:rStyle w:val="Hyperlink"/>
                <w:noProof/>
              </w:rPr>
              <w:t>WCA MODIFICATIONS—ALLOCATION FACTORS</w:t>
            </w:r>
            <w:r w:rsidR="003879BC">
              <w:rPr>
                <w:noProof/>
                <w:webHidden/>
              </w:rPr>
              <w:tab/>
            </w:r>
            <w:r>
              <w:rPr>
                <w:noProof/>
                <w:webHidden/>
              </w:rPr>
              <w:fldChar w:fldCharType="begin"/>
            </w:r>
            <w:r w:rsidR="003879BC">
              <w:rPr>
                <w:noProof/>
                <w:webHidden/>
              </w:rPr>
              <w:instrText xml:space="preserve"> PAGEREF _Toc363024814 \h </w:instrText>
            </w:r>
            <w:r>
              <w:rPr>
                <w:noProof/>
                <w:webHidden/>
              </w:rPr>
            </w:r>
            <w:r>
              <w:rPr>
                <w:noProof/>
                <w:webHidden/>
              </w:rPr>
              <w:fldChar w:fldCharType="separate"/>
            </w:r>
            <w:r w:rsidR="009E199C">
              <w:rPr>
                <w:noProof/>
                <w:webHidden/>
              </w:rPr>
              <w:t>24</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5" w:history="1">
            <w:r w:rsidR="003879BC" w:rsidRPr="00DB3D30">
              <w:rPr>
                <w:rStyle w:val="Hyperlink"/>
                <w:noProof/>
              </w:rPr>
              <w:t>REVENUE NORMALIZATION</w:t>
            </w:r>
            <w:r w:rsidR="003879BC">
              <w:rPr>
                <w:noProof/>
                <w:webHidden/>
              </w:rPr>
              <w:tab/>
            </w:r>
            <w:r>
              <w:rPr>
                <w:noProof/>
                <w:webHidden/>
              </w:rPr>
              <w:fldChar w:fldCharType="begin"/>
            </w:r>
            <w:r w:rsidR="003879BC">
              <w:rPr>
                <w:noProof/>
                <w:webHidden/>
              </w:rPr>
              <w:instrText xml:space="preserve"> PAGEREF _Toc363024815 \h </w:instrText>
            </w:r>
            <w:r>
              <w:rPr>
                <w:noProof/>
                <w:webHidden/>
              </w:rPr>
            </w:r>
            <w:r>
              <w:rPr>
                <w:noProof/>
                <w:webHidden/>
              </w:rPr>
              <w:fldChar w:fldCharType="separate"/>
            </w:r>
            <w:r w:rsidR="009E199C">
              <w:rPr>
                <w:noProof/>
                <w:webHidden/>
              </w:rPr>
              <w:t>25</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6" w:history="1">
            <w:r w:rsidR="003879BC" w:rsidRPr="00DB3D30">
              <w:rPr>
                <w:rStyle w:val="Hyperlink"/>
                <w:noProof/>
              </w:rPr>
              <w:t>LABOR EXPENSE ADJUSTMENTS</w:t>
            </w:r>
            <w:r w:rsidR="003879BC">
              <w:rPr>
                <w:noProof/>
                <w:webHidden/>
              </w:rPr>
              <w:tab/>
            </w:r>
            <w:r>
              <w:rPr>
                <w:noProof/>
                <w:webHidden/>
              </w:rPr>
              <w:fldChar w:fldCharType="begin"/>
            </w:r>
            <w:r w:rsidR="003879BC">
              <w:rPr>
                <w:noProof/>
                <w:webHidden/>
              </w:rPr>
              <w:instrText xml:space="preserve"> PAGEREF _Toc363024816 \h </w:instrText>
            </w:r>
            <w:r>
              <w:rPr>
                <w:noProof/>
                <w:webHidden/>
              </w:rPr>
            </w:r>
            <w:r>
              <w:rPr>
                <w:noProof/>
                <w:webHidden/>
              </w:rPr>
              <w:fldChar w:fldCharType="separate"/>
            </w:r>
            <w:r w:rsidR="009E199C">
              <w:rPr>
                <w:noProof/>
                <w:webHidden/>
              </w:rPr>
              <w:t>25</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7" w:history="1">
            <w:r w:rsidR="003879BC" w:rsidRPr="00DB3D30">
              <w:rPr>
                <w:rStyle w:val="Hyperlink"/>
                <w:noProof/>
              </w:rPr>
              <w:t>RATE BASE BALANCE METHODOLOGY</w:t>
            </w:r>
            <w:r w:rsidR="003879BC">
              <w:rPr>
                <w:noProof/>
                <w:webHidden/>
              </w:rPr>
              <w:tab/>
            </w:r>
            <w:r>
              <w:rPr>
                <w:noProof/>
                <w:webHidden/>
              </w:rPr>
              <w:fldChar w:fldCharType="begin"/>
            </w:r>
            <w:r w:rsidR="003879BC">
              <w:rPr>
                <w:noProof/>
                <w:webHidden/>
              </w:rPr>
              <w:instrText xml:space="preserve"> PAGEREF _Toc363024817 \h </w:instrText>
            </w:r>
            <w:r>
              <w:rPr>
                <w:noProof/>
                <w:webHidden/>
              </w:rPr>
            </w:r>
            <w:r>
              <w:rPr>
                <w:noProof/>
                <w:webHidden/>
              </w:rPr>
              <w:fldChar w:fldCharType="separate"/>
            </w:r>
            <w:r w:rsidR="009E199C">
              <w:rPr>
                <w:noProof/>
                <w:webHidden/>
              </w:rPr>
              <w:t>26</w:t>
            </w:r>
            <w:r>
              <w:rPr>
                <w:noProof/>
                <w:webHidden/>
              </w:rPr>
              <w:fldChar w:fldCharType="end"/>
            </w:r>
          </w:hyperlink>
        </w:p>
        <w:p w:rsidR="003879BC" w:rsidRDefault="00830A7C" w:rsidP="009E199C">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363024818" w:history="1">
            <w:r w:rsidR="003879BC" w:rsidRPr="00DB3D30">
              <w:rPr>
                <w:rStyle w:val="Hyperlink"/>
                <w:noProof/>
              </w:rPr>
              <w:t>INVESTOR SUPPLIED WORKING CAPITAL</w:t>
            </w:r>
            <w:r w:rsidR="003879BC">
              <w:rPr>
                <w:noProof/>
                <w:webHidden/>
              </w:rPr>
              <w:tab/>
            </w:r>
            <w:r>
              <w:rPr>
                <w:noProof/>
                <w:webHidden/>
              </w:rPr>
              <w:fldChar w:fldCharType="begin"/>
            </w:r>
            <w:r w:rsidR="003879BC">
              <w:rPr>
                <w:noProof/>
                <w:webHidden/>
              </w:rPr>
              <w:instrText xml:space="preserve"> PAGEREF _Toc363024818 \h </w:instrText>
            </w:r>
            <w:r>
              <w:rPr>
                <w:noProof/>
                <w:webHidden/>
              </w:rPr>
            </w:r>
            <w:r>
              <w:rPr>
                <w:noProof/>
                <w:webHidden/>
              </w:rPr>
              <w:fldChar w:fldCharType="separate"/>
            </w:r>
            <w:r w:rsidR="009E199C">
              <w:rPr>
                <w:noProof/>
                <w:webHidden/>
              </w:rPr>
              <w:t>28</w:t>
            </w:r>
            <w:r>
              <w:rPr>
                <w:noProof/>
                <w:webHidden/>
              </w:rPr>
              <w:fldChar w:fldCharType="end"/>
            </w:r>
          </w:hyperlink>
        </w:p>
        <w:p w:rsidR="00DC1D13" w:rsidRDefault="00830A7C" w:rsidP="009E199C">
          <w:pPr>
            <w:pStyle w:val="TOC3"/>
            <w:suppressLineNumbers/>
            <w:tabs>
              <w:tab w:val="right" w:leader="dot" w:pos="8990"/>
            </w:tabs>
            <w:spacing w:after="0" w:line="360" w:lineRule="auto"/>
            <w:rPr>
              <w:b/>
              <w:bCs/>
              <w:noProof/>
            </w:rPr>
          </w:pPr>
          <w:r>
            <w:rPr>
              <w:b/>
              <w:bCs/>
              <w:noProof/>
            </w:rPr>
            <w:fldChar w:fldCharType="end"/>
          </w:r>
        </w:p>
        <w:p w:rsidR="00DC1D13" w:rsidRDefault="00DC1D13" w:rsidP="0089201C">
          <w:pPr>
            <w:suppressLineNumbers/>
            <w:spacing w:line="480" w:lineRule="auto"/>
            <w:jc w:val="center"/>
            <w:rPr>
              <w:b/>
            </w:rPr>
          </w:pPr>
          <w:r w:rsidRPr="007B764E">
            <w:rPr>
              <w:b/>
            </w:rPr>
            <w:lastRenderedPageBreak/>
            <w:t>ATTACHED EXHIBITS</w:t>
          </w:r>
        </w:p>
        <w:p w:rsidR="00DC1D13" w:rsidRDefault="00DC1D13" w:rsidP="0089201C">
          <w:pPr>
            <w:suppressLineNumbers/>
            <w:tabs>
              <w:tab w:val="left" w:pos="2700"/>
            </w:tabs>
            <w:jc w:val="left"/>
          </w:pPr>
          <w:r>
            <w:t>Exhibit No.___(SRM-7)—</w:t>
          </w:r>
          <w:r w:rsidR="0089201C">
            <w:t xml:space="preserve">Rebuttal Results of Operations Twelve-months ended </w:t>
          </w:r>
          <w:r w:rsidR="0089201C">
            <w:br/>
          </w:r>
          <w:r w:rsidR="0089201C">
            <w:tab/>
            <w:t>June 30, 2012</w:t>
          </w:r>
        </w:p>
        <w:p w:rsidR="0089201C" w:rsidRDefault="0089201C" w:rsidP="0089201C">
          <w:pPr>
            <w:suppressLineNumbers/>
            <w:tabs>
              <w:tab w:val="left" w:pos="2700"/>
            </w:tabs>
            <w:jc w:val="left"/>
          </w:pPr>
        </w:p>
        <w:p w:rsidR="00DC1D13" w:rsidRDefault="00DC1D13" w:rsidP="0089201C">
          <w:pPr>
            <w:suppressLineNumbers/>
            <w:spacing w:line="480" w:lineRule="auto"/>
            <w:jc w:val="left"/>
          </w:pPr>
          <w:r>
            <w:t>Exhibit No.___(SRM-8)—</w:t>
          </w:r>
          <w:r w:rsidR="0089201C">
            <w:t>1</w:t>
          </w:r>
          <w:r w:rsidR="0089201C" w:rsidRPr="0089201C">
            <w:rPr>
              <w:vertAlign w:val="superscript"/>
            </w:rPr>
            <w:t>st</w:t>
          </w:r>
          <w:r w:rsidR="0089201C">
            <w:t xml:space="preserve"> Revised Response to WUTC Data Request 225</w:t>
          </w:r>
        </w:p>
        <w:p w:rsidR="00DC1D13" w:rsidRPr="00DC1D13" w:rsidRDefault="00DC1D13" w:rsidP="0089201C">
          <w:pPr>
            <w:suppressLineNumbers/>
            <w:spacing w:line="480" w:lineRule="auto"/>
            <w:jc w:val="left"/>
          </w:pPr>
          <w:r>
            <w:t>Exhibit No.___(SRM-9)—</w:t>
          </w:r>
          <w:r w:rsidR="0089201C">
            <w:t>Response to WUTC Data Request 208</w:t>
          </w:r>
        </w:p>
      </w:sdtContent>
    </w:sdt>
    <w:p w:rsidR="007F5EFF" w:rsidRDefault="007F5EFF" w:rsidP="007B764E">
      <w:pPr>
        <w:suppressLineNumbers/>
        <w:spacing w:line="360" w:lineRule="auto"/>
        <w:jc w:val="left"/>
        <w:rPr>
          <w:b/>
          <w:bCs/>
          <w:szCs w:val="20"/>
        </w:rPr>
        <w:sectPr w:rsidR="007F5EFF" w:rsidSect="008920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fmt="lowerRoman" w:start="1"/>
          <w:cols w:space="720"/>
          <w:docGrid w:linePitch="360"/>
        </w:sectPr>
      </w:pPr>
    </w:p>
    <w:p w:rsidR="00A0242D" w:rsidRDefault="00A0242D" w:rsidP="003C4AB6">
      <w:pPr>
        <w:pStyle w:val="Question"/>
        <w:jc w:val="left"/>
      </w:pPr>
      <w:r>
        <w:lastRenderedPageBreak/>
        <w:t>Q.</w:t>
      </w:r>
      <w:r>
        <w:tab/>
        <w:t xml:space="preserve">Are you the same </w:t>
      </w:r>
      <w:r w:rsidR="003169D9">
        <w:t>Steven R. McDougal</w:t>
      </w:r>
      <w:r>
        <w:t xml:space="preserve"> that previously </w:t>
      </w:r>
      <w:r w:rsidR="00C80232">
        <w:t>submitted</w:t>
      </w:r>
      <w:r w:rsidR="003C4AB6">
        <w:t xml:space="preserve"> direct </w:t>
      </w:r>
      <w:r>
        <w:t xml:space="preserve">testimony </w:t>
      </w:r>
      <w:r w:rsidR="003C4AB6">
        <w:t xml:space="preserve">on behalf of PacifiCorp d/b/a Pacific Power &amp; Light Company (PacifiCorp or Company) </w:t>
      </w:r>
      <w:r>
        <w:t xml:space="preserve">in this </w:t>
      </w:r>
      <w:r w:rsidR="003C4AB6">
        <w:t>case</w:t>
      </w:r>
      <w:r>
        <w:t>?</w:t>
      </w:r>
    </w:p>
    <w:p w:rsidR="00A0242D" w:rsidRDefault="00A0242D" w:rsidP="00054ECC">
      <w:pPr>
        <w:pStyle w:val="Answer"/>
        <w:tabs>
          <w:tab w:val="num" w:pos="720"/>
        </w:tabs>
        <w:autoSpaceDE w:val="0"/>
        <w:autoSpaceDN w:val="0"/>
        <w:jc w:val="left"/>
      </w:pPr>
      <w:r>
        <w:t>A.</w:t>
      </w:r>
      <w:r>
        <w:tab/>
        <w:t>Yes.</w:t>
      </w:r>
    </w:p>
    <w:p w:rsidR="00EC0E6B" w:rsidRDefault="00A0242D" w:rsidP="00227B9D">
      <w:pPr>
        <w:pStyle w:val="Heading1"/>
      </w:pPr>
      <w:bookmarkStart w:id="0" w:name="_Toc363024790"/>
      <w:r w:rsidRPr="007568B0">
        <w:t>Purpose</w:t>
      </w:r>
      <w:r>
        <w:t xml:space="preserve"> and Summary o</w:t>
      </w:r>
      <w:r w:rsidRPr="007568B0">
        <w:t>f Testimony</w:t>
      </w:r>
      <w:bookmarkEnd w:id="0"/>
    </w:p>
    <w:p w:rsidR="00967BCF" w:rsidRDefault="00967BCF" w:rsidP="00054ECC">
      <w:pPr>
        <w:numPr>
          <w:ilvl w:val="0"/>
          <w:numId w:val="5"/>
        </w:numPr>
        <w:spacing w:line="480" w:lineRule="auto"/>
        <w:jc w:val="left"/>
        <w:rPr>
          <w:b/>
        </w:rPr>
      </w:pPr>
      <w:r w:rsidRPr="00E661F7">
        <w:rPr>
          <w:b/>
        </w:rPr>
        <w:t>What is the purpose of your r</w:t>
      </w:r>
      <w:r>
        <w:rPr>
          <w:b/>
        </w:rPr>
        <w:t>ebuttal</w:t>
      </w:r>
      <w:r w:rsidRPr="00E661F7">
        <w:rPr>
          <w:b/>
        </w:rPr>
        <w:t xml:space="preserve"> testimony?</w:t>
      </w:r>
    </w:p>
    <w:p w:rsidR="00847AB0" w:rsidRPr="00847AB0" w:rsidRDefault="00847AB0" w:rsidP="00054ECC">
      <w:pPr>
        <w:pStyle w:val="BodyTextIndent2"/>
        <w:spacing w:after="0"/>
        <w:ind w:left="720" w:hanging="720"/>
        <w:jc w:val="left"/>
      </w:pPr>
      <w:r w:rsidRPr="00847AB0">
        <w:t>A.</w:t>
      </w:r>
      <w:r w:rsidRPr="00847AB0">
        <w:tab/>
      </w:r>
      <w:r w:rsidRPr="00E661F7">
        <w:t xml:space="preserve">The purpose of </w:t>
      </w:r>
      <w:r w:rsidR="00C80232" w:rsidRPr="00E661F7">
        <w:t>my</w:t>
      </w:r>
      <w:r w:rsidR="00C80232">
        <w:t xml:space="preserve"> rebuttal </w:t>
      </w:r>
      <w:r w:rsidRPr="00E661F7">
        <w:t xml:space="preserve">testimony is to respond </w:t>
      </w:r>
      <w:r w:rsidR="004D2C0A">
        <w:t xml:space="preserve">to </w:t>
      </w:r>
      <w:r w:rsidR="001B540B">
        <w:t xml:space="preserve">testimony of </w:t>
      </w:r>
      <w:r w:rsidR="004D2C0A">
        <w:t>Washington Utilities and</w:t>
      </w:r>
      <w:r w:rsidR="00587AF8">
        <w:t> </w:t>
      </w:r>
      <w:r w:rsidR="004D2C0A">
        <w:t xml:space="preserve">Transportation Commission </w:t>
      </w:r>
      <w:r w:rsidR="003C4AB6">
        <w:t xml:space="preserve">(Commission) </w:t>
      </w:r>
      <w:r w:rsidR="004D2C0A">
        <w:t>Staff</w:t>
      </w:r>
      <w:r w:rsidR="001B540B">
        <w:t xml:space="preserve"> witness</w:t>
      </w:r>
      <w:r w:rsidR="00EB2548">
        <w:t>es</w:t>
      </w:r>
      <w:r w:rsidR="001B540B">
        <w:t xml:space="preserve"> Ms. Kendra A. White</w:t>
      </w:r>
      <w:r w:rsidR="00E13262">
        <w:t>,</w:t>
      </w:r>
      <w:r w:rsidR="00D8284A">
        <w:t xml:space="preserve"> </w:t>
      </w:r>
      <w:r w:rsidR="00E13262">
        <w:t>Ms. </w:t>
      </w:r>
      <w:r w:rsidR="00D8284A">
        <w:t>Betty A. Erdahl</w:t>
      </w:r>
      <w:r w:rsidR="00E13262">
        <w:t>,</w:t>
      </w:r>
      <w:r w:rsidR="00EB2548">
        <w:t xml:space="preserve"> </w:t>
      </w:r>
      <w:r w:rsidR="00E13262">
        <w:t xml:space="preserve">and </w:t>
      </w:r>
      <w:r w:rsidR="00EB2548">
        <w:t>Mr. Chris R. McGuire</w:t>
      </w:r>
      <w:r w:rsidR="007D7ED6">
        <w:t xml:space="preserve">; </w:t>
      </w:r>
      <w:r w:rsidR="004D2C0A">
        <w:t xml:space="preserve">Public Counsel </w:t>
      </w:r>
      <w:r w:rsidR="003C4AB6">
        <w:t xml:space="preserve">Division </w:t>
      </w:r>
      <w:r w:rsidR="004D2C0A">
        <w:t xml:space="preserve">of </w:t>
      </w:r>
      <w:r w:rsidR="00587AF8">
        <w:t>the </w:t>
      </w:r>
      <w:r w:rsidR="004D2C0A">
        <w:t>Washington State Attorney General’s Office (Public Counsel)</w:t>
      </w:r>
      <w:r w:rsidR="001B540B">
        <w:t xml:space="preserve"> witnesses </w:t>
      </w:r>
      <w:r w:rsidR="00D8284A">
        <w:t>Mr.</w:t>
      </w:r>
      <w:r w:rsidR="00587AF8">
        <w:t> </w:t>
      </w:r>
      <w:r w:rsidR="001B540B">
        <w:t xml:space="preserve">Sebastian Coppola and </w:t>
      </w:r>
      <w:r w:rsidR="00E13262">
        <w:t xml:space="preserve">Mr. </w:t>
      </w:r>
      <w:r w:rsidR="001B540B">
        <w:t>James R. Dittmer</w:t>
      </w:r>
      <w:r w:rsidR="007D7ED6">
        <w:t>;</w:t>
      </w:r>
      <w:r w:rsidR="004D2C0A">
        <w:t xml:space="preserve"> </w:t>
      </w:r>
      <w:r w:rsidR="003169D9">
        <w:t xml:space="preserve">and </w:t>
      </w:r>
      <w:r w:rsidR="004D2C0A">
        <w:t>Boise White Paper, LLC (Boise)</w:t>
      </w:r>
      <w:r w:rsidR="001B540B">
        <w:t xml:space="preserve"> witness</w:t>
      </w:r>
      <w:r w:rsidR="00E13262">
        <w:t xml:space="preserve"> Mr. </w:t>
      </w:r>
      <w:r w:rsidR="001B540B">
        <w:t>Michael C. Deen</w:t>
      </w:r>
      <w:r w:rsidR="003169D9">
        <w:t>.</w:t>
      </w:r>
    </w:p>
    <w:p w:rsidR="00EC0E6B" w:rsidRDefault="00967BCF" w:rsidP="00227B9D">
      <w:pPr>
        <w:pStyle w:val="BodyTextIndent2"/>
        <w:spacing w:after="0"/>
        <w:ind w:left="0"/>
        <w:jc w:val="left"/>
        <w:rPr>
          <w:b/>
        </w:rPr>
      </w:pPr>
      <w:r w:rsidRPr="00E661F7">
        <w:rPr>
          <w:b/>
        </w:rPr>
        <w:t>Q.</w:t>
      </w:r>
      <w:r w:rsidRPr="00E661F7">
        <w:rPr>
          <w:b/>
        </w:rPr>
        <w:tab/>
        <w:t>Please summarize your testimony.</w:t>
      </w:r>
    </w:p>
    <w:p w:rsidR="00EC4FA5" w:rsidRDefault="00967BCF" w:rsidP="00054ECC">
      <w:pPr>
        <w:pStyle w:val="Answer"/>
        <w:jc w:val="left"/>
      </w:pPr>
      <w:r w:rsidRPr="00E661F7">
        <w:t>A.</w:t>
      </w:r>
      <w:r w:rsidRPr="00E661F7">
        <w:tab/>
      </w:r>
      <w:r w:rsidR="00F9595E">
        <w:t xml:space="preserve">My </w:t>
      </w:r>
      <w:r w:rsidR="0089201C">
        <w:t xml:space="preserve">rebuttal </w:t>
      </w:r>
      <w:r w:rsidR="00F9595E">
        <w:t>testimony</w:t>
      </w:r>
      <w:r w:rsidR="003169D9">
        <w:t xml:space="preserve"> explains and supports the Company’s revised overall revenue increase of </w:t>
      </w:r>
      <w:r w:rsidR="00575849">
        <w:t xml:space="preserve">$36.9 </w:t>
      </w:r>
      <w:r w:rsidR="003169D9">
        <w:t>million.  This is a reduction from the $42.8 million request</w:t>
      </w:r>
      <w:r w:rsidR="00905F1D">
        <w:t>ed</w:t>
      </w:r>
      <w:r w:rsidR="003169D9">
        <w:t xml:space="preserve"> in the Company’s original filing.  My testimony also provides: </w:t>
      </w:r>
    </w:p>
    <w:p w:rsidR="00162C3E" w:rsidRDefault="003169D9" w:rsidP="00054ECC">
      <w:pPr>
        <w:pStyle w:val="Answer"/>
        <w:numPr>
          <w:ilvl w:val="0"/>
          <w:numId w:val="8"/>
        </w:numPr>
        <w:jc w:val="left"/>
      </w:pPr>
      <w:r>
        <w:t xml:space="preserve">A detailed calculation of the </w:t>
      </w:r>
      <w:r w:rsidR="00575849">
        <w:t xml:space="preserve">$36.9 </w:t>
      </w:r>
      <w:r>
        <w:t>million requested base revenue increase, including a summary of the differences between the $42.8</w:t>
      </w:r>
      <w:r w:rsidR="00E13262">
        <w:t> </w:t>
      </w:r>
      <w:r>
        <w:t xml:space="preserve">million initial request and the current amount.  The revised request includes </w:t>
      </w:r>
      <w:r w:rsidR="00256C54">
        <w:t xml:space="preserve">updates and corrections to the Company’s initial filing, as well as </w:t>
      </w:r>
      <w:r>
        <w:t>the impact of restating and pro forma adjustments proposed by other parties that the Company has accepted</w:t>
      </w:r>
      <w:r w:rsidR="00E13262">
        <w:t>.</w:t>
      </w:r>
    </w:p>
    <w:p w:rsidR="00162C3E" w:rsidRDefault="003169D9" w:rsidP="00054ECC">
      <w:pPr>
        <w:pStyle w:val="Answer"/>
        <w:numPr>
          <w:ilvl w:val="0"/>
          <w:numId w:val="8"/>
        </w:numPr>
        <w:jc w:val="left"/>
      </w:pPr>
      <w:r>
        <w:t>The Company’s response to certain revenue requirement adjustments proposed by intervening parties in this case that the Company contests</w:t>
      </w:r>
      <w:r w:rsidR="00EC4FA5">
        <w:t>.</w:t>
      </w:r>
    </w:p>
    <w:p w:rsidR="00EC0E6B" w:rsidRDefault="003169D9" w:rsidP="00227B9D">
      <w:pPr>
        <w:pStyle w:val="Heading1"/>
      </w:pPr>
      <w:bookmarkStart w:id="1" w:name="_Toc363024791"/>
      <w:r>
        <w:t>Revenue Requirement Increase</w:t>
      </w:r>
      <w:bookmarkEnd w:id="1"/>
    </w:p>
    <w:p w:rsidR="00162C3E" w:rsidRDefault="00B304EA" w:rsidP="00054ECC">
      <w:pPr>
        <w:pStyle w:val="Answer"/>
        <w:jc w:val="left"/>
        <w:rPr>
          <w:b/>
        </w:rPr>
      </w:pPr>
      <w:r>
        <w:rPr>
          <w:b/>
        </w:rPr>
        <w:t>Q.</w:t>
      </w:r>
      <w:r>
        <w:rPr>
          <w:b/>
        </w:rPr>
        <w:tab/>
      </w:r>
      <w:r w:rsidR="003169D9">
        <w:rPr>
          <w:b/>
        </w:rPr>
        <w:t xml:space="preserve">What </w:t>
      </w:r>
      <w:r w:rsidR="00227B9D">
        <w:rPr>
          <w:b/>
        </w:rPr>
        <w:t xml:space="preserve">revenue </w:t>
      </w:r>
      <w:r w:rsidR="003169D9">
        <w:rPr>
          <w:b/>
        </w:rPr>
        <w:t>increase is required to achieve the requested return on equity in this case?</w:t>
      </w:r>
    </w:p>
    <w:p w:rsidR="003169D9" w:rsidRDefault="00B304EA" w:rsidP="00054ECC">
      <w:pPr>
        <w:pStyle w:val="Answer"/>
        <w:jc w:val="left"/>
      </w:pPr>
      <w:r w:rsidRPr="001B27C5">
        <w:t>A.</w:t>
      </w:r>
      <w:r w:rsidRPr="001B27C5">
        <w:tab/>
      </w:r>
      <w:r w:rsidR="003169D9">
        <w:t>As shown on Page 1 of Exhibit No.__</w:t>
      </w:r>
      <w:r w:rsidR="003C4AB6">
        <w:t>_</w:t>
      </w:r>
      <w:r w:rsidR="003169D9">
        <w:t>(SRM-</w:t>
      </w:r>
      <w:r w:rsidR="00941C57">
        <w:t>7</w:t>
      </w:r>
      <w:r w:rsidR="003169D9">
        <w:t xml:space="preserve">), an overall </w:t>
      </w:r>
      <w:r w:rsidR="00E13262">
        <w:t>revenue</w:t>
      </w:r>
      <w:r w:rsidR="003169D9">
        <w:t xml:space="preserve"> increase of </w:t>
      </w:r>
      <w:r w:rsidR="00786A60">
        <w:t>$36.9</w:t>
      </w:r>
      <w:r w:rsidR="00E13262">
        <w:t> </w:t>
      </w:r>
      <w:r w:rsidR="003F38D4">
        <w:t xml:space="preserve">million </w:t>
      </w:r>
      <w:r w:rsidR="003169D9">
        <w:t xml:space="preserve">is required to produce </w:t>
      </w:r>
      <w:r w:rsidR="003169D9" w:rsidRPr="00575849">
        <w:t xml:space="preserve">the </w:t>
      </w:r>
      <w:r w:rsidR="00884DE6" w:rsidRPr="00227B9D">
        <w:t>10.0</w:t>
      </w:r>
      <w:r w:rsidR="003169D9" w:rsidRPr="00575849">
        <w:t xml:space="preserve"> percent</w:t>
      </w:r>
      <w:r w:rsidR="003169D9">
        <w:t xml:space="preserve"> return on equity requested in this proceeding. </w:t>
      </w:r>
    </w:p>
    <w:p w:rsidR="00162C3E" w:rsidRDefault="00B304EA" w:rsidP="00054ECC">
      <w:pPr>
        <w:pStyle w:val="Answer"/>
        <w:jc w:val="left"/>
        <w:rPr>
          <w:b/>
        </w:rPr>
      </w:pPr>
      <w:r w:rsidRPr="009B532E">
        <w:rPr>
          <w:b/>
        </w:rPr>
        <w:t>Q.</w:t>
      </w:r>
      <w:r w:rsidRPr="009B532E">
        <w:rPr>
          <w:b/>
        </w:rPr>
        <w:tab/>
      </w:r>
      <w:r w:rsidR="00904139">
        <w:rPr>
          <w:b/>
        </w:rPr>
        <w:t>Please describe the calculation of the revised overall revenue increase.</w:t>
      </w:r>
    </w:p>
    <w:p w:rsidR="00EC0E6B" w:rsidRDefault="00B304EA" w:rsidP="00227B9D">
      <w:pPr>
        <w:pStyle w:val="Answer"/>
        <w:jc w:val="left"/>
        <w:rPr>
          <w:b/>
          <w:bCs/>
          <w:iCs/>
          <w:caps/>
          <w:szCs w:val="28"/>
        </w:rPr>
      </w:pPr>
      <w:r>
        <w:t>A.</w:t>
      </w:r>
      <w:r>
        <w:tab/>
      </w:r>
      <w:r w:rsidR="003F38D4">
        <w:t xml:space="preserve">The Company’s revised revenue increase of </w:t>
      </w:r>
      <w:r w:rsidR="00575849">
        <w:t>$36.9</w:t>
      </w:r>
      <w:r w:rsidR="003F38D4">
        <w:t xml:space="preserve"> million </w:t>
      </w:r>
      <w:r w:rsidR="00905F1D">
        <w:t xml:space="preserve">is </w:t>
      </w:r>
      <w:r w:rsidR="003F38D4">
        <w:t xml:space="preserve">calculated using the </w:t>
      </w:r>
      <w:r w:rsidR="002F337F">
        <w:t xml:space="preserve">same </w:t>
      </w:r>
      <w:r w:rsidR="003F38D4">
        <w:t xml:space="preserve">West Control Area </w:t>
      </w:r>
      <w:r w:rsidR="003C4AB6">
        <w:t xml:space="preserve">inter-jurisdictional </w:t>
      </w:r>
      <w:r w:rsidR="003F38D4">
        <w:t>allocation methodology</w:t>
      </w:r>
      <w:r w:rsidR="003C4AB6">
        <w:t xml:space="preserve"> (WCA)</w:t>
      </w:r>
      <w:r w:rsidR="003F38D4">
        <w:t xml:space="preserve"> </w:t>
      </w:r>
      <w:r w:rsidR="00E13262">
        <w:t xml:space="preserve">used </w:t>
      </w:r>
      <w:r w:rsidR="003F38D4">
        <w:t>in the Company’s original filing</w:t>
      </w:r>
      <w:r w:rsidR="002F337F">
        <w:t xml:space="preserve">.  As discussed in more detail later in my testimony, as well as in the </w:t>
      </w:r>
      <w:r w:rsidR="00905F1D">
        <w:t>testimonies</w:t>
      </w:r>
      <w:r w:rsidR="002F337F">
        <w:t xml:space="preserve"> of Mr. R. Bryce Dalley and </w:t>
      </w:r>
      <w:r w:rsidR="00E13262">
        <w:t xml:space="preserve">Mr. </w:t>
      </w:r>
      <w:r w:rsidR="002F337F">
        <w:t>Gregory N. Duvall, the Company made certain modifications to WCA in its initial filing</w:t>
      </w:r>
      <w:r w:rsidR="00D2001D">
        <w:t>.</w:t>
      </w:r>
      <w:r w:rsidR="002F337F">
        <w:t xml:space="preserve"> </w:t>
      </w:r>
      <w:r w:rsidR="00A56793">
        <w:t xml:space="preserve"> </w:t>
      </w:r>
      <w:r w:rsidR="00D2001D">
        <w:t xml:space="preserve">The Company </w:t>
      </w:r>
      <w:r w:rsidR="00A56793">
        <w:t>continue</w:t>
      </w:r>
      <w:r w:rsidR="00876EEB">
        <w:t>s</w:t>
      </w:r>
      <w:r w:rsidR="00A56793">
        <w:t xml:space="preserve"> to use the modified </w:t>
      </w:r>
      <w:r w:rsidR="00227B9D">
        <w:t>WCA</w:t>
      </w:r>
      <w:r w:rsidR="00A56793">
        <w:t xml:space="preserve"> in its rebuttal position</w:t>
      </w:r>
      <w:r w:rsidR="00876EEB">
        <w:t xml:space="preserve">, </w:t>
      </w:r>
      <w:r w:rsidR="003F38D4">
        <w:t>incorporate</w:t>
      </w:r>
      <w:r w:rsidR="00876EEB">
        <w:t>s</w:t>
      </w:r>
      <w:r w:rsidR="003F38D4">
        <w:t xml:space="preserve"> certain </w:t>
      </w:r>
      <w:r w:rsidR="005C557D">
        <w:t xml:space="preserve">updates and corrections to the filed case, </w:t>
      </w:r>
      <w:r w:rsidR="00876EEB">
        <w:t>and accepts certain</w:t>
      </w:r>
      <w:r w:rsidR="005C557D">
        <w:t xml:space="preserve"> </w:t>
      </w:r>
      <w:r w:rsidR="003F38D4">
        <w:t>adjustments proposed by other parties.</w:t>
      </w:r>
      <w:r w:rsidR="00876EEB">
        <w:rPr>
          <w:rStyle w:val="FootnoteReference"/>
        </w:rPr>
        <w:footnoteReference w:id="1"/>
      </w:r>
      <w:r w:rsidR="003F38D4">
        <w:t xml:space="preserve">  In support of the revised calculation, Exhibit No.</w:t>
      </w:r>
      <w:r w:rsidR="003C4AB6">
        <w:t>_</w:t>
      </w:r>
      <w:r w:rsidR="003F38D4">
        <w:t>__(SRM-</w:t>
      </w:r>
      <w:r w:rsidR="00884DE6" w:rsidRPr="00227B9D">
        <w:t>7</w:t>
      </w:r>
      <w:r w:rsidR="003F38D4">
        <w:t xml:space="preserve">) shows the revised revenue requirement </w:t>
      </w:r>
      <w:r w:rsidR="00CD7586">
        <w:t xml:space="preserve">requested by the Company.  This </w:t>
      </w:r>
      <w:r w:rsidR="003F38D4">
        <w:t xml:space="preserve">exhibit </w:t>
      </w:r>
      <w:r w:rsidR="00636F1E">
        <w:t xml:space="preserve">incorporates revisions to </w:t>
      </w:r>
      <w:r w:rsidR="00876EEB">
        <w:t>a</w:t>
      </w:r>
      <w:r w:rsidR="00636F1E">
        <w:t xml:space="preserve">djustments made in the Company’s direct filing and </w:t>
      </w:r>
      <w:r w:rsidR="003F38D4">
        <w:t>updates Tabs 1 and 2 of my original Exhibit No._</w:t>
      </w:r>
      <w:r w:rsidR="003C4AB6">
        <w:t>_</w:t>
      </w:r>
      <w:r w:rsidR="003F38D4">
        <w:t>_(SRM</w:t>
      </w:r>
      <w:r w:rsidR="004C15BA">
        <w:t>-3).</w:t>
      </w:r>
      <w:r w:rsidR="00876EEB">
        <w:br w:type="page"/>
      </w:r>
    </w:p>
    <w:p w:rsidR="00EC0E6B" w:rsidRDefault="004C15BA" w:rsidP="00227B9D">
      <w:pPr>
        <w:pStyle w:val="Heading1"/>
      </w:pPr>
      <w:bookmarkStart w:id="2" w:name="_Toc363024792"/>
      <w:r w:rsidRPr="004C15BA">
        <w:t>Revenue Requirement Adjustments</w:t>
      </w:r>
      <w:bookmarkEnd w:id="2"/>
    </w:p>
    <w:p w:rsidR="004C15BA" w:rsidRDefault="00012C06" w:rsidP="00054ECC">
      <w:pPr>
        <w:pStyle w:val="Answer"/>
        <w:jc w:val="left"/>
        <w:rPr>
          <w:b/>
        </w:rPr>
      </w:pPr>
      <w:r w:rsidRPr="00012C06">
        <w:rPr>
          <w:b/>
        </w:rPr>
        <w:t>Q.</w:t>
      </w:r>
      <w:r w:rsidRPr="00012C06">
        <w:rPr>
          <w:b/>
        </w:rPr>
        <w:tab/>
      </w:r>
      <w:r w:rsidR="004C15BA">
        <w:rPr>
          <w:b/>
        </w:rPr>
        <w:t xml:space="preserve">Is the Company incorporating </w:t>
      </w:r>
      <w:r w:rsidR="00256C54">
        <w:rPr>
          <w:b/>
        </w:rPr>
        <w:t>any updates, correction</w:t>
      </w:r>
      <w:r w:rsidR="00876EEB">
        <w:rPr>
          <w:b/>
        </w:rPr>
        <w:t>s</w:t>
      </w:r>
      <w:r w:rsidR="00256C54">
        <w:rPr>
          <w:b/>
        </w:rPr>
        <w:t xml:space="preserve">, or </w:t>
      </w:r>
      <w:r w:rsidR="004C15BA">
        <w:rPr>
          <w:b/>
        </w:rPr>
        <w:t xml:space="preserve">adjustments proposed by the parties in its </w:t>
      </w:r>
      <w:r w:rsidR="00876EEB">
        <w:rPr>
          <w:b/>
        </w:rPr>
        <w:t xml:space="preserve">rebuttal </w:t>
      </w:r>
      <w:r w:rsidR="004C15BA">
        <w:rPr>
          <w:b/>
        </w:rPr>
        <w:t>revenue requirement calculation?</w:t>
      </w:r>
    </w:p>
    <w:p w:rsidR="00162C3E" w:rsidRDefault="003D2EC1" w:rsidP="00054ECC">
      <w:pPr>
        <w:pStyle w:val="Answer"/>
        <w:jc w:val="left"/>
      </w:pPr>
      <w:r>
        <w:t>A.</w:t>
      </w:r>
      <w:r>
        <w:tab/>
      </w:r>
      <w:r w:rsidR="004C15BA">
        <w:t>Yes</w:t>
      </w:r>
      <w:r w:rsidR="00876EEB">
        <w:t>.  T</w:t>
      </w:r>
      <w:r w:rsidR="004C15BA">
        <w:t>he Company</w:t>
      </w:r>
      <w:bookmarkStart w:id="3" w:name="_GoBack"/>
      <w:bookmarkEnd w:id="3"/>
      <w:r w:rsidR="00905F1D">
        <w:t xml:space="preserve"> </w:t>
      </w:r>
      <w:r w:rsidR="004C15BA">
        <w:t>incorporate</w:t>
      </w:r>
      <w:r w:rsidR="00876EEB">
        <w:t>s</w:t>
      </w:r>
      <w:r w:rsidR="004C15BA">
        <w:t xml:space="preserve"> the following </w:t>
      </w:r>
      <w:r w:rsidR="00636F1E">
        <w:t xml:space="preserve">revisions to </w:t>
      </w:r>
      <w:r w:rsidR="00876EEB">
        <w:t xml:space="preserve">the restating and pro forma </w:t>
      </w:r>
      <w:r w:rsidR="004C15BA">
        <w:t>adjustments</w:t>
      </w:r>
      <w:r w:rsidR="00636F1E">
        <w:t xml:space="preserve"> </w:t>
      </w:r>
      <w:r w:rsidR="00876EEB">
        <w:t xml:space="preserve">presented </w:t>
      </w:r>
      <w:r w:rsidR="00636F1E">
        <w:t>in its direct filing</w:t>
      </w:r>
      <w:r w:rsidR="00876EEB">
        <w:t>.</w:t>
      </w:r>
      <w:r w:rsidR="00895F9E">
        <w:rPr>
          <w:rStyle w:val="FootnoteReference"/>
        </w:rPr>
        <w:footnoteReference w:id="2"/>
      </w:r>
      <w:r w:rsidR="00876EEB">
        <w:t xml:space="preserve">  These revisions include</w:t>
      </w:r>
      <w:r w:rsidR="004C15BA">
        <w:t xml:space="preserve"> some </w:t>
      </w:r>
      <w:r w:rsidR="00876EEB">
        <w:t>proposals from other parties</w:t>
      </w:r>
      <w:r w:rsidR="004C15BA">
        <w:t xml:space="preserve">.  </w:t>
      </w:r>
    </w:p>
    <w:p w:rsidR="00EC0E6B" w:rsidRDefault="00392846" w:rsidP="00227B9D">
      <w:pPr>
        <w:pStyle w:val="Answer"/>
        <w:suppressLineNumbers/>
        <w:jc w:val="center"/>
        <w:rPr>
          <w:highlight w:val="yellow"/>
        </w:rPr>
      </w:pPr>
      <w:r>
        <w:rPr>
          <w:noProof/>
        </w:rPr>
        <w:drawing>
          <wp:inline distT="0" distB="0" distL="0" distR="0">
            <wp:extent cx="5130235" cy="464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4231" cy="4651820"/>
                    </a:xfrm>
                    <a:prstGeom prst="rect">
                      <a:avLst/>
                    </a:prstGeom>
                    <a:noFill/>
                    <a:ln>
                      <a:noFill/>
                    </a:ln>
                  </pic:spPr>
                </pic:pic>
              </a:graphicData>
            </a:graphic>
          </wp:inline>
        </w:drawing>
      </w:r>
      <w:r w:rsidR="003C4AB6">
        <w:rPr>
          <w:highlight w:val="yellow"/>
        </w:rPr>
        <w:br w:type="page"/>
      </w:r>
    </w:p>
    <w:p w:rsidR="00EC0E6B" w:rsidRDefault="00042F40" w:rsidP="00227B9D">
      <w:pPr>
        <w:pStyle w:val="Heading2"/>
      </w:pPr>
      <w:bookmarkStart w:id="4" w:name="_Toc363024793"/>
      <w:r w:rsidRPr="004B5F5D">
        <w:t xml:space="preserve">Adjustments </w:t>
      </w:r>
      <w:r w:rsidR="00895F9E">
        <w:t>to the Company’s Initial Filing</w:t>
      </w:r>
      <w:bookmarkEnd w:id="4"/>
    </w:p>
    <w:p w:rsidR="00EC0E6B" w:rsidRDefault="00A539E7" w:rsidP="00227B9D">
      <w:pPr>
        <w:pStyle w:val="Heading3"/>
      </w:pPr>
      <w:bookmarkStart w:id="5" w:name="_Toc363024794"/>
      <w:r>
        <w:t>Cost of Capital</w:t>
      </w:r>
      <w:bookmarkEnd w:id="5"/>
    </w:p>
    <w:p w:rsidR="00C444F4" w:rsidRDefault="00B66829" w:rsidP="00054ECC">
      <w:pPr>
        <w:pStyle w:val="Answer"/>
        <w:jc w:val="left"/>
        <w:rPr>
          <w:b/>
        </w:rPr>
      </w:pPr>
      <w:r w:rsidRPr="00864E5C">
        <w:rPr>
          <w:b/>
        </w:rPr>
        <w:t>Q.</w:t>
      </w:r>
      <w:r w:rsidRPr="00864E5C">
        <w:rPr>
          <w:b/>
        </w:rPr>
        <w:tab/>
      </w:r>
      <w:r w:rsidR="00C444F4">
        <w:rPr>
          <w:b/>
        </w:rPr>
        <w:t>Has the Company made any adjustments to its proposed cost of capital from its initial filing?</w:t>
      </w:r>
    </w:p>
    <w:p w:rsidR="00F84219" w:rsidRDefault="00B66829">
      <w:pPr>
        <w:pStyle w:val="Answer"/>
        <w:jc w:val="left"/>
      </w:pPr>
      <w:r w:rsidRPr="00864E5C">
        <w:t>A.</w:t>
      </w:r>
      <w:r>
        <w:tab/>
      </w:r>
      <w:r w:rsidR="00C444F4">
        <w:t xml:space="preserve">Yes.  </w:t>
      </w:r>
      <w:r>
        <w:t xml:space="preserve">As discussed in </w:t>
      </w:r>
      <w:r w:rsidR="00C444F4">
        <w:t xml:space="preserve">Mr. Bruce N. Williams’s rebuttal testimony, the Company is updating its capital structure and cost of long-term debt.  As discussed in the rebuttal testimony of </w:t>
      </w:r>
      <w:r w:rsidR="00054ECC">
        <w:t xml:space="preserve">Dr. </w:t>
      </w:r>
      <w:r>
        <w:t>Samuel C. Hadaway</w:t>
      </w:r>
      <w:r w:rsidR="00054ECC">
        <w:t>,</w:t>
      </w:r>
      <w:r>
        <w:t xml:space="preserve"> the Company </w:t>
      </w:r>
      <w:r w:rsidR="00C444F4">
        <w:t xml:space="preserve">continues to support a return on equity of 10.0 percent.  Based on the updates to capital structure and cost of long-term debt, the Company’s overall rate of return in its rebuttal </w:t>
      </w:r>
      <w:r w:rsidR="00975A50">
        <w:t xml:space="preserve">filing </w:t>
      </w:r>
      <w:r w:rsidR="00C444F4">
        <w:t>is 7.75 percent, as reflected in Table 1 below.</w:t>
      </w:r>
    </w:p>
    <w:p w:rsidR="00EC0E6B" w:rsidRDefault="00C444F4" w:rsidP="00227B9D">
      <w:pPr>
        <w:pStyle w:val="Answer"/>
        <w:suppressLineNumbers/>
        <w:spacing w:line="240" w:lineRule="auto"/>
        <w:jc w:val="center"/>
        <w:rPr>
          <w:b/>
        </w:rPr>
      </w:pPr>
      <w:r>
        <w:rPr>
          <w:b/>
        </w:rPr>
        <w:t>TABLE 1</w:t>
      </w:r>
    </w:p>
    <w:tbl>
      <w:tblPr>
        <w:tblStyle w:val="TableGrid"/>
        <w:tblW w:w="8514" w:type="dxa"/>
        <w:jc w:val="center"/>
        <w:tblInd w:w="1188" w:type="dxa"/>
        <w:tblLook w:val="04A0"/>
      </w:tblPr>
      <w:tblGrid>
        <w:gridCol w:w="2664"/>
        <w:gridCol w:w="1788"/>
        <w:gridCol w:w="1788"/>
        <w:gridCol w:w="2274"/>
      </w:tblGrid>
      <w:tr w:rsidR="00975A50" w:rsidTr="00227B9D">
        <w:trPr>
          <w:trHeight w:val="467"/>
          <w:jc w:val="center"/>
        </w:trPr>
        <w:tc>
          <w:tcPr>
            <w:tcW w:w="2664" w:type="dxa"/>
            <w:vAlign w:val="center"/>
          </w:tcPr>
          <w:p w:rsidR="00EC0E6B" w:rsidRDefault="00975A50" w:rsidP="00227B9D">
            <w:pPr>
              <w:pStyle w:val="Answer"/>
              <w:spacing w:line="240" w:lineRule="auto"/>
              <w:ind w:left="0" w:firstLine="0"/>
              <w:jc w:val="center"/>
              <w:rPr>
                <w:b/>
              </w:rPr>
            </w:pPr>
            <w:r>
              <w:rPr>
                <w:b/>
              </w:rPr>
              <w:t>Component</w:t>
            </w:r>
          </w:p>
        </w:tc>
        <w:tc>
          <w:tcPr>
            <w:tcW w:w="1788" w:type="dxa"/>
            <w:vAlign w:val="center"/>
          </w:tcPr>
          <w:p w:rsidR="00EC0E6B" w:rsidRDefault="00975A50" w:rsidP="00227B9D">
            <w:pPr>
              <w:pStyle w:val="Answer"/>
              <w:spacing w:line="240" w:lineRule="auto"/>
              <w:ind w:left="0" w:firstLine="0"/>
              <w:jc w:val="center"/>
              <w:rPr>
                <w:b/>
              </w:rPr>
            </w:pPr>
            <w:r>
              <w:rPr>
                <w:b/>
              </w:rPr>
              <w:t>Percent of Total</w:t>
            </w:r>
          </w:p>
        </w:tc>
        <w:tc>
          <w:tcPr>
            <w:tcW w:w="1788" w:type="dxa"/>
            <w:vAlign w:val="center"/>
          </w:tcPr>
          <w:p w:rsidR="00EC0E6B" w:rsidRDefault="00975A50" w:rsidP="00227B9D">
            <w:pPr>
              <w:pStyle w:val="Answer"/>
              <w:spacing w:line="240" w:lineRule="auto"/>
              <w:ind w:left="0" w:firstLine="0"/>
              <w:jc w:val="center"/>
              <w:rPr>
                <w:b/>
              </w:rPr>
            </w:pPr>
            <w:r>
              <w:rPr>
                <w:b/>
              </w:rPr>
              <w:t>Cost</w:t>
            </w:r>
          </w:p>
        </w:tc>
        <w:tc>
          <w:tcPr>
            <w:tcW w:w="2274" w:type="dxa"/>
            <w:vAlign w:val="center"/>
          </w:tcPr>
          <w:p w:rsidR="00EC0E6B" w:rsidRDefault="00975A50" w:rsidP="00227B9D">
            <w:pPr>
              <w:pStyle w:val="Answer"/>
              <w:spacing w:line="240" w:lineRule="auto"/>
              <w:ind w:left="0" w:firstLine="0"/>
              <w:jc w:val="center"/>
              <w:rPr>
                <w:b/>
              </w:rPr>
            </w:pPr>
            <w:r>
              <w:rPr>
                <w:b/>
              </w:rPr>
              <w:t>Weighted Average</w:t>
            </w:r>
          </w:p>
        </w:tc>
      </w:tr>
      <w:tr w:rsidR="00975A50" w:rsidTr="00227B9D">
        <w:trPr>
          <w:trHeight w:val="350"/>
          <w:jc w:val="center"/>
        </w:trPr>
        <w:tc>
          <w:tcPr>
            <w:tcW w:w="2664" w:type="dxa"/>
            <w:vAlign w:val="center"/>
          </w:tcPr>
          <w:p w:rsidR="00EC0E6B" w:rsidRDefault="00975A50" w:rsidP="00227B9D">
            <w:pPr>
              <w:pStyle w:val="Answer"/>
              <w:spacing w:line="240" w:lineRule="auto"/>
              <w:ind w:left="0" w:firstLine="0"/>
              <w:jc w:val="left"/>
              <w:rPr>
                <w:b/>
              </w:rPr>
            </w:pPr>
            <w:r>
              <w:rPr>
                <w:b/>
              </w:rPr>
              <w:t>Long-Term Debt</w:t>
            </w:r>
          </w:p>
        </w:tc>
        <w:tc>
          <w:tcPr>
            <w:tcW w:w="1788" w:type="dxa"/>
            <w:vAlign w:val="center"/>
          </w:tcPr>
          <w:p w:rsidR="00EC0E6B" w:rsidRPr="00227B9D" w:rsidRDefault="00884DE6" w:rsidP="00227B9D">
            <w:pPr>
              <w:pStyle w:val="Answer"/>
              <w:spacing w:line="240" w:lineRule="auto"/>
              <w:ind w:left="0" w:firstLine="0"/>
              <w:jc w:val="right"/>
            </w:pPr>
            <w:r w:rsidRPr="00227B9D">
              <w:t>47.50%</w:t>
            </w:r>
          </w:p>
        </w:tc>
        <w:tc>
          <w:tcPr>
            <w:tcW w:w="1788" w:type="dxa"/>
            <w:vAlign w:val="center"/>
          </w:tcPr>
          <w:p w:rsidR="00EC0E6B" w:rsidRPr="00227B9D" w:rsidRDefault="00884DE6" w:rsidP="00227B9D">
            <w:pPr>
              <w:pStyle w:val="Answer"/>
              <w:spacing w:line="240" w:lineRule="auto"/>
              <w:ind w:left="0" w:firstLine="0"/>
              <w:jc w:val="right"/>
            </w:pPr>
            <w:r w:rsidRPr="00227B9D">
              <w:t>5.29%</w:t>
            </w:r>
          </w:p>
        </w:tc>
        <w:tc>
          <w:tcPr>
            <w:tcW w:w="2274" w:type="dxa"/>
            <w:vAlign w:val="center"/>
          </w:tcPr>
          <w:p w:rsidR="00EC0E6B" w:rsidRPr="00227B9D" w:rsidRDefault="00884DE6" w:rsidP="00227B9D">
            <w:pPr>
              <w:pStyle w:val="Answer"/>
              <w:spacing w:line="240" w:lineRule="auto"/>
              <w:ind w:left="0" w:firstLine="0"/>
              <w:jc w:val="right"/>
            </w:pPr>
            <w:r w:rsidRPr="00227B9D">
              <w:t>2.51%</w:t>
            </w:r>
          </w:p>
        </w:tc>
      </w:tr>
      <w:tr w:rsidR="00975A50" w:rsidTr="00227B9D">
        <w:trPr>
          <w:trHeight w:val="359"/>
          <w:jc w:val="center"/>
        </w:trPr>
        <w:tc>
          <w:tcPr>
            <w:tcW w:w="2664" w:type="dxa"/>
            <w:vAlign w:val="center"/>
          </w:tcPr>
          <w:p w:rsidR="00EC0E6B" w:rsidRDefault="00975A50" w:rsidP="00227B9D">
            <w:pPr>
              <w:pStyle w:val="Answer"/>
              <w:spacing w:line="240" w:lineRule="auto"/>
              <w:ind w:left="0" w:firstLine="0"/>
              <w:jc w:val="left"/>
              <w:rPr>
                <w:b/>
              </w:rPr>
            </w:pPr>
            <w:r>
              <w:rPr>
                <w:b/>
              </w:rPr>
              <w:t>Preferred Stock</w:t>
            </w:r>
          </w:p>
        </w:tc>
        <w:tc>
          <w:tcPr>
            <w:tcW w:w="1788" w:type="dxa"/>
            <w:vAlign w:val="center"/>
          </w:tcPr>
          <w:p w:rsidR="00EC0E6B" w:rsidRPr="00227B9D" w:rsidRDefault="00884DE6" w:rsidP="00227B9D">
            <w:pPr>
              <w:pStyle w:val="Answer"/>
              <w:spacing w:line="240" w:lineRule="auto"/>
              <w:ind w:left="0" w:firstLine="0"/>
              <w:jc w:val="right"/>
            </w:pPr>
            <w:r w:rsidRPr="00227B9D">
              <w:t>0.28%</w:t>
            </w:r>
          </w:p>
        </w:tc>
        <w:tc>
          <w:tcPr>
            <w:tcW w:w="1788" w:type="dxa"/>
            <w:vAlign w:val="center"/>
          </w:tcPr>
          <w:p w:rsidR="00EC0E6B" w:rsidRPr="00227B9D" w:rsidRDefault="00884DE6" w:rsidP="00227B9D">
            <w:pPr>
              <w:pStyle w:val="Answer"/>
              <w:spacing w:line="240" w:lineRule="auto"/>
              <w:ind w:left="0" w:firstLine="0"/>
              <w:jc w:val="right"/>
            </w:pPr>
            <w:r w:rsidRPr="00227B9D">
              <w:t>5.48%</w:t>
            </w:r>
          </w:p>
        </w:tc>
        <w:tc>
          <w:tcPr>
            <w:tcW w:w="2274" w:type="dxa"/>
            <w:vAlign w:val="center"/>
          </w:tcPr>
          <w:p w:rsidR="00EC0E6B" w:rsidRPr="00227B9D" w:rsidRDefault="00884DE6" w:rsidP="00227B9D">
            <w:pPr>
              <w:pStyle w:val="Answer"/>
              <w:spacing w:line="240" w:lineRule="auto"/>
              <w:ind w:left="0" w:firstLine="0"/>
              <w:jc w:val="right"/>
            </w:pPr>
            <w:r w:rsidRPr="00227B9D">
              <w:t>0.02%</w:t>
            </w:r>
          </w:p>
        </w:tc>
      </w:tr>
      <w:tr w:rsidR="00975A50" w:rsidTr="00227B9D">
        <w:trPr>
          <w:jc w:val="center"/>
        </w:trPr>
        <w:tc>
          <w:tcPr>
            <w:tcW w:w="2664" w:type="dxa"/>
            <w:tcBorders>
              <w:bottom w:val="double" w:sz="4" w:space="0" w:color="auto"/>
            </w:tcBorders>
            <w:vAlign w:val="center"/>
          </w:tcPr>
          <w:p w:rsidR="00EC0E6B" w:rsidRDefault="00975A50" w:rsidP="00227B9D">
            <w:pPr>
              <w:pStyle w:val="Answer"/>
              <w:spacing w:line="240" w:lineRule="auto"/>
              <w:ind w:left="0" w:firstLine="0"/>
              <w:jc w:val="left"/>
              <w:rPr>
                <w:b/>
              </w:rPr>
            </w:pPr>
            <w:r>
              <w:rPr>
                <w:b/>
              </w:rPr>
              <w:t>Common Stock Equity</w:t>
            </w:r>
          </w:p>
        </w:tc>
        <w:tc>
          <w:tcPr>
            <w:tcW w:w="1788" w:type="dxa"/>
            <w:tcBorders>
              <w:bottom w:val="double" w:sz="4" w:space="0" w:color="auto"/>
            </w:tcBorders>
            <w:vAlign w:val="center"/>
          </w:tcPr>
          <w:p w:rsidR="00EC0E6B" w:rsidRPr="00227B9D" w:rsidRDefault="00884DE6" w:rsidP="00227B9D">
            <w:pPr>
              <w:pStyle w:val="Answer"/>
              <w:spacing w:line="240" w:lineRule="auto"/>
              <w:ind w:left="0" w:firstLine="0"/>
              <w:jc w:val="right"/>
            </w:pPr>
            <w:r w:rsidRPr="00227B9D">
              <w:t>52.22%</w:t>
            </w:r>
          </w:p>
        </w:tc>
        <w:tc>
          <w:tcPr>
            <w:tcW w:w="1788" w:type="dxa"/>
            <w:tcBorders>
              <w:bottom w:val="double" w:sz="4" w:space="0" w:color="auto"/>
            </w:tcBorders>
            <w:vAlign w:val="center"/>
          </w:tcPr>
          <w:p w:rsidR="00EC0E6B" w:rsidRPr="00227B9D" w:rsidRDefault="00884DE6" w:rsidP="00227B9D">
            <w:pPr>
              <w:pStyle w:val="Answer"/>
              <w:spacing w:line="240" w:lineRule="auto"/>
              <w:ind w:left="0" w:firstLine="0"/>
              <w:jc w:val="right"/>
            </w:pPr>
            <w:r w:rsidRPr="00227B9D">
              <w:t>10.00%</w:t>
            </w:r>
          </w:p>
        </w:tc>
        <w:tc>
          <w:tcPr>
            <w:tcW w:w="2274" w:type="dxa"/>
            <w:tcBorders>
              <w:bottom w:val="double" w:sz="4" w:space="0" w:color="auto"/>
            </w:tcBorders>
            <w:vAlign w:val="center"/>
          </w:tcPr>
          <w:p w:rsidR="00EC0E6B" w:rsidRPr="00227B9D" w:rsidRDefault="00884DE6" w:rsidP="00227B9D">
            <w:pPr>
              <w:pStyle w:val="Answer"/>
              <w:spacing w:line="240" w:lineRule="auto"/>
              <w:ind w:left="0" w:firstLine="0"/>
              <w:jc w:val="right"/>
            </w:pPr>
            <w:r w:rsidRPr="00227B9D">
              <w:t>5.22%</w:t>
            </w:r>
          </w:p>
        </w:tc>
      </w:tr>
      <w:tr w:rsidR="00975A50" w:rsidTr="00227B9D">
        <w:trPr>
          <w:trHeight w:val="323"/>
          <w:jc w:val="center"/>
        </w:trPr>
        <w:tc>
          <w:tcPr>
            <w:tcW w:w="2664" w:type="dxa"/>
            <w:tcBorders>
              <w:top w:val="double" w:sz="4" w:space="0" w:color="auto"/>
              <w:left w:val="single" w:sz="4" w:space="0" w:color="auto"/>
              <w:bottom w:val="single" w:sz="4" w:space="0" w:color="auto"/>
              <w:right w:val="single" w:sz="4" w:space="0" w:color="auto"/>
            </w:tcBorders>
            <w:vAlign w:val="center"/>
          </w:tcPr>
          <w:p w:rsidR="00EC0E6B" w:rsidRDefault="00975A50" w:rsidP="00227B9D">
            <w:pPr>
              <w:pStyle w:val="Answer"/>
              <w:spacing w:line="240" w:lineRule="auto"/>
              <w:ind w:left="0" w:firstLine="0"/>
              <w:jc w:val="left"/>
              <w:rPr>
                <w:b/>
              </w:rPr>
            </w:pPr>
            <w:r>
              <w:rPr>
                <w:b/>
              </w:rPr>
              <w:t>Total</w:t>
            </w:r>
          </w:p>
        </w:tc>
        <w:tc>
          <w:tcPr>
            <w:tcW w:w="1788" w:type="dxa"/>
            <w:tcBorders>
              <w:top w:val="double" w:sz="4" w:space="0" w:color="auto"/>
              <w:left w:val="single" w:sz="4" w:space="0" w:color="auto"/>
              <w:bottom w:val="single" w:sz="4" w:space="0" w:color="auto"/>
              <w:right w:val="single" w:sz="4" w:space="0" w:color="auto"/>
            </w:tcBorders>
            <w:vAlign w:val="center"/>
          </w:tcPr>
          <w:p w:rsidR="00EC0E6B" w:rsidRPr="00227B9D" w:rsidRDefault="00884DE6" w:rsidP="00227B9D">
            <w:pPr>
              <w:pStyle w:val="Answer"/>
              <w:spacing w:line="240" w:lineRule="auto"/>
              <w:ind w:left="0" w:firstLine="0"/>
              <w:jc w:val="right"/>
            </w:pPr>
            <w:r w:rsidRPr="00227B9D">
              <w:t>100.00%</w:t>
            </w:r>
          </w:p>
        </w:tc>
        <w:tc>
          <w:tcPr>
            <w:tcW w:w="1788" w:type="dxa"/>
            <w:tcBorders>
              <w:top w:val="double" w:sz="4" w:space="0" w:color="auto"/>
              <w:left w:val="single" w:sz="4" w:space="0" w:color="auto"/>
              <w:bottom w:val="single" w:sz="4" w:space="0" w:color="auto"/>
              <w:right w:val="single" w:sz="4" w:space="0" w:color="auto"/>
            </w:tcBorders>
            <w:vAlign w:val="center"/>
          </w:tcPr>
          <w:p w:rsidR="00EC0E6B" w:rsidRPr="00227B9D" w:rsidRDefault="00EC0E6B" w:rsidP="00227B9D">
            <w:pPr>
              <w:pStyle w:val="Answer"/>
              <w:spacing w:line="240" w:lineRule="auto"/>
              <w:ind w:left="0" w:firstLine="0"/>
              <w:jc w:val="right"/>
            </w:pPr>
          </w:p>
        </w:tc>
        <w:tc>
          <w:tcPr>
            <w:tcW w:w="2274" w:type="dxa"/>
            <w:tcBorders>
              <w:top w:val="double" w:sz="4" w:space="0" w:color="auto"/>
              <w:left w:val="single" w:sz="4" w:space="0" w:color="auto"/>
              <w:bottom w:val="single" w:sz="4" w:space="0" w:color="auto"/>
              <w:right w:val="single" w:sz="4" w:space="0" w:color="auto"/>
            </w:tcBorders>
            <w:vAlign w:val="center"/>
          </w:tcPr>
          <w:p w:rsidR="00EC0E6B" w:rsidRPr="00227B9D" w:rsidRDefault="00884DE6" w:rsidP="00227B9D">
            <w:pPr>
              <w:pStyle w:val="Answer"/>
              <w:spacing w:line="240" w:lineRule="auto"/>
              <w:ind w:left="0" w:firstLine="0"/>
              <w:jc w:val="right"/>
            </w:pPr>
            <w:r w:rsidRPr="00227B9D">
              <w:t>7.75%</w:t>
            </w:r>
          </w:p>
        </w:tc>
      </w:tr>
    </w:tbl>
    <w:p w:rsidR="00EC0E6B" w:rsidRDefault="00EC0E6B" w:rsidP="00227B9D">
      <w:pPr>
        <w:suppressLineNumbers/>
        <w:jc w:val="center"/>
      </w:pPr>
    </w:p>
    <w:p w:rsidR="00EC0E6B" w:rsidRDefault="00975A50" w:rsidP="00227B9D">
      <w:pPr>
        <w:pStyle w:val="Answer"/>
        <w:ind w:firstLine="0"/>
        <w:jc w:val="left"/>
      </w:pPr>
      <w:r>
        <w:t>The revenue requirement impact of updating the cost of capital reduces the Washington-allocated revenue requirement by approximately a $0.6 million from the Company’s initial filing.</w:t>
      </w:r>
    </w:p>
    <w:p w:rsidR="00EC0E6B" w:rsidRDefault="00A539E7" w:rsidP="00227B9D">
      <w:pPr>
        <w:pStyle w:val="Heading3"/>
      </w:pPr>
      <w:bookmarkStart w:id="6" w:name="_Toc363024795"/>
      <w:r>
        <w:t>Net-to-Gross</w:t>
      </w:r>
      <w:r w:rsidR="00975A50">
        <w:t xml:space="preserve"> Conversion Factor</w:t>
      </w:r>
      <w:bookmarkEnd w:id="6"/>
    </w:p>
    <w:p w:rsidR="00A539E7" w:rsidRDefault="00A539E7" w:rsidP="00054ECC">
      <w:pPr>
        <w:pStyle w:val="Answer"/>
        <w:jc w:val="left"/>
        <w:rPr>
          <w:b/>
        </w:rPr>
      </w:pPr>
      <w:r w:rsidRPr="00B97EE6">
        <w:rPr>
          <w:b/>
        </w:rPr>
        <w:t>Q.</w:t>
      </w:r>
      <w:r w:rsidRPr="00B97EE6">
        <w:rPr>
          <w:b/>
        </w:rPr>
        <w:tab/>
      </w:r>
      <w:r w:rsidR="00975A50">
        <w:rPr>
          <w:b/>
        </w:rPr>
        <w:t>Has the Company changed the n</w:t>
      </w:r>
      <w:r>
        <w:rPr>
          <w:b/>
        </w:rPr>
        <w:t>et-to-</w:t>
      </w:r>
      <w:r w:rsidR="00975A50">
        <w:rPr>
          <w:b/>
        </w:rPr>
        <w:t>g</w:t>
      </w:r>
      <w:r>
        <w:rPr>
          <w:b/>
        </w:rPr>
        <w:t xml:space="preserve">ross </w:t>
      </w:r>
      <w:r w:rsidR="00975A50">
        <w:rPr>
          <w:b/>
        </w:rPr>
        <w:t>conversion factor from its initial filing?</w:t>
      </w:r>
    </w:p>
    <w:p w:rsidR="00A539E7" w:rsidRDefault="00A539E7" w:rsidP="00054ECC">
      <w:pPr>
        <w:pStyle w:val="Answer"/>
        <w:jc w:val="left"/>
      </w:pPr>
      <w:r w:rsidRPr="00B97EE6">
        <w:t>A.</w:t>
      </w:r>
      <w:r>
        <w:tab/>
      </w:r>
      <w:r w:rsidR="00975A50">
        <w:t xml:space="preserve">Yes.  </w:t>
      </w:r>
      <w:r>
        <w:t xml:space="preserve">As </w:t>
      </w:r>
      <w:r w:rsidR="00B2132A">
        <w:t xml:space="preserve">discussed in detail below, Staff proposes a modification to the net-to-gross conversion factor associated with its calculation of </w:t>
      </w:r>
      <w:r>
        <w:t>uncollectible expense</w:t>
      </w:r>
      <w:r w:rsidR="00B2132A">
        <w:t>.  Specifically, Staff removes the deduction of uncollectible expense from the calculation of Washington state public utility tax.</w:t>
      </w:r>
      <w:r w:rsidR="00B2132A">
        <w:rPr>
          <w:rStyle w:val="FootnoteReference"/>
        </w:rPr>
        <w:footnoteReference w:id="3"/>
      </w:r>
      <w:r w:rsidR="00B2132A">
        <w:t xml:space="preserve">  Although the Company proposes calculating uncollectible expense included in the test year differently than Staff, t</w:t>
      </w:r>
      <w:r>
        <w:t>he Company a</w:t>
      </w:r>
      <w:r w:rsidR="00B2132A">
        <w:t>ccepts Staff’s proposed methodological change to the development of the net-to-gross conversion factor</w:t>
      </w:r>
      <w:r>
        <w:t>.</w:t>
      </w:r>
      <w:r w:rsidR="00661E36">
        <w:t xml:space="preserve">  </w:t>
      </w:r>
      <w:r w:rsidR="00B2132A">
        <w:t>The Company’s response to Staff’s level of uncollectible expense included in the test year is discussed later in my testimony.  This change to the net-to-gross conversion factor</w:t>
      </w:r>
      <w:r w:rsidR="00661E36">
        <w:t xml:space="preserve"> decreases the Company’s </w:t>
      </w:r>
      <w:r w:rsidR="00975A50">
        <w:t xml:space="preserve">Washington-allocated </w:t>
      </w:r>
      <w:r w:rsidR="00661E36">
        <w:t xml:space="preserve">revenue requirement by </w:t>
      </w:r>
      <w:r w:rsidR="00975A50">
        <w:t xml:space="preserve">approximately </w:t>
      </w:r>
      <w:r w:rsidR="00661E36">
        <w:t>$</w:t>
      </w:r>
      <w:r w:rsidR="00011C71">
        <w:t>3</w:t>
      </w:r>
      <w:r w:rsidR="00C80232">
        <w:t>5</w:t>
      </w:r>
      <w:r w:rsidR="00011C71">
        <w:t>,000</w:t>
      </w:r>
      <w:r w:rsidR="008A21BE">
        <w:t xml:space="preserve"> </w:t>
      </w:r>
      <w:r w:rsidR="00975A50">
        <w:t>from the Company’s initial filing</w:t>
      </w:r>
      <w:r w:rsidR="00661E36">
        <w:t>.</w:t>
      </w:r>
    </w:p>
    <w:p w:rsidR="00EC0E6B" w:rsidRDefault="00636F1E" w:rsidP="00227B9D">
      <w:pPr>
        <w:pStyle w:val="Heading3"/>
      </w:pPr>
      <w:bookmarkStart w:id="7" w:name="_Toc363024796"/>
      <w:r w:rsidRPr="00F50E06">
        <w:t>F</w:t>
      </w:r>
      <w:r w:rsidR="00B2132A">
        <w:t>ederal Energy Regulatory Commission (F</w:t>
      </w:r>
      <w:r w:rsidRPr="00F50E06">
        <w:t>ERC</w:t>
      </w:r>
      <w:r w:rsidR="00B2132A">
        <w:t>)</w:t>
      </w:r>
      <w:r w:rsidRPr="00F50E06">
        <w:t xml:space="preserve"> Settlement</w:t>
      </w:r>
      <w:bookmarkEnd w:id="7"/>
    </w:p>
    <w:p w:rsidR="00636F1E" w:rsidRDefault="00636F1E" w:rsidP="00054ECC">
      <w:pPr>
        <w:pStyle w:val="Answer"/>
        <w:jc w:val="left"/>
        <w:rPr>
          <w:b/>
        </w:rPr>
      </w:pPr>
      <w:r w:rsidRPr="00B97EE6">
        <w:rPr>
          <w:b/>
        </w:rPr>
        <w:t>Q.</w:t>
      </w:r>
      <w:r w:rsidRPr="00B97EE6">
        <w:rPr>
          <w:b/>
        </w:rPr>
        <w:tab/>
        <w:t xml:space="preserve">Do </w:t>
      </w:r>
      <w:r>
        <w:rPr>
          <w:b/>
        </w:rPr>
        <w:t xml:space="preserve">any </w:t>
      </w:r>
      <w:r w:rsidRPr="00B97EE6">
        <w:rPr>
          <w:b/>
        </w:rPr>
        <w:t xml:space="preserve">parties propose any adjustments related to </w:t>
      </w:r>
      <w:r w:rsidR="00B2132A">
        <w:rPr>
          <w:b/>
        </w:rPr>
        <w:t>revenues from the Company’s Open Access Transmission Tariff (O</w:t>
      </w:r>
      <w:r w:rsidRPr="00B97EE6">
        <w:rPr>
          <w:b/>
        </w:rPr>
        <w:t>ATT</w:t>
      </w:r>
      <w:r w:rsidR="00B2132A">
        <w:rPr>
          <w:b/>
        </w:rPr>
        <w:t>)</w:t>
      </w:r>
      <w:r w:rsidRPr="00B97EE6">
        <w:rPr>
          <w:b/>
        </w:rPr>
        <w:t>?</w:t>
      </w:r>
    </w:p>
    <w:p w:rsidR="00636F1E" w:rsidRDefault="00636F1E" w:rsidP="00054ECC">
      <w:pPr>
        <w:pStyle w:val="Answer"/>
        <w:jc w:val="left"/>
      </w:pPr>
      <w:r w:rsidRPr="00B97EE6">
        <w:t>A.</w:t>
      </w:r>
      <w:r>
        <w:tab/>
        <w:t xml:space="preserve">Yes.  </w:t>
      </w:r>
      <w:r w:rsidR="00B2132A">
        <w:t>Boise</w:t>
      </w:r>
      <w:r>
        <w:t xml:space="preserve"> proposes </w:t>
      </w:r>
      <w:r w:rsidR="00B2132A">
        <w:t xml:space="preserve">including additional revenues projected as a result of the settlement reached in the Company’s recent FERC </w:t>
      </w:r>
      <w:r w:rsidR="007D7ED6">
        <w:t xml:space="preserve">transmission </w:t>
      </w:r>
      <w:r w:rsidR="00B2132A">
        <w:t xml:space="preserve">rate case, </w:t>
      </w:r>
      <w:r>
        <w:t>FERC Docket Nos. ER11-3643-000 and ER11-3643-001.</w:t>
      </w:r>
      <w:r w:rsidR="00B2132A">
        <w:rPr>
          <w:rStyle w:val="FootnoteReference"/>
        </w:rPr>
        <w:footnoteReference w:id="4"/>
      </w:r>
      <w:r w:rsidR="00B2132A">
        <w:t xml:space="preserve">  Boise makes this adjustment based on the Company’s initial response to Staff Data Request 225.  </w:t>
      </w:r>
    </w:p>
    <w:p w:rsidR="00636F1E" w:rsidRDefault="00636F1E" w:rsidP="00054ECC">
      <w:pPr>
        <w:pStyle w:val="Answer"/>
        <w:jc w:val="left"/>
        <w:rPr>
          <w:b/>
        </w:rPr>
      </w:pPr>
      <w:r w:rsidRPr="00B97EE6">
        <w:rPr>
          <w:b/>
        </w:rPr>
        <w:t>Q.</w:t>
      </w:r>
      <w:r w:rsidRPr="00B97EE6">
        <w:rPr>
          <w:b/>
        </w:rPr>
        <w:tab/>
        <w:t xml:space="preserve">Does the Company agree with </w:t>
      </w:r>
      <w:r w:rsidR="00B2132A">
        <w:rPr>
          <w:b/>
        </w:rPr>
        <w:t>Boise</w:t>
      </w:r>
      <w:r w:rsidRPr="00B97EE6">
        <w:rPr>
          <w:b/>
        </w:rPr>
        <w:t>’s adjustment?</w:t>
      </w:r>
    </w:p>
    <w:p w:rsidR="00EC0E6B" w:rsidRDefault="00636F1E" w:rsidP="00227B9D">
      <w:pPr>
        <w:pStyle w:val="Answer"/>
        <w:jc w:val="left"/>
      </w:pPr>
      <w:r w:rsidRPr="00B97EE6">
        <w:t>A.</w:t>
      </w:r>
      <w:r w:rsidRPr="00B97EE6">
        <w:tab/>
        <w:t>Yes, in principle.</w:t>
      </w:r>
      <w:r>
        <w:t xml:space="preserve">  </w:t>
      </w:r>
      <w:r w:rsidR="004672F6">
        <w:t>FERC approved the s</w:t>
      </w:r>
      <w:r w:rsidR="00905F1D">
        <w:t xml:space="preserve">ettlement reached </w:t>
      </w:r>
      <w:r>
        <w:t>in</w:t>
      </w:r>
      <w:r w:rsidR="004672F6">
        <w:t xml:space="preserve"> the Company’s</w:t>
      </w:r>
      <w:r>
        <w:t xml:space="preserve"> </w:t>
      </w:r>
      <w:r w:rsidR="004672F6">
        <w:t xml:space="preserve">transmission rate case in May 2013, </w:t>
      </w:r>
      <w:r w:rsidR="00B2132A">
        <w:t xml:space="preserve">after </w:t>
      </w:r>
      <w:r>
        <w:t>the Company fil</w:t>
      </w:r>
      <w:r w:rsidR="00B2132A">
        <w:t>ed this</w:t>
      </w:r>
      <w:r>
        <w:t xml:space="preserve"> general rate case in January 2013.  </w:t>
      </w:r>
      <w:r w:rsidR="004672F6">
        <w:t>Accordingly</w:t>
      </w:r>
      <w:r>
        <w:t xml:space="preserve">, the impacts of the new OATT rates </w:t>
      </w:r>
      <w:r w:rsidR="00E45E63">
        <w:t xml:space="preserve">are </w:t>
      </w:r>
      <w:r w:rsidR="004672F6">
        <w:t xml:space="preserve">now </w:t>
      </w:r>
      <w:r w:rsidR="007D7ED6">
        <w:t xml:space="preserve">being </w:t>
      </w:r>
      <w:r>
        <w:t xml:space="preserve">included as part of the Company’s rebuttal </w:t>
      </w:r>
      <w:r w:rsidR="004672F6">
        <w:t>filing</w:t>
      </w:r>
      <w:r>
        <w:t xml:space="preserve"> </w:t>
      </w:r>
      <w:r w:rsidR="004672F6">
        <w:t>in Adjustment 3.6</w:t>
      </w:r>
      <w:r w:rsidR="004A084B">
        <w:t xml:space="preserve"> (</w:t>
      </w:r>
      <w:r w:rsidR="004672F6">
        <w:t>Wheeling Revenue</w:t>
      </w:r>
      <w:r w:rsidR="004A084B">
        <w:t>)</w:t>
      </w:r>
      <w:r>
        <w:t>.</w:t>
      </w:r>
      <w:r w:rsidR="004672F6">
        <w:t xml:space="preserve">  This adjustment, however, reflects the Company’s revised response to Staff Data Request 225.  After Boise’s testimony was filed in June 2013, the Company discovered that it applied incorrect allocation factors in its initial response to this data request and provided an updated response in July 2013.  In addition, the Company’s revised response included updated projected revenues from the FERC settlement.  Included as Exhibit No.__</w:t>
      </w:r>
      <w:r w:rsidR="00C80232">
        <w:t>_</w:t>
      </w:r>
      <w:r w:rsidR="004672F6">
        <w:t xml:space="preserve">(SRM-8) is a copy of the Company’s revised response to Staff Data Request 225.  </w:t>
      </w:r>
      <w:r>
        <w:t>Th</w:t>
      </w:r>
      <w:r w:rsidR="004672F6">
        <w:t>is adjustment reduces Washington</w:t>
      </w:r>
      <w:r w:rsidR="008A21BE">
        <w:t>-allocated</w:t>
      </w:r>
      <w:r w:rsidR="004672F6">
        <w:t xml:space="preserve"> revenue requirement by approximately </w:t>
      </w:r>
      <w:r w:rsidR="0015516F">
        <w:t>$0.2</w:t>
      </w:r>
      <w:r>
        <w:t xml:space="preserve"> million</w:t>
      </w:r>
      <w:r w:rsidR="004672F6">
        <w:t xml:space="preserve"> from the Company’s initial filing</w:t>
      </w:r>
      <w:r>
        <w:t>.</w:t>
      </w:r>
    </w:p>
    <w:p w:rsidR="00EC0E6B" w:rsidRDefault="00F50FBD" w:rsidP="007B764E">
      <w:pPr>
        <w:pStyle w:val="Heading3"/>
      </w:pPr>
      <w:bookmarkStart w:id="8" w:name="_Toc363024797"/>
      <w:r w:rsidRPr="00F50FBD">
        <w:t>Schedule 300</w:t>
      </w:r>
      <w:r w:rsidR="008A21BE">
        <w:t>/Rule 6 Modifications</w:t>
      </w:r>
      <w:bookmarkEnd w:id="8"/>
    </w:p>
    <w:p w:rsidR="00DD5473" w:rsidRDefault="00DD5473" w:rsidP="00054ECC">
      <w:pPr>
        <w:spacing w:line="480" w:lineRule="auto"/>
        <w:ind w:left="720" w:hanging="720"/>
        <w:jc w:val="left"/>
        <w:rPr>
          <w:b/>
        </w:rPr>
      </w:pPr>
      <w:r w:rsidRPr="00955D06">
        <w:rPr>
          <w:b/>
        </w:rPr>
        <w:t>Q.</w:t>
      </w:r>
      <w:r>
        <w:rPr>
          <w:b/>
        </w:rPr>
        <w:tab/>
      </w:r>
      <w:r w:rsidR="008A21BE">
        <w:rPr>
          <w:b/>
        </w:rPr>
        <w:t>Has the Company made any modifications to its proposals to modify Schedule 300 and Rule</w:t>
      </w:r>
      <w:r w:rsidR="007D7ED6">
        <w:rPr>
          <w:b/>
        </w:rPr>
        <w:t xml:space="preserve"> 6</w:t>
      </w:r>
      <w:r w:rsidR="008A21BE">
        <w:rPr>
          <w:b/>
        </w:rPr>
        <w:t>?</w:t>
      </w:r>
    </w:p>
    <w:p w:rsidR="00EC0E6B" w:rsidRDefault="00DD5473" w:rsidP="007B764E">
      <w:pPr>
        <w:pStyle w:val="Answer"/>
        <w:jc w:val="left"/>
        <w:rPr>
          <w:b/>
          <w:bCs/>
          <w:iCs/>
        </w:rPr>
      </w:pPr>
      <w:r w:rsidRPr="009F6936">
        <w:t>A.</w:t>
      </w:r>
      <w:r>
        <w:tab/>
      </w:r>
      <w:r w:rsidR="008A21BE">
        <w:t xml:space="preserve">Yes.  The </w:t>
      </w:r>
      <w:r>
        <w:t xml:space="preserve">Company </w:t>
      </w:r>
      <w:r w:rsidR="008A21BE">
        <w:t>filed a motion to withdraw its changes to Schedule 300 and Rule 6, which was granted by the Commission on July 29, 2013.</w:t>
      </w:r>
      <w:r w:rsidR="008A21BE">
        <w:rPr>
          <w:rStyle w:val="FootnoteReference"/>
        </w:rPr>
        <w:footnoteReference w:id="5"/>
      </w:r>
      <w:r w:rsidR="008A21BE">
        <w:t xml:space="preserve">  Accordingly, the Company has revised Adjustment 3.8</w:t>
      </w:r>
      <w:r w:rsidR="004A084B">
        <w:t xml:space="preserve"> (</w:t>
      </w:r>
      <w:r w:rsidR="008A21BE">
        <w:t>Schedule 300 Fee Change</w:t>
      </w:r>
      <w:r w:rsidR="004A084B">
        <w:t>)</w:t>
      </w:r>
      <w:r w:rsidR="008A21BE">
        <w:t xml:space="preserve"> to remove all impacts of the Company’s original proposal.  This change increases Washington-allocated revenue requirement by approximately $0.1 million from the Company’s original filing.</w:t>
      </w:r>
    </w:p>
    <w:p w:rsidR="00EC0E6B" w:rsidRDefault="0023401F" w:rsidP="007B764E">
      <w:pPr>
        <w:pStyle w:val="Heading3"/>
      </w:pPr>
      <w:bookmarkStart w:id="9" w:name="_Toc363024798"/>
      <w:r w:rsidRPr="00593A3E">
        <w:t xml:space="preserve">Jim Bridger </w:t>
      </w:r>
      <w:r w:rsidR="008A21BE">
        <w:t xml:space="preserve">Turbine </w:t>
      </w:r>
      <w:r w:rsidRPr="00593A3E">
        <w:t>Write</w:t>
      </w:r>
      <w:r w:rsidR="004A084B">
        <w:t>-</w:t>
      </w:r>
      <w:r w:rsidRPr="00593A3E">
        <w:t>Off</w:t>
      </w:r>
      <w:bookmarkEnd w:id="9"/>
    </w:p>
    <w:p w:rsidR="0023401F" w:rsidRPr="00955D06" w:rsidRDefault="0023401F" w:rsidP="00054ECC">
      <w:pPr>
        <w:spacing w:line="480" w:lineRule="auto"/>
        <w:ind w:left="720" w:hanging="720"/>
        <w:jc w:val="left"/>
        <w:rPr>
          <w:b/>
        </w:rPr>
      </w:pPr>
      <w:r w:rsidRPr="00955D06">
        <w:rPr>
          <w:b/>
        </w:rPr>
        <w:t>Q.</w:t>
      </w:r>
      <w:r>
        <w:rPr>
          <w:b/>
        </w:rPr>
        <w:tab/>
        <w:t xml:space="preserve">Please describe </w:t>
      </w:r>
      <w:r w:rsidR="008A21BE">
        <w:rPr>
          <w:b/>
        </w:rPr>
        <w:t xml:space="preserve">Public Counsel’s </w:t>
      </w:r>
      <w:r>
        <w:rPr>
          <w:b/>
        </w:rPr>
        <w:t xml:space="preserve">proposed </w:t>
      </w:r>
      <w:r w:rsidR="008A21BE">
        <w:rPr>
          <w:b/>
        </w:rPr>
        <w:t>adjustment related to</w:t>
      </w:r>
      <w:r>
        <w:rPr>
          <w:b/>
        </w:rPr>
        <w:t xml:space="preserve"> the Jim Bridger </w:t>
      </w:r>
      <w:r w:rsidR="004A084B">
        <w:rPr>
          <w:b/>
        </w:rPr>
        <w:t>turbine write-off</w:t>
      </w:r>
      <w:r w:rsidR="008A21BE">
        <w:rPr>
          <w:b/>
        </w:rPr>
        <w:t>.</w:t>
      </w:r>
    </w:p>
    <w:p w:rsidR="00EC0E6B" w:rsidRDefault="0023401F" w:rsidP="007B764E">
      <w:pPr>
        <w:spacing w:line="480" w:lineRule="auto"/>
        <w:ind w:left="720" w:hanging="720"/>
        <w:jc w:val="left"/>
        <w:rPr>
          <w:b/>
        </w:rPr>
      </w:pPr>
      <w:r>
        <w:t>A.</w:t>
      </w:r>
      <w:r>
        <w:tab/>
        <w:t>Public Counsel propos</w:t>
      </w:r>
      <w:r w:rsidR="008A21BE">
        <w:t>es an adjustment to remove costs associated with a</w:t>
      </w:r>
      <w:r w:rsidR="004A084B">
        <w:t xml:space="preserve"> write-off</w:t>
      </w:r>
      <w:r>
        <w:t xml:space="preserve"> </w:t>
      </w:r>
      <w:r w:rsidR="008A21BE">
        <w:t>for</w:t>
      </w:r>
      <w:r>
        <w:t xml:space="preserve"> </w:t>
      </w:r>
      <w:r w:rsidR="008A21BE">
        <w:t xml:space="preserve">the </w:t>
      </w:r>
      <w:r>
        <w:t xml:space="preserve">Jim Bridger Unit 2 </w:t>
      </w:r>
      <w:r w:rsidR="008A21BE">
        <w:t xml:space="preserve">turbine </w:t>
      </w:r>
      <w:r>
        <w:t>upgrade</w:t>
      </w:r>
      <w:r w:rsidR="004A084B">
        <w:t>.</w:t>
      </w:r>
      <w:r w:rsidR="004A084B">
        <w:rPr>
          <w:rStyle w:val="FootnoteReference"/>
        </w:rPr>
        <w:footnoteReference w:id="6"/>
      </w:r>
      <w:r w:rsidR="004A084B">
        <w:t xml:space="preserve">  For purposes of this case, the Company agrees to remove all revenue requirement impacts associated with this expense.  Public Counsel’s adjustment, however, erroneously removes the costs from rate base rather than operation and maintenance (O&amp;M) expense.  Because the write-off is included in the per books O&amp;M data in FERC account 557 (Other Power Supply Expenses), the Company’s rebuttal adjustment removes this write-off from the Washington results of operations.  Accordingly, the Company has revised Adjustment 4.5 (Remove Non-Recurring Entries) to reflect this change, resulting in a </w:t>
      </w:r>
      <w:r>
        <w:t xml:space="preserve">reduction to </w:t>
      </w:r>
      <w:r w:rsidR="004A084B">
        <w:t xml:space="preserve">the Washington-allocated </w:t>
      </w:r>
      <w:r>
        <w:t xml:space="preserve">revenue requirement of </w:t>
      </w:r>
      <w:r w:rsidR="004A084B">
        <w:t xml:space="preserve">approximately </w:t>
      </w:r>
      <w:r w:rsidR="00884DE6" w:rsidRPr="007B764E">
        <w:t>$0.3</w:t>
      </w:r>
      <w:r w:rsidR="004A084B">
        <w:t> </w:t>
      </w:r>
      <w:r w:rsidR="00884DE6" w:rsidRPr="007B764E">
        <w:t>million</w:t>
      </w:r>
      <w:r w:rsidR="00905F1D">
        <w:t xml:space="preserve"> </w:t>
      </w:r>
      <w:r w:rsidR="004A084B">
        <w:t xml:space="preserve">from the </w:t>
      </w:r>
      <w:r w:rsidR="004613AD">
        <w:t xml:space="preserve">Company’s </w:t>
      </w:r>
      <w:r w:rsidR="004A084B">
        <w:t>initial filing</w:t>
      </w:r>
      <w:r>
        <w:t>.</w:t>
      </w:r>
    </w:p>
    <w:p w:rsidR="00EC0E6B" w:rsidRDefault="0023401F" w:rsidP="007B764E">
      <w:pPr>
        <w:pStyle w:val="Heading3"/>
      </w:pPr>
      <w:bookmarkStart w:id="10" w:name="_Toc363024799"/>
      <w:r w:rsidRPr="00F50FBD">
        <w:t>Insurance Expense</w:t>
      </w:r>
      <w:bookmarkEnd w:id="10"/>
    </w:p>
    <w:p w:rsidR="0023401F" w:rsidRDefault="0023401F" w:rsidP="00054ECC">
      <w:pPr>
        <w:pStyle w:val="Answer"/>
        <w:jc w:val="left"/>
        <w:rPr>
          <w:b/>
        </w:rPr>
      </w:pPr>
      <w:r w:rsidRPr="00643638">
        <w:rPr>
          <w:b/>
        </w:rPr>
        <w:t>Q.</w:t>
      </w:r>
      <w:r w:rsidRPr="00643638">
        <w:rPr>
          <w:b/>
        </w:rPr>
        <w:tab/>
        <w:t xml:space="preserve">Please describe </w:t>
      </w:r>
      <w:r w:rsidR="004A084B">
        <w:rPr>
          <w:b/>
        </w:rPr>
        <w:t xml:space="preserve">Public Counsel’s proposed </w:t>
      </w:r>
      <w:r w:rsidRPr="00643638">
        <w:rPr>
          <w:b/>
        </w:rPr>
        <w:t xml:space="preserve">adjustment </w:t>
      </w:r>
      <w:r w:rsidR="004A084B">
        <w:rPr>
          <w:b/>
        </w:rPr>
        <w:t>to insurance expense.</w:t>
      </w:r>
    </w:p>
    <w:p w:rsidR="0023401F" w:rsidRDefault="0023401F" w:rsidP="00054ECC">
      <w:pPr>
        <w:pStyle w:val="Answer"/>
        <w:jc w:val="left"/>
      </w:pPr>
      <w:r w:rsidRPr="00643638">
        <w:t>A.</w:t>
      </w:r>
      <w:r w:rsidRPr="00643638">
        <w:tab/>
        <w:t>Public</w:t>
      </w:r>
      <w:r>
        <w:t xml:space="preserve"> Counsel proposes two adjustments to Adjustment 4.8</w:t>
      </w:r>
      <w:r w:rsidR="004A084B">
        <w:t xml:space="preserve"> (</w:t>
      </w:r>
      <w:r>
        <w:t>Insurance Expense</w:t>
      </w:r>
      <w:r w:rsidR="004A084B">
        <w:t>)</w:t>
      </w:r>
      <w:r>
        <w:t xml:space="preserve">.  First, </w:t>
      </w:r>
      <w:r w:rsidR="004A084B">
        <w:t>Public Counsel</w:t>
      </w:r>
      <w:r>
        <w:t xml:space="preserve"> proposes to reduce the amount of insurance expense included in the </w:t>
      </w:r>
      <w:r w:rsidR="00DB3336">
        <w:t>test period based on more</w:t>
      </w:r>
      <w:r>
        <w:t xml:space="preserve"> recent policy </w:t>
      </w:r>
      <w:r w:rsidR="00DB3336">
        <w:t>information.</w:t>
      </w:r>
      <w:r w:rsidR="00DB3336">
        <w:rPr>
          <w:rStyle w:val="FootnoteReference"/>
        </w:rPr>
        <w:footnoteReference w:id="7"/>
      </w:r>
      <w:r w:rsidR="00DB3336">
        <w:t xml:space="preserve">  </w:t>
      </w:r>
      <w:r>
        <w:t xml:space="preserve">Second, </w:t>
      </w:r>
      <w:r w:rsidR="004A084B">
        <w:t>Public Counsel</w:t>
      </w:r>
      <w:r>
        <w:t xml:space="preserve"> proposes to modify certain tax elements of </w:t>
      </w:r>
      <w:r w:rsidR="00DB3336">
        <w:t>the Company’s original restating adjustment</w:t>
      </w:r>
      <w:r>
        <w:t>.</w:t>
      </w:r>
      <w:r w:rsidR="004A084B">
        <w:rPr>
          <w:rStyle w:val="FootnoteReference"/>
        </w:rPr>
        <w:footnoteReference w:id="8"/>
      </w:r>
    </w:p>
    <w:p w:rsidR="0023401F" w:rsidRPr="00643638" w:rsidRDefault="0023401F" w:rsidP="00054ECC">
      <w:pPr>
        <w:pStyle w:val="Answer"/>
        <w:jc w:val="left"/>
        <w:rPr>
          <w:b/>
        </w:rPr>
      </w:pPr>
      <w:r w:rsidRPr="00643638">
        <w:rPr>
          <w:b/>
        </w:rPr>
        <w:t>Q.</w:t>
      </w:r>
      <w:r w:rsidRPr="00643638">
        <w:rPr>
          <w:b/>
        </w:rPr>
        <w:tab/>
        <w:t>Do you agree with the</w:t>
      </w:r>
      <w:r w:rsidR="00DB3336">
        <w:rPr>
          <w:b/>
        </w:rPr>
        <w:t>se</w:t>
      </w:r>
      <w:r w:rsidRPr="00643638">
        <w:rPr>
          <w:b/>
        </w:rPr>
        <w:t xml:space="preserve"> proposed modifications?</w:t>
      </w:r>
    </w:p>
    <w:p w:rsidR="00EC0E6B" w:rsidRDefault="0023401F" w:rsidP="007B764E">
      <w:pPr>
        <w:pStyle w:val="Answer"/>
        <w:jc w:val="left"/>
      </w:pPr>
      <w:r>
        <w:t>A.</w:t>
      </w:r>
      <w:r>
        <w:tab/>
        <w:t xml:space="preserve">Yes.  The Company </w:t>
      </w:r>
      <w:r w:rsidR="00DB3336">
        <w:t xml:space="preserve">has incorporated both of these adjustments in its rebuttal revenue requirement.  The impacts associated with these changes are captured in the Company’s revised Adjustment 4.8 (Insurance Expense), which reduces Washington-allocated revenue requirement by approximately </w:t>
      </w:r>
      <w:r w:rsidR="00661E36">
        <w:t>$0.3 million</w:t>
      </w:r>
      <w:r w:rsidR="004613AD">
        <w:t xml:space="preserve"> </w:t>
      </w:r>
      <w:r w:rsidR="00DB3336">
        <w:t xml:space="preserve">from the </w:t>
      </w:r>
      <w:r w:rsidR="004613AD">
        <w:t xml:space="preserve">Company’s </w:t>
      </w:r>
      <w:r w:rsidR="00DB3336">
        <w:t>initial filing</w:t>
      </w:r>
      <w:r>
        <w:t>.</w:t>
      </w:r>
      <w:r w:rsidR="00054ECC">
        <w:br w:type="page"/>
      </w:r>
    </w:p>
    <w:p w:rsidR="00EC0E6B" w:rsidRDefault="0023401F" w:rsidP="007B764E">
      <w:pPr>
        <w:pStyle w:val="Heading3"/>
      </w:pPr>
      <w:bookmarkStart w:id="11" w:name="_Toc363024800"/>
      <w:r w:rsidRPr="00F50FBD">
        <w:t>Uncollectible Expense</w:t>
      </w:r>
      <w:bookmarkEnd w:id="11"/>
    </w:p>
    <w:p w:rsidR="00F84219" w:rsidRDefault="0023401F">
      <w:pPr>
        <w:pStyle w:val="Answer"/>
        <w:jc w:val="left"/>
        <w:rPr>
          <w:b/>
        </w:rPr>
      </w:pPr>
      <w:r w:rsidRPr="00A6567F">
        <w:rPr>
          <w:b/>
        </w:rPr>
        <w:t>Q.</w:t>
      </w:r>
      <w:r w:rsidRPr="00A6567F">
        <w:rPr>
          <w:b/>
        </w:rPr>
        <w:tab/>
        <w:t xml:space="preserve">Please describe </w:t>
      </w:r>
      <w:r w:rsidR="00DB3336">
        <w:rPr>
          <w:b/>
        </w:rPr>
        <w:t xml:space="preserve">Staff’s and Public Counsel’s </w:t>
      </w:r>
      <w:r w:rsidRPr="00A6567F">
        <w:rPr>
          <w:b/>
        </w:rPr>
        <w:t>adjustments to uncollectible expense.</w:t>
      </w:r>
    </w:p>
    <w:p w:rsidR="0023401F" w:rsidRDefault="0023401F" w:rsidP="00054ECC">
      <w:pPr>
        <w:pStyle w:val="Answer"/>
        <w:jc w:val="left"/>
      </w:pPr>
      <w:r>
        <w:t>A.</w:t>
      </w:r>
      <w:r>
        <w:tab/>
        <w:t xml:space="preserve">Both Staff and Public Counsel modify the </w:t>
      </w:r>
      <w:r w:rsidR="00DB3336">
        <w:t xml:space="preserve">test period uncollectible expense and associated uncollectible rate used in the net-to-gross conversion factor to reflect a multi-year historical average of uncollectible expense.  Staff proposes </w:t>
      </w:r>
      <w:r w:rsidR="006A2794">
        <w:t>using an average percentage of write-offs to revenues reflecting “bad debts for the last five years . . . removing the years with the highest and lowest percentage[s.]”</w:t>
      </w:r>
      <w:r w:rsidR="006A2794">
        <w:rPr>
          <w:rStyle w:val="FootnoteReference"/>
        </w:rPr>
        <w:footnoteReference w:id="9"/>
      </w:r>
      <w:r w:rsidR="00DB3336">
        <w:t xml:space="preserve"> </w:t>
      </w:r>
      <w:r w:rsidR="006A2794">
        <w:t xml:space="preserve"> Public Counsel proposes a four-year historical average</w:t>
      </w:r>
      <w:r w:rsidR="00DB3336">
        <w:t>.</w:t>
      </w:r>
      <w:r w:rsidR="006A2794">
        <w:rPr>
          <w:rStyle w:val="FootnoteReference"/>
        </w:rPr>
        <w:footnoteReference w:id="10"/>
      </w:r>
    </w:p>
    <w:p w:rsidR="0023401F" w:rsidRDefault="0023401F" w:rsidP="00054ECC">
      <w:pPr>
        <w:pStyle w:val="Answer"/>
        <w:jc w:val="left"/>
        <w:rPr>
          <w:b/>
        </w:rPr>
      </w:pPr>
      <w:r w:rsidRPr="00A637D0">
        <w:rPr>
          <w:b/>
        </w:rPr>
        <w:t>Q.</w:t>
      </w:r>
      <w:r w:rsidRPr="00A637D0">
        <w:rPr>
          <w:b/>
        </w:rPr>
        <w:tab/>
      </w:r>
      <w:r w:rsidR="006A2794">
        <w:rPr>
          <w:b/>
        </w:rPr>
        <w:t>What is the Company’s response to these proposals</w:t>
      </w:r>
      <w:r w:rsidRPr="00A637D0">
        <w:rPr>
          <w:b/>
        </w:rPr>
        <w:t>?</w:t>
      </w:r>
    </w:p>
    <w:p w:rsidR="00EC0E6B" w:rsidRDefault="0023401F" w:rsidP="007B764E">
      <w:pPr>
        <w:pStyle w:val="Answer"/>
        <w:jc w:val="left"/>
      </w:pPr>
      <w:r>
        <w:t>A.</w:t>
      </w:r>
      <w:r>
        <w:tab/>
      </w:r>
      <w:r w:rsidR="006A2794">
        <w:t>The Company accepts Public Counsel’s proposal to use a four-year average uncollectible expense rate</w:t>
      </w:r>
      <w:r w:rsidR="003042C2">
        <w:t xml:space="preserve"> (0.660 percent)</w:t>
      </w:r>
      <w:r w:rsidR="006A2794">
        <w:t>.</w:t>
      </w:r>
      <w:r>
        <w:t xml:space="preserve"> </w:t>
      </w:r>
      <w:r w:rsidR="006A2794">
        <w:t xml:space="preserve"> The Company believes that, if a historical average is used, it is more appropriate to use a straight</w:t>
      </w:r>
      <w:r w:rsidR="00C80232">
        <w:t>-line</w:t>
      </w:r>
      <w:r w:rsidR="006A2794">
        <w:t xml:space="preserve"> average than to exclude certain high or low year</w:t>
      </w:r>
      <w:r w:rsidR="007D7ED6">
        <w:t>s</w:t>
      </w:r>
      <w:r w:rsidR="006A2794">
        <w:t xml:space="preserve">.  Applying this methodology consistently will result in the Company recovering its actual uncollectible expenses.  </w:t>
      </w:r>
      <w:r w:rsidR="003042C2">
        <w:t>The Company’s revised Adjustment 4.12 (Uncollectible Expense) reduces Washington-allocated revenue requirement by $0.3 million from the Company’s initial filing.</w:t>
      </w:r>
    </w:p>
    <w:p w:rsidR="00EC0E6B" w:rsidRDefault="006A2794" w:rsidP="007B764E">
      <w:pPr>
        <w:pStyle w:val="Answer"/>
        <w:ind w:firstLine="720"/>
        <w:jc w:val="left"/>
      </w:pPr>
      <w:r>
        <w:t>As discussed above, t</w:t>
      </w:r>
      <w:r w:rsidR="0023401F">
        <w:t xml:space="preserve">he Company also incorporated Staff’s proposed change in the calculation of the net-to-gross </w:t>
      </w:r>
      <w:r>
        <w:t xml:space="preserve">conversion </w:t>
      </w:r>
      <w:r w:rsidR="0023401F">
        <w:t>factor</w:t>
      </w:r>
      <w:r w:rsidR="003042C2">
        <w:t xml:space="preserve"> using the uncollectible expense rate as proposed by Public Counsel</w:t>
      </w:r>
      <w:r w:rsidR="0023401F">
        <w:t>.</w:t>
      </w:r>
      <w:r w:rsidR="003042C2">
        <w:br w:type="page"/>
      </w:r>
    </w:p>
    <w:p w:rsidR="00EC0E6B" w:rsidRDefault="00F50FBD" w:rsidP="007B764E">
      <w:pPr>
        <w:pStyle w:val="Heading3"/>
      </w:pPr>
      <w:bookmarkStart w:id="12" w:name="_Toc363024801"/>
      <w:r w:rsidRPr="00F50FBD">
        <w:t>Operation and Maintenance Efficiency</w:t>
      </w:r>
      <w:bookmarkEnd w:id="12"/>
      <w:r w:rsidRPr="00F50FBD">
        <w:t xml:space="preserve"> </w:t>
      </w:r>
    </w:p>
    <w:p w:rsidR="00F50FBD" w:rsidRDefault="00070C89" w:rsidP="00054ECC">
      <w:pPr>
        <w:pStyle w:val="Answer"/>
        <w:jc w:val="left"/>
        <w:rPr>
          <w:b/>
        </w:rPr>
      </w:pPr>
      <w:r w:rsidRPr="00070C89">
        <w:rPr>
          <w:b/>
        </w:rPr>
        <w:t>Q.</w:t>
      </w:r>
      <w:r w:rsidRPr="00070C89">
        <w:rPr>
          <w:b/>
        </w:rPr>
        <w:tab/>
        <w:t xml:space="preserve">Please describe Public Counsel’s proposed </w:t>
      </w:r>
      <w:r w:rsidR="003042C2">
        <w:rPr>
          <w:b/>
        </w:rPr>
        <w:t>change to the Company’s Adjustment 4.15 (O&amp;M Efficiency)</w:t>
      </w:r>
      <w:r w:rsidRPr="00070C89">
        <w:rPr>
          <w:b/>
        </w:rPr>
        <w:t xml:space="preserve">. </w:t>
      </w:r>
    </w:p>
    <w:p w:rsidR="00F84219" w:rsidRDefault="00070C89">
      <w:pPr>
        <w:pStyle w:val="Answer"/>
        <w:jc w:val="left"/>
        <w:rPr>
          <w:b/>
        </w:rPr>
      </w:pPr>
      <w:r w:rsidRPr="00070C89">
        <w:t>A.</w:t>
      </w:r>
      <w:r>
        <w:tab/>
      </w:r>
      <w:r w:rsidR="003042C2">
        <w:t xml:space="preserve">The Company’s </w:t>
      </w:r>
      <w:r w:rsidR="00011C71">
        <w:t>pro forma</w:t>
      </w:r>
      <w:r w:rsidR="003042C2">
        <w:t xml:space="preserve"> Adjustment 4.15 (O&amp;M Efficiency) reduced labor costs by approximately $0.8 million (on a Washington-allocated basis) to reflect efficiency initiatives implemented by the Company.  Public Counsel proposes to make an adjustment to further decrease labor costs during the test period based on the Company’s response to a data request.</w:t>
      </w:r>
      <w:r w:rsidR="003042C2">
        <w:rPr>
          <w:rStyle w:val="FootnoteReference"/>
        </w:rPr>
        <w:footnoteReference w:id="11"/>
      </w:r>
    </w:p>
    <w:p w:rsidR="00F361C1" w:rsidRDefault="00F361C1" w:rsidP="00054ECC">
      <w:pPr>
        <w:pStyle w:val="Answer"/>
        <w:jc w:val="left"/>
        <w:rPr>
          <w:b/>
        </w:rPr>
      </w:pPr>
      <w:r w:rsidRPr="00F361C1">
        <w:rPr>
          <w:b/>
        </w:rPr>
        <w:t>Q.</w:t>
      </w:r>
      <w:r w:rsidRPr="00F361C1">
        <w:rPr>
          <w:b/>
        </w:rPr>
        <w:tab/>
        <w:t>Do you accept th</w:t>
      </w:r>
      <w:r w:rsidR="003042C2">
        <w:rPr>
          <w:b/>
        </w:rPr>
        <w:t>is proposed</w:t>
      </w:r>
      <w:r w:rsidRPr="00F361C1">
        <w:rPr>
          <w:b/>
        </w:rPr>
        <w:t xml:space="preserve"> adju</w:t>
      </w:r>
      <w:r>
        <w:rPr>
          <w:b/>
        </w:rPr>
        <w:t>stment?</w:t>
      </w:r>
    </w:p>
    <w:p w:rsidR="00590528" w:rsidRPr="00955D06" w:rsidRDefault="00F361C1" w:rsidP="00054ECC">
      <w:pPr>
        <w:pStyle w:val="Answer"/>
        <w:jc w:val="left"/>
      </w:pPr>
      <w:r>
        <w:t>A.</w:t>
      </w:r>
      <w:r>
        <w:tab/>
        <w:t xml:space="preserve">Yes.  The Company agrees to adopt the adjustment proposed by </w:t>
      </w:r>
      <w:r w:rsidR="003042C2">
        <w:t>Public Counsel</w:t>
      </w:r>
      <w:r>
        <w:t xml:space="preserve">.  </w:t>
      </w:r>
      <w:r w:rsidR="003042C2">
        <w:t>The Company has incorporated this change in r</w:t>
      </w:r>
      <w:r w:rsidR="006A21F9">
        <w:t xml:space="preserve">evised </w:t>
      </w:r>
      <w:r>
        <w:t xml:space="preserve">Adjustment </w:t>
      </w:r>
      <w:r w:rsidR="006A21F9">
        <w:t>4.15</w:t>
      </w:r>
      <w:r w:rsidR="003042C2">
        <w:t>,</w:t>
      </w:r>
      <w:r>
        <w:t xml:space="preserve"> </w:t>
      </w:r>
      <w:r w:rsidR="003042C2">
        <w:t xml:space="preserve">which </w:t>
      </w:r>
      <w:r>
        <w:t xml:space="preserve">results in </w:t>
      </w:r>
      <w:r w:rsidR="003042C2">
        <w:t>a reduction</w:t>
      </w:r>
      <w:r>
        <w:t xml:space="preserve"> to </w:t>
      </w:r>
      <w:r w:rsidR="003042C2">
        <w:t xml:space="preserve">the </w:t>
      </w:r>
      <w:r>
        <w:t xml:space="preserve">Washington-allocated </w:t>
      </w:r>
      <w:r w:rsidR="003042C2">
        <w:t xml:space="preserve">revenue requirement </w:t>
      </w:r>
      <w:r w:rsidR="00812454">
        <w:t>of approximately $0.3</w:t>
      </w:r>
      <w:r w:rsidR="00811858">
        <w:t> </w:t>
      </w:r>
      <w:r w:rsidR="00884DE6" w:rsidRPr="007B764E">
        <w:t>million from the Company’s initial filing.</w:t>
      </w:r>
    </w:p>
    <w:p w:rsidR="00011C71" w:rsidRPr="00F862E1" w:rsidRDefault="00011C71" w:rsidP="00E260CB">
      <w:pPr>
        <w:pStyle w:val="Heading3"/>
      </w:pPr>
      <w:bookmarkStart w:id="13" w:name="_Toc363024802"/>
      <w:r w:rsidRPr="00F862E1">
        <w:t>Net Power Costs</w:t>
      </w:r>
      <w:bookmarkEnd w:id="13"/>
    </w:p>
    <w:p w:rsidR="00011C71" w:rsidRDefault="00011C71" w:rsidP="00011C71">
      <w:pPr>
        <w:pStyle w:val="Answer"/>
        <w:jc w:val="left"/>
        <w:rPr>
          <w:b/>
        </w:rPr>
      </w:pPr>
      <w:r w:rsidRPr="00511D0A">
        <w:rPr>
          <w:b/>
        </w:rPr>
        <w:t>Q.</w:t>
      </w:r>
      <w:r w:rsidRPr="00511D0A">
        <w:rPr>
          <w:b/>
        </w:rPr>
        <w:tab/>
      </w:r>
      <w:r>
        <w:rPr>
          <w:b/>
        </w:rPr>
        <w:t>Please describe the Company’s rebuttal adjustment associated with net power costs.</w:t>
      </w:r>
    </w:p>
    <w:p w:rsidR="00011C71" w:rsidRDefault="00011C71" w:rsidP="00011C71">
      <w:pPr>
        <w:pStyle w:val="Answer"/>
        <w:jc w:val="left"/>
      </w:pPr>
      <w:r>
        <w:t>A.</w:t>
      </w:r>
      <w:r>
        <w:tab/>
        <w:t xml:space="preserve">As outlined in the testimony of Mr. Duvall, the Company has made several adjustments and updates to </w:t>
      </w:r>
      <w:r w:rsidR="007D7ED6">
        <w:t>its</w:t>
      </w:r>
      <w:r>
        <w:t xml:space="preserve"> pro forma net power costs (NPC).  These changes are reflected in revised Adjustment 5.1.1 (Net Power Costs—Pro Forma).  This </w:t>
      </w:r>
      <w:r w:rsidR="00812454">
        <w:t>adjustment reduces the</w:t>
      </w:r>
      <w:r>
        <w:t xml:space="preserve"> Washington-allocated revenue requirement by approximately $2.</w:t>
      </w:r>
      <w:r w:rsidR="00C80232">
        <w:t>4</w:t>
      </w:r>
      <w:r>
        <w:t xml:space="preserve"> million from the Company’s initial filing.</w:t>
      </w:r>
    </w:p>
    <w:p w:rsidR="00EC0E6B" w:rsidRDefault="00554736" w:rsidP="007B764E">
      <w:pPr>
        <w:pStyle w:val="Heading3"/>
      </w:pPr>
      <w:bookmarkStart w:id="14" w:name="_Toc363024803"/>
      <w:r w:rsidRPr="00E8285B">
        <w:t>Hydro Decommissioning</w:t>
      </w:r>
      <w:bookmarkEnd w:id="14"/>
    </w:p>
    <w:p w:rsidR="00EC0E6B" w:rsidRDefault="00554736" w:rsidP="007B764E">
      <w:pPr>
        <w:pStyle w:val="Answer"/>
        <w:keepNext/>
        <w:jc w:val="left"/>
      </w:pPr>
      <w:r w:rsidRPr="005C557D">
        <w:rPr>
          <w:b/>
        </w:rPr>
        <w:t>Q</w:t>
      </w:r>
      <w:r>
        <w:rPr>
          <w:b/>
        </w:rPr>
        <w:t>.</w:t>
      </w:r>
      <w:r>
        <w:rPr>
          <w:b/>
        </w:rPr>
        <w:tab/>
      </w:r>
      <w:r w:rsidRPr="005C557D">
        <w:rPr>
          <w:b/>
        </w:rPr>
        <w:t xml:space="preserve">Please describe </w:t>
      </w:r>
      <w:r w:rsidR="00011C71">
        <w:rPr>
          <w:b/>
        </w:rPr>
        <w:t>Staff’s adjustment to hydro decommissioning.</w:t>
      </w:r>
    </w:p>
    <w:p w:rsidR="00554736" w:rsidRDefault="00554736" w:rsidP="00054ECC">
      <w:pPr>
        <w:pStyle w:val="Answer"/>
        <w:jc w:val="left"/>
      </w:pPr>
      <w:r w:rsidRPr="00AA07F4">
        <w:t>A.</w:t>
      </w:r>
      <w:r>
        <w:tab/>
        <w:t>Staff propose</w:t>
      </w:r>
      <w:r w:rsidR="00011C71">
        <w:t>s</w:t>
      </w:r>
      <w:r>
        <w:t xml:space="preserve"> to modify the Company’s </w:t>
      </w:r>
      <w:r w:rsidR="00011C71">
        <w:t xml:space="preserve">hydro decommissioning </w:t>
      </w:r>
      <w:r>
        <w:t xml:space="preserve">adjustment to include </w:t>
      </w:r>
      <w:r w:rsidR="00011C71">
        <w:t xml:space="preserve">east-control-area </w:t>
      </w:r>
      <w:r>
        <w:t>accruals and updated actual spend amounts.</w:t>
      </w:r>
      <w:r w:rsidR="00011C71">
        <w:rPr>
          <w:rStyle w:val="FootnoteReference"/>
        </w:rPr>
        <w:footnoteReference w:id="12"/>
      </w:r>
      <w:r>
        <w:t xml:space="preserve">  In response to </w:t>
      </w:r>
      <w:r w:rsidR="00011C71">
        <w:t xml:space="preserve">a </w:t>
      </w:r>
      <w:r>
        <w:t xml:space="preserve">Staff </w:t>
      </w:r>
      <w:r w:rsidR="00011C71">
        <w:t>d</w:t>
      </w:r>
      <w:r>
        <w:t xml:space="preserve">ata </w:t>
      </w:r>
      <w:r w:rsidR="00011C71">
        <w:t>r</w:t>
      </w:r>
      <w:r>
        <w:t>equest</w:t>
      </w:r>
      <w:r w:rsidR="00011C71">
        <w:t xml:space="preserve">, </w:t>
      </w:r>
      <w:r>
        <w:t>the Company agreed to make these updates and corrections.</w:t>
      </w:r>
      <w:r w:rsidR="00011C71">
        <w:t xml:space="preserve">  After reviewing Staff’s testimony, however, the Company discovered that it had inadvertently applied the incorrect allocation factor to east-side depreciation reserve totals.  The Company issued a revised response to Staff’s data request that corrected this error</w:t>
      </w:r>
      <w:r w:rsidR="0099502F">
        <w:t xml:space="preserve"> and clarified that east-side accruals are not allocated to Washington.</w:t>
      </w:r>
    </w:p>
    <w:p w:rsidR="00554736" w:rsidRDefault="00554736" w:rsidP="00054ECC">
      <w:pPr>
        <w:pStyle w:val="Answer"/>
        <w:jc w:val="left"/>
        <w:rPr>
          <w:b/>
        </w:rPr>
      </w:pPr>
      <w:r w:rsidRPr="00545157">
        <w:rPr>
          <w:b/>
        </w:rPr>
        <w:t>Q.</w:t>
      </w:r>
      <w:r w:rsidRPr="00545157">
        <w:rPr>
          <w:b/>
        </w:rPr>
        <w:tab/>
        <w:t xml:space="preserve">Does the Company accept Staff’s </w:t>
      </w:r>
      <w:r w:rsidR="00895F9E">
        <w:rPr>
          <w:b/>
        </w:rPr>
        <w:t>h</w:t>
      </w:r>
      <w:r w:rsidRPr="00545157">
        <w:rPr>
          <w:b/>
        </w:rPr>
        <w:t xml:space="preserve">ydro </w:t>
      </w:r>
      <w:r w:rsidR="00895F9E">
        <w:rPr>
          <w:b/>
        </w:rPr>
        <w:t>d</w:t>
      </w:r>
      <w:r w:rsidRPr="00545157">
        <w:rPr>
          <w:b/>
        </w:rPr>
        <w:t>ecommissioning adjustment?</w:t>
      </w:r>
    </w:p>
    <w:p w:rsidR="00EC0E6B" w:rsidRDefault="00554736" w:rsidP="007B764E">
      <w:pPr>
        <w:pStyle w:val="Answer"/>
        <w:jc w:val="left"/>
      </w:pPr>
      <w:r w:rsidRPr="00545157">
        <w:t>A.</w:t>
      </w:r>
      <w:r>
        <w:tab/>
        <w:t xml:space="preserve">Yes, in principle.  </w:t>
      </w:r>
      <w:r w:rsidR="00011C71">
        <w:t>T</w:t>
      </w:r>
      <w:r>
        <w:t>he Company</w:t>
      </w:r>
      <w:r w:rsidR="00011C71">
        <w:t>’s revised Adjustment 6.1 (Hydro Decommissioning) reflects the correct allocations as identified in the Company’s revised response to Staff’s data request.  This revised adjustment reduces Washington-allocated revenue requirement by approximately $19,000 from the Company’s initial filing.</w:t>
      </w:r>
    </w:p>
    <w:p w:rsidR="00F84219" w:rsidRPr="007B764E" w:rsidRDefault="00884DE6" w:rsidP="00E260CB">
      <w:pPr>
        <w:pStyle w:val="Heading3"/>
      </w:pPr>
      <w:bookmarkStart w:id="15" w:name="_Toc363024804"/>
      <w:r w:rsidRPr="007B764E">
        <w:t>Depreciation Expense</w:t>
      </w:r>
      <w:bookmarkEnd w:id="15"/>
    </w:p>
    <w:p w:rsidR="00AF3186" w:rsidRDefault="00AF3186" w:rsidP="00054ECC">
      <w:pPr>
        <w:pStyle w:val="Answer"/>
        <w:jc w:val="left"/>
        <w:rPr>
          <w:b/>
        </w:rPr>
      </w:pPr>
      <w:r w:rsidRPr="00AF3186">
        <w:rPr>
          <w:b/>
        </w:rPr>
        <w:t>Q.</w:t>
      </w:r>
      <w:r w:rsidRPr="00AF3186">
        <w:rPr>
          <w:b/>
        </w:rPr>
        <w:tab/>
        <w:t xml:space="preserve">Please </w:t>
      </w:r>
      <w:r w:rsidR="00605A2E">
        <w:rPr>
          <w:b/>
        </w:rPr>
        <w:t xml:space="preserve">summarize </w:t>
      </w:r>
      <w:r>
        <w:rPr>
          <w:b/>
        </w:rPr>
        <w:t>Public Counsel</w:t>
      </w:r>
      <w:r w:rsidR="000160CD">
        <w:rPr>
          <w:b/>
        </w:rPr>
        <w:t>’s</w:t>
      </w:r>
      <w:r>
        <w:rPr>
          <w:b/>
        </w:rPr>
        <w:t xml:space="preserve"> </w:t>
      </w:r>
      <w:r w:rsidRPr="00AF3186">
        <w:rPr>
          <w:b/>
        </w:rPr>
        <w:t>adjustment to depreciation expense.</w:t>
      </w:r>
    </w:p>
    <w:p w:rsidR="00E8285B" w:rsidRDefault="00AF3186" w:rsidP="00054ECC">
      <w:pPr>
        <w:pStyle w:val="Answer"/>
        <w:jc w:val="left"/>
      </w:pPr>
      <w:r w:rsidRPr="00AF3186">
        <w:t>A.</w:t>
      </w:r>
      <w:r>
        <w:tab/>
      </w:r>
      <w:r w:rsidR="0099502F">
        <w:t>Public Counsel</w:t>
      </w:r>
      <w:r w:rsidR="000160CD">
        <w:t xml:space="preserve"> </w:t>
      </w:r>
      <w:r>
        <w:t xml:space="preserve">proposes </w:t>
      </w:r>
      <w:r w:rsidR="0099502F">
        <w:t>to reflect depreciation expense included in the test year on an “annualized” basis.</w:t>
      </w:r>
      <w:r w:rsidR="0099502F">
        <w:rPr>
          <w:rStyle w:val="FootnoteReference"/>
        </w:rPr>
        <w:footnoteReference w:id="13"/>
      </w:r>
      <w:r w:rsidR="0099502F">
        <w:t xml:space="preserve">  This adjustment aligns depreciation expense with Public Counsel’s acceptance of the Company’s proposal to reflect rate base balances at end-of-period levels rather than average of monthly average.</w:t>
      </w:r>
      <w:r w:rsidR="0099502F">
        <w:rPr>
          <w:rStyle w:val="FootnoteReference"/>
        </w:rPr>
        <w:footnoteReference w:id="14"/>
      </w:r>
      <w:r>
        <w:t xml:space="preserve">  </w:t>
      </w:r>
      <w:r w:rsidR="0099502F">
        <w:t>Public Counsel</w:t>
      </w:r>
      <w:r>
        <w:t xml:space="preserve"> calculates </w:t>
      </w:r>
      <w:r w:rsidR="0099502F">
        <w:t>its</w:t>
      </w:r>
      <w:r>
        <w:t xml:space="preserve"> adjustment by escalating depreciation expense by the ratio of year-end rate base divided by </w:t>
      </w:r>
      <w:r w:rsidR="00910D2C">
        <w:t>the average of monthly averages (</w:t>
      </w:r>
      <w:r>
        <w:t>AMA</w:t>
      </w:r>
      <w:r w:rsidR="00910D2C">
        <w:t>)</w:t>
      </w:r>
      <w:r>
        <w:t xml:space="preserve"> rate base.</w:t>
      </w:r>
    </w:p>
    <w:p w:rsidR="00605A2E" w:rsidRDefault="009D4D61" w:rsidP="00054ECC">
      <w:pPr>
        <w:pStyle w:val="Answer"/>
        <w:jc w:val="left"/>
        <w:rPr>
          <w:b/>
        </w:rPr>
      </w:pPr>
      <w:r w:rsidRPr="00593A3E">
        <w:rPr>
          <w:b/>
        </w:rPr>
        <w:t>Q.</w:t>
      </w:r>
      <w:r w:rsidRPr="00593A3E">
        <w:rPr>
          <w:b/>
        </w:rPr>
        <w:tab/>
      </w:r>
      <w:r w:rsidR="00605A2E">
        <w:rPr>
          <w:b/>
        </w:rPr>
        <w:t>Does the Company accept Public Counsel’s proposal as part of its rebuttal filing?</w:t>
      </w:r>
    </w:p>
    <w:p w:rsidR="00605A2E" w:rsidRDefault="00884DE6" w:rsidP="00054ECC">
      <w:pPr>
        <w:pStyle w:val="Answer"/>
        <w:jc w:val="left"/>
      </w:pPr>
      <w:r w:rsidRPr="007B764E">
        <w:t>A.</w:t>
      </w:r>
      <w:r w:rsidRPr="007B764E">
        <w:tab/>
        <w:t>Yes.  The Company’s revised Adjustment 6.3</w:t>
      </w:r>
      <w:r w:rsidR="00605A2E">
        <w:t xml:space="preserve"> (</w:t>
      </w:r>
      <w:r w:rsidRPr="007B764E">
        <w:t>Proposed Depreciation Rates—Expense)</w:t>
      </w:r>
      <w:r w:rsidR="00605A2E">
        <w:t xml:space="preserve"> reflects acceptance of this proposal.</w:t>
      </w:r>
    </w:p>
    <w:p w:rsidR="009D4D61" w:rsidRPr="00605A2E" w:rsidRDefault="00884DE6" w:rsidP="00054ECC">
      <w:pPr>
        <w:pStyle w:val="Answer"/>
        <w:jc w:val="left"/>
        <w:rPr>
          <w:b/>
        </w:rPr>
      </w:pPr>
      <w:r w:rsidRPr="007B764E">
        <w:rPr>
          <w:b/>
        </w:rPr>
        <w:t>Q.</w:t>
      </w:r>
      <w:r w:rsidRPr="007B764E">
        <w:rPr>
          <w:b/>
        </w:rPr>
        <w:tab/>
      </w:r>
      <w:r w:rsidR="00812454">
        <w:rPr>
          <w:b/>
        </w:rPr>
        <w:t>Is the Company making any other adjustments related to depreciation expense?</w:t>
      </w:r>
    </w:p>
    <w:p w:rsidR="0068215D" w:rsidRDefault="009D4D61" w:rsidP="00054ECC">
      <w:pPr>
        <w:spacing w:line="480" w:lineRule="auto"/>
        <w:ind w:left="720" w:hanging="720"/>
        <w:jc w:val="left"/>
      </w:pPr>
      <w:r w:rsidRPr="00593A3E">
        <w:t>A.</w:t>
      </w:r>
      <w:r>
        <w:tab/>
        <w:t>Yes</w:t>
      </w:r>
      <w:r w:rsidR="00A03245">
        <w:t>.</w:t>
      </w:r>
      <w:r>
        <w:t xml:space="preserve"> </w:t>
      </w:r>
      <w:r w:rsidR="00605A2E">
        <w:t xml:space="preserve"> In response to a Public Counsel data request, the Company identified necessary corrections to the allocations of certain tax items, which the Company is incorporating in its rebuttal filing.  In addition, a</w:t>
      </w:r>
      <w:r w:rsidR="00A03245">
        <w:t xml:space="preserve">s part of </w:t>
      </w:r>
      <w:r w:rsidR="00605A2E">
        <w:t>r</w:t>
      </w:r>
      <w:r w:rsidR="00A03245">
        <w:t>evised Adjustment</w:t>
      </w:r>
      <w:r w:rsidR="00605A2E">
        <w:t> </w:t>
      </w:r>
      <w:r w:rsidR="00A03245">
        <w:t xml:space="preserve">6.3, the Company </w:t>
      </w:r>
      <w:r w:rsidR="00605A2E">
        <w:t>uses</w:t>
      </w:r>
      <w:r w:rsidR="00A03245">
        <w:t xml:space="preserve"> </w:t>
      </w:r>
      <w:r w:rsidR="00605A2E">
        <w:t xml:space="preserve">the </w:t>
      </w:r>
      <w:r>
        <w:t>updated depreciation rates</w:t>
      </w:r>
      <w:r w:rsidR="009D08E7">
        <w:t xml:space="preserve"> </w:t>
      </w:r>
      <w:r w:rsidR="00605A2E">
        <w:t>presented</w:t>
      </w:r>
      <w:r w:rsidR="009D08E7">
        <w:t xml:space="preserve"> in the </w:t>
      </w:r>
      <w:r w:rsidR="009D08E7" w:rsidRPr="004B5F5D">
        <w:t>supplemental</w:t>
      </w:r>
      <w:r w:rsidR="009D08E7">
        <w:t xml:space="preserve"> test</w:t>
      </w:r>
      <w:r w:rsidR="001459F8">
        <w:t>imony of Mr. Henry E</w:t>
      </w:r>
      <w:r w:rsidR="007D7ED6">
        <w:t>.</w:t>
      </w:r>
      <w:r w:rsidR="001459F8">
        <w:t xml:space="preserve"> Lay in Docket UE</w:t>
      </w:r>
      <w:r w:rsidR="007D7ED6">
        <w:t>-</w:t>
      </w:r>
      <w:r w:rsidR="001459F8">
        <w:t>130052</w:t>
      </w:r>
      <w:r w:rsidR="00605A2E">
        <w:t xml:space="preserve"> (the Company’s 2013 Depreciation Study)</w:t>
      </w:r>
      <w:r w:rsidR="00D12009">
        <w:t>.</w:t>
      </w:r>
    </w:p>
    <w:p w:rsidR="00D12009" w:rsidRDefault="00D12009" w:rsidP="00054ECC">
      <w:pPr>
        <w:spacing w:line="480" w:lineRule="auto"/>
        <w:ind w:left="720" w:hanging="720"/>
        <w:jc w:val="left"/>
        <w:rPr>
          <w:b/>
        </w:rPr>
      </w:pPr>
      <w:r w:rsidRPr="00593A3E">
        <w:rPr>
          <w:b/>
        </w:rPr>
        <w:t>Q.</w:t>
      </w:r>
      <w:r w:rsidRPr="00593A3E">
        <w:rPr>
          <w:b/>
        </w:rPr>
        <w:tab/>
        <w:t xml:space="preserve">Please elaborate on the Company’s use of updated </w:t>
      </w:r>
      <w:r w:rsidR="00380F58" w:rsidRPr="00593A3E">
        <w:rPr>
          <w:b/>
        </w:rPr>
        <w:t>depreciation rates.</w:t>
      </w:r>
    </w:p>
    <w:p w:rsidR="003F1902" w:rsidRDefault="00380F58" w:rsidP="00054ECC">
      <w:pPr>
        <w:pStyle w:val="Answer"/>
        <w:jc w:val="left"/>
        <w:rPr>
          <w:b/>
        </w:rPr>
      </w:pPr>
      <w:r w:rsidRPr="00593A3E">
        <w:t>A.</w:t>
      </w:r>
      <w:r>
        <w:tab/>
        <w:t>On July 9, 2013</w:t>
      </w:r>
      <w:r w:rsidR="00605A2E">
        <w:t>,</w:t>
      </w:r>
      <w:r>
        <w:t xml:space="preserve"> the Company filed a </w:t>
      </w:r>
      <w:r w:rsidR="00605A2E">
        <w:t xml:space="preserve">stipulation </w:t>
      </w:r>
      <w:r>
        <w:t xml:space="preserve">on behalf of parties </w:t>
      </w:r>
      <w:r w:rsidR="007D7ED6">
        <w:t xml:space="preserve">addressing </w:t>
      </w:r>
      <w:r w:rsidR="000B43CC">
        <w:t xml:space="preserve">the Company’s </w:t>
      </w:r>
      <w:r w:rsidR="00605A2E">
        <w:t xml:space="preserve">depreciation study </w:t>
      </w:r>
      <w:r w:rsidR="000B43CC">
        <w:t>in Oregon</w:t>
      </w:r>
      <w:r w:rsidR="00605A2E">
        <w:t xml:space="preserve"> (</w:t>
      </w:r>
      <w:r w:rsidR="000B43CC">
        <w:t>D</w:t>
      </w:r>
      <w:r>
        <w:t>ocket UM 1647</w:t>
      </w:r>
      <w:r w:rsidR="00605A2E">
        <w:t>)</w:t>
      </w:r>
      <w:r w:rsidR="000B43CC">
        <w:t xml:space="preserve">.  </w:t>
      </w:r>
      <w:r>
        <w:t xml:space="preserve">As part of this stipulation, </w:t>
      </w:r>
      <w:r w:rsidR="00605A2E">
        <w:t xml:space="preserve">the </w:t>
      </w:r>
      <w:r>
        <w:t xml:space="preserve">parties agreed </w:t>
      </w:r>
      <w:r w:rsidR="00605A2E">
        <w:t xml:space="preserve">to certain modifications to the Company’s filed depreciation rates.  </w:t>
      </w:r>
      <w:r w:rsidR="003F1902">
        <w:t xml:space="preserve">To maintain uniformity across the Company’s six state jurisdictions, the Company filed supplemental testimony in Docket UE-130052 reflecting the modifications agreed to in the Oregon settlement.  </w:t>
      </w:r>
    </w:p>
    <w:p w:rsidR="00834CF3" w:rsidRPr="004B5F5D" w:rsidRDefault="00834CF3" w:rsidP="00054ECC">
      <w:pPr>
        <w:pStyle w:val="Answer"/>
        <w:jc w:val="left"/>
        <w:rPr>
          <w:b/>
        </w:rPr>
      </w:pPr>
      <w:r w:rsidRPr="004B5F5D">
        <w:rPr>
          <w:b/>
        </w:rPr>
        <w:t>Q.</w:t>
      </w:r>
      <w:r w:rsidRPr="004B5F5D">
        <w:rPr>
          <w:b/>
        </w:rPr>
        <w:tab/>
        <w:t>Is the Company’s depreciation study under review in other jurisdictions in which the Company operates?</w:t>
      </w:r>
    </w:p>
    <w:p w:rsidR="00834CF3" w:rsidRDefault="00834CF3" w:rsidP="00054ECC">
      <w:pPr>
        <w:pStyle w:val="Answer"/>
        <w:jc w:val="left"/>
      </w:pPr>
      <w:r>
        <w:t>A.</w:t>
      </w:r>
      <w:r>
        <w:tab/>
        <w:t>Yes.  As described in the supplemental testimony of Mr. Lay</w:t>
      </w:r>
      <w:r w:rsidR="003F1902">
        <w:t xml:space="preserve"> in Docket UE-130052</w:t>
      </w:r>
      <w:r>
        <w:t xml:space="preserve">, the Company’s depreciation study is currently under review in Utah, </w:t>
      </w:r>
      <w:r w:rsidR="004A2642">
        <w:t xml:space="preserve">Wyoming, and Idaho.  </w:t>
      </w:r>
      <w:r w:rsidR="003F1902">
        <w:t>If further changes are made to depreciation rates in these state proceedings</w:t>
      </w:r>
      <w:r>
        <w:t xml:space="preserve">, the Company is proposing to defer </w:t>
      </w:r>
      <w:r w:rsidR="003F1902">
        <w:t>any additional reductions</w:t>
      </w:r>
      <w:r w:rsidR="003D7FE1">
        <w:t xml:space="preserve"> </w:t>
      </w:r>
      <w:r>
        <w:t xml:space="preserve">to depreciation expense associated with </w:t>
      </w:r>
      <w:r w:rsidR="003F1902">
        <w:t>changes</w:t>
      </w:r>
      <w:r>
        <w:t xml:space="preserve"> to depreciation rates for </w:t>
      </w:r>
      <w:r w:rsidR="003F1902">
        <w:t xml:space="preserve">system-allocated </w:t>
      </w:r>
      <w:r>
        <w:t>assets included in the</w:t>
      </w:r>
      <w:r w:rsidR="003F1902">
        <w:t xml:space="preserve"> west control area.</w:t>
      </w:r>
    </w:p>
    <w:p w:rsidR="003F1902" w:rsidRPr="007B764E" w:rsidRDefault="00884DE6" w:rsidP="00054ECC">
      <w:pPr>
        <w:pStyle w:val="Answer"/>
        <w:jc w:val="left"/>
        <w:rPr>
          <w:b/>
        </w:rPr>
      </w:pPr>
      <w:r w:rsidRPr="007B764E">
        <w:rPr>
          <w:b/>
        </w:rPr>
        <w:t>Q.</w:t>
      </w:r>
      <w:r w:rsidRPr="007B764E">
        <w:rPr>
          <w:b/>
        </w:rPr>
        <w:tab/>
        <w:t>What is the total impact of the Company’s changes to Adjustment 6.3?</w:t>
      </w:r>
    </w:p>
    <w:p w:rsidR="00380F58" w:rsidRDefault="003F1902" w:rsidP="00054ECC">
      <w:pPr>
        <w:pStyle w:val="Answer"/>
        <w:jc w:val="left"/>
      </w:pPr>
      <w:r>
        <w:t>A.</w:t>
      </w:r>
      <w:r>
        <w:tab/>
        <w:t>The Company’s revised Adjustment 6.3 increases Washington-allocated revenue requirement by approximately $0.5 million from the Company’s initial filing.</w:t>
      </w:r>
    </w:p>
    <w:p w:rsidR="00EC0E6B" w:rsidRDefault="006F232E" w:rsidP="007B764E">
      <w:pPr>
        <w:pStyle w:val="Heading3"/>
      </w:pPr>
      <w:bookmarkStart w:id="16" w:name="_Toc363024805"/>
      <w:r w:rsidRPr="00E8285B">
        <w:t>Interest True Up</w:t>
      </w:r>
      <w:bookmarkEnd w:id="16"/>
    </w:p>
    <w:p w:rsidR="006F232E" w:rsidRDefault="006F232E" w:rsidP="00054ECC">
      <w:pPr>
        <w:pStyle w:val="Answer"/>
        <w:jc w:val="left"/>
        <w:rPr>
          <w:b/>
        </w:rPr>
      </w:pPr>
      <w:r>
        <w:rPr>
          <w:b/>
        </w:rPr>
        <w:t>Q.</w:t>
      </w:r>
      <w:r>
        <w:rPr>
          <w:b/>
        </w:rPr>
        <w:tab/>
        <w:t xml:space="preserve">Has interest expense been updated </w:t>
      </w:r>
      <w:r w:rsidR="003F1902">
        <w:rPr>
          <w:b/>
        </w:rPr>
        <w:t>in the Company’s rebuttal filing?</w:t>
      </w:r>
    </w:p>
    <w:p w:rsidR="006F232E" w:rsidRPr="00593A3E" w:rsidRDefault="006F232E" w:rsidP="00054ECC">
      <w:pPr>
        <w:pStyle w:val="Answer"/>
        <w:jc w:val="left"/>
      </w:pPr>
      <w:r w:rsidRPr="00996C1B">
        <w:t>A.</w:t>
      </w:r>
      <w:r w:rsidRPr="00996C1B">
        <w:tab/>
        <w:t xml:space="preserve">Yes.  </w:t>
      </w:r>
      <w:r>
        <w:t xml:space="preserve">The Company’s </w:t>
      </w:r>
      <w:r w:rsidR="003F1902">
        <w:t xml:space="preserve">revised </w:t>
      </w:r>
      <w:r>
        <w:t>Adjustment 7.1</w:t>
      </w:r>
      <w:r w:rsidR="007D7ED6">
        <w:t xml:space="preserve"> </w:t>
      </w:r>
      <w:r w:rsidR="003F1902">
        <w:t>(</w:t>
      </w:r>
      <w:r>
        <w:t>Interest True Up</w:t>
      </w:r>
      <w:r w:rsidR="003F1902">
        <w:t>)</w:t>
      </w:r>
      <w:r>
        <w:t xml:space="preserve"> </w:t>
      </w:r>
      <w:r w:rsidR="003F1902">
        <w:t>reflects the Company’s updated weighted average cost of long-term debt and revised rate base balances.</w:t>
      </w:r>
      <w:r>
        <w:t xml:space="preserve"> </w:t>
      </w:r>
      <w:r w:rsidR="003F1902">
        <w:t xml:space="preserve"> The Washington-allocated </w:t>
      </w:r>
      <w:r>
        <w:t>revenue requirement impact of th</w:t>
      </w:r>
      <w:r w:rsidR="00F16E86">
        <w:t xml:space="preserve">ese </w:t>
      </w:r>
      <w:r>
        <w:t>restating and pro forma adjustment</w:t>
      </w:r>
      <w:r w:rsidR="00F16E86">
        <w:t>s</w:t>
      </w:r>
      <w:r>
        <w:t xml:space="preserve"> is a</w:t>
      </w:r>
      <w:r w:rsidR="00910D2C">
        <w:t>n</w:t>
      </w:r>
      <w:r>
        <w:t xml:space="preserve"> </w:t>
      </w:r>
      <w:r w:rsidR="000A759E">
        <w:t xml:space="preserve">increase </w:t>
      </w:r>
      <w:r>
        <w:t xml:space="preserve">of approximately </w:t>
      </w:r>
      <w:r w:rsidR="003F1902">
        <w:t>$</w:t>
      </w:r>
      <w:r w:rsidR="000A759E">
        <w:t>58,000</w:t>
      </w:r>
      <w:r w:rsidR="00E85DCD">
        <w:t xml:space="preserve"> </w:t>
      </w:r>
      <w:r w:rsidR="003F1902">
        <w:t xml:space="preserve">from the </w:t>
      </w:r>
      <w:r w:rsidR="00E85DCD">
        <w:t xml:space="preserve">Company’s </w:t>
      </w:r>
      <w:r w:rsidR="003F1902">
        <w:t>initial filing</w:t>
      </w:r>
      <w:r>
        <w:t>.</w:t>
      </w:r>
    </w:p>
    <w:p w:rsidR="00EC0E6B" w:rsidRDefault="000A759E" w:rsidP="007B764E">
      <w:pPr>
        <w:pStyle w:val="Heading3"/>
      </w:pPr>
      <w:bookmarkStart w:id="17" w:name="_Toc363024806"/>
      <w:r w:rsidRPr="00054ECC">
        <w:t>Property Tax Expense</w:t>
      </w:r>
      <w:bookmarkEnd w:id="17"/>
    </w:p>
    <w:p w:rsidR="00661E36" w:rsidRPr="00BE1237" w:rsidRDefault="00661E36" w:rsidP="00054ECC">
      <w:pPr>
        <w:spacing w:line="480" w:lineRule="auto"/>
        <w:ind w:left="720" w:hanging="720"/>
        <w:jc w:val="left"/>
        <w:rPr>
          <w:b/>
        </w:rPr>
      </w:pPr>
      <w:r w:rsidRPr="00BE1237">
        <w:rPr>
          <w:b/>
        </w:rPr>
        <w:t>Q.</w:t>
      </w:r>
      <w:r w:rsidRPr="00BE1237">
        <w:rPr>
          <w:b/>
        </w:rPr>
        <w:tab/>
      </w:r>
      <w:r>
        <w:rPr>
          <w:b/>
        </w:rPr>
        <w:t xml:space="preserve">Please describe </w:t>
      </w:r>
      <w:r w:rsidR="00322B73">
        <w:rPr>
          <w:b/>
        </w:rPr>
        <w:t xml:space="preserve">the </w:t>
      </w:r>
      <w:r w:rsidR="003F1902">
        <w:rPr>
          <w:b/>
        </w:rPr>
        <w:t xml:space="preserve">Company’s adjustment to </w:t>
      </w:r>
      <w:r w:rsidR="00322B73">
        <w:rPr>
          <w:b/>
        </w:rPr>
        <w:t>property tax expense</w:t>
      </w:r>
      <w:r>
        <w:rPr>
          <w:b/>
        </w:rPr>
        <w:t>.</w:t>
      </w:r>
    </w:p>
    <w:p w:rsidR="00EC0E6B" w:rsidRDefault="00322B73" w:rsidP="007B764E">
      <w:pPr>
        <w:spacing w:line="480" w:lineRule="auto"/>
        <w:ind w:left="720" w:hanging="720"/>
        <w:jc w:val="left"/>
      </w:pPr>
      <w:r>
        <w:t>A.</w:t>
      </w:r>
      <w:r>
        <w:tab/>
        <w:t>The Company has updated the</w:t>
      </w:r>
      <w:r w:rsidRPr="00D008E6">
        <w:t xml:space="preserve"> property tax expense </w:t>
      </w:r>
      <w:r>
        <w:t>a</w:t>
      </w:r>
      <w:r w:rsidR="00F025E0">
        <w:t xml:space="preserve">mount included in the test period </w:t>
      </w:r>
      <w:r w:rsidRPr="00D008E6">
        <w:t xml:space="preserve">to reflect </w:t>
      </w:r>
      <w:r>
        <w:t xml:space="preserve">booked </w:t>
      </w:r>
      <w:r w:rsidRPr="00D008E6">
        <w:t xml:space="preserve">accruals </w:t>
      </w:r>
      <w:r w:rsidR="00F025E0">
        <w:t>for</w:t>
      </w:r>
      <w:r w:rsidRPr="00D008E6">
        <w:t xml:space="preserve"> the 12 </w:t>
      </w:r>
      <w:r>
        <w:t>months end</w:t>
      </w:r>
      <w:r w:rsidR="00F025E0">
        <w:t>ed</w:t>
      </w:r>
      <w:r w:rsidRPr="00D008E6">
        <w:t xml:space="preserve"> June 2013</w:t>
      </w:r>
      <w:r>
        <w:t>.</w:t>
      </w:r>
      <w:r w:rsidR="00F025E0">
        <w:t xml:space="preserve">  This is an update from the Company’s initial filing where the Company reflected pro forma property taxes for that same period (12 months ended June 2013).  This update, reflected in revised Adjustment 7.2 (Property Tax Expense), reduces the Washington-allocated revenue requirement by approximately $0.2 million from the Company’s initial filing.</w:t>
      </w:r>
    </w:p>
    <w:p w:rsidR="00EC0E6B" w:rsidRPr="007B764E" w:rsidRDefault="00812454" w:rsidP="007B764E">
      <w:pPr>
        <w:spacing w:line="480" w:lineRule="auto"/>
        <w:ind w:left="720" w:hanging="720"/>
        <w:jc w:val="left"/>
        <w:rPr>
          <w:b/>
        </w:rPr>
      </w:pPr>
      <w:r w:rsidRPr="00812454">
        <w:rPr>
          <w:b/>
        </w:rPr>
        <w:t>Q.</w:t>
      </w:r>
      <w:r w:rsidRPr="00812454">
        <w:rPr>
          <w:b/>
        </w:rPr>
        <w:tab/>
        <w:t>D</w:t>
      </w:r>
      <w:r w:rsidR="008A1707">
        <w:rPr>
          <w:b/>
        </w:rPr>
        <w:t>o</w:t>
      </w:r>
      <w:r w:rsidR="007D7ED6">
        <w:rPr>
          <w:b/>
        </w:rPr>
        <w:t>es</w:t>
      </w:r>
      <w:r w:rsidR="00884DE6" w:rsidRPr="007B764E">
        <w:rPr>
          <w:b/>
        </w:rPr>
        <w:t xml:space="preserve"> any part</w:t>
      </w:r>
      <w:r w:rsidR="007D7ED6">
        <w:rPr>
          <w:b/>
        </w:rPr>
        <w:t>y</w:t>
      </w:r>
      <w:r w:rsidR="00884DE6" w:rsidRPr="007B764E">
        <w:rPr>
          <w:b/>
        </w:rPr>
        <w:t xml:space="preserve"> contest the property tax expens</w:t>
      </w:r>
      <w:r w:rsidRPr="00812454">
        <w:rPr>
          <w:b/>
        </w:rPr>
        <w:t xml:space="preserve">e adjustment presented in </w:t>
      </w:r>
      <w:r w:rsidR="007D7ED6">
        <w:rPr>
          <w:b/>
        </w:rPr>
        <w:t xml:space="preserve">the </w:t>
      </w:r>
      <w:r w:rsidR="007D7ED6" w:rsidRPr="00884DE6">
        <w:rPr>
          <w:b/>
        </w:rPr>
        <w:t xml:space="preserve">Company’s </w:t>
      </w:r>
      <w:r w:rsidR="00884DE6" w:rsidRPr="007B764E">
        <w:rPr>
          <w:b/>
        </w:rPr>
        <w:t>initial filing?</w:t>
      </w:r>
    </w:p>
    <w:p w:rsidR="00EC0E6B" w:rsidRDefault="00F025E0" w:rsidP="007B764E">
      <w:pPr>
        <w:spacing w:line="480" w:lineRule="auto"/>
        <w:ind w:left="720" w:hanging="720"/>
        <w:jc w:val="left"/>
      </w:pPr>
      <w:r>
        <w:t>A.</w:t>
      </w:r>
      <w:r>
        <w:tab/>
        <w:t>Yes.  Staff “rejects the Company’s pro forma adjustment, thereby, keeping property tax expense at the accrual level that was booked during the test year</w:t>
      </w:r>
      <w:r w:rsidR="002F5FA9">
        <w:t>[,]</w:t>
      </w:r>
      <w:r>
        <w:t>”</w:t>
      </w:r>
      <w:r w:rsidR="008D5196">
        <w:rPr>
          <w:rStyle w:val="FootnoteReference"/>
        </w:rPr>
        <w:footnoteReference w:id="15"/>
      </w:r>
      <w:r>
        <w:t xml:space="preserve"> </w:t>
      </w:r>
      <w:r w:rsidR="002F5FA9">
        <w:t xml:space="preserve">the </w:t>
      </w:r>
      <w:r>
        <w:t>12 months ended June 2012.</w:t>
      </w:r>
      <w:r w:rsidR="008D5196">
        <w:t xml:space="preserve">  Staff argues that customers should not “bear the burden of an expense that is not realized by the Company</w:t>
      </w:r>
      <w:r w:rsidR="002F5FA9">
        <w:t>.</w:t>
      </w:r>
      <w:r w:rsidR="008D5196">
        <w:t>”</w:t>
      </w:r>
      <w:r w:rsidR="007D7ED6">
        <w:rPr>
          <w:rStyle w:val="FootnoteReference"/>
        </w:rPr>
        <w:footnoteReference w:id="16"/>
      </w:r>
    </w:p>
    <w:p w:rsidR="00EC0E6B" w:rsidRDefault="00884DE6" w:rsidP="007B764E">
      <w:pPr>
        <w:spacing w:line="480" w:lineRule="auto"/>
        <w:ind w:left="720" w:hanging="720"/>
        <w:jc w:val="left"/>
        <w:rPr>
          <w:b/>
        </w:rPr>
      </w:pPr>
      <w:r w:rsidRPr="007B764E">
        <w:rPr>
          <w:b/>
        </w:rPr>
        <w:t>Q.</w:t>
      </w:r>
      <w:r w:rsidRPr="007B764E">
        <w:rPr>
          <w:b/>
        </w:rPr>
        <w:tab/>
        <w:t>Is Staff’</w:t>
      </w:r>
      <w:r w:rsidR="007D7ED6">
        <w:rPr>
          <w:b/>
        </w:rPr>
        <w:t>s</w:t>
      </w:r>
      <w:r w:rsidRPr="007B764E">
        <w:rPr>
          <w:b/>
        </w:rPr>
        <w:t xml:space="preserve"> property tax expense proposal consistent with other positions Staff has taken </w:t>
      </w:r>
      <w:r w:rsidR="00510625">
        <w:rPr>
          <w:b/>
        </w:rPr>
        <w:t>in this case</w:t>
      </w:r>
      <w:r w:rsidRPr="007B764E">
        <w:rPr>
          <w:b/>
        </w:rPr>
        <w:t>?</w:t>
      </w:r>
    </w:p>
    <w:p w:rsidR="00EC0E6B" w:rsidRDefault="00884DE6" w:rsidP="007B764E">
      <w:pPr>
        <w:spacing w:line="480" w:lineRule="auto"/>
        <w:ind w:left="720" w:hanging="720"/>
        <w:jc w:val="left"/>
      </w:pPr>
      <w:r w:rsidRPr="007B764E">
        <w:t>A.</w:t>
      </w:r>
      <w:r w:rsidRPr="007B764E">
        <w:tab/>
        <w:t>No.</w:t>
      </w:r>
      <w:r w:rsidR="008A1707">
        <w:t xml:space="preserve">  Staff’s property tax proposal is inconsistent with Staff’s position on the inclusion of pro forma capital additions.  As discussed in greater detail below, Staff proposes that pro forma plant additions that are placed in service through January 2013 be included in the Washington revenue requirement.  Staff does not</w:t>
      </w:r>
      <w:r w:rsidR="002F5FA9">
        <w:t>,</w:t>
      </w:r>
      <w:r w:rsidR="008A1707">
        <w:t xml:space="preserve"> </w:t>
      </w:r>
      <w:r w:rsidR="002F5FA9">
        <w:t xml:space="preserve">however, </w:t>
      </w:r>
      <w:r w:rsidR="008A1707">
        <w:t xml:space="preserve">acknowledge the additional property tax expense that will be incurred </w:t>
      </w:r>
      <w:r w:rsidR="008E432C">
        <w:t>associated with</w:t>
      </w:r>
      <w:r w:rsidR="008A1707">
        <w:t xml:space="preserve"> these significant capital additions.</w:t>
      </w:r>
    </w:p>
    <w:p w:rsidR="00EC0E6B" w:rsidRPr="007B764E" w:rsidRDefault="00884DE6" w:rsidP="007B764E">
      <w:pPr>
        <w:spacing w:line="480" w:lineRule="auto"/>
        <w:ind w:left="720" w:hanging="720"/>
        <w:jc w:val="left"/>
        <w:rPr>
          <w:b/>
        </w:rPr>
      </w:pPr>
      <w:r w:rsidRPr="007B764E">
        <w:rPr>
          <w:b/>
        </w:rPr>
        <w:t>Q.</w:t>
      </w:r>
      <w:r w:rsidRPr="007B764E">
        <w:rPr>
          <w:b/>
        </w:rPr>
        <w:tab/>
        <w:t xml:space="preserve">Does the Company’s rebuttal property tax adjustment result in property tax </w:t>
      </w:r>
      <w:r w:rsidR="008A1707">
        <w:rPr>
          <w:b/>
        </w:rPr>
        <w:t xml:space="preserve">expense </w:t>
      </w:r>
      <w:r w:rsidRPr="007B764E">
        <w:rPr>
          <w:b/>
        </w:rPr>
        <w:t>“not realized by the Company”?</w:t>
      </w:r>
    </w:p>
    <w:p w:rsidR="00EC0E6B" w:rsidRDefault="008A1707" w:rsidP="007B764E">
      <w:pPr>
        <w:spacing w:line="480" w:lineRule="auto"/>
        <w:ind w:left="720" w:hanging="720"/>
        <w:jc w:val="left"/>
      </w:pPr>
      <w:r>
        <w:t>A.</w:t>
      </w:r>
      <w:r>
        <w:tab/>
        <w:t>No.  The Company’s revised Adjustment 7.2 reflects the amount of property tax expense recorded on the Company’s accounting records</w:t>
      </w:r>
      <w:r w:rsidR="008E432C">
        <w:t xml:space="preserve"> for the 12 months ended June 2013</w:t>
      </w:r>
      <w:r>
        <w:t xml:space="preserve">.  </w:t>
      </w:r>
      <w:r w:rsidR="008E432C">
        <w:t>This</w:t>
      </w:r>
      <w:r>
        <w:t xml:space="preserve"> property tax level accounts for increased level of plant in service and is a known and measurable level of expense.</w:t>
      </w:r>
    </w:p>
    <w:p w:rsidR="00EC0E6B" w:rsidRDefault="00F025E0" w:rsidP="007B764E">
      <w:pPr>
        <w:keepNext/>
        <w:spacing w:line="480" w:lineRule="auto"/>
        <w:ind w:left="720" w:hanging="720"/>
        <w:jc w:val="left"/>
        <w:rPr>
          <w:b/>
        </w:rPr>
      </w:pPr>
      <w:r>
        <w:rPr>
          <w:b/>
        </w:rPr>
        <w:t>Q.</w:t>
      </w:r>
      <w:r>
        <w:rPr>
          <w:b/>
        </w:rPr>
        <w:tab/>
      </w:r>
      <w:r w:rsidR="008E432C">
        <w:rPr>
          <w:b/>
        </w:rPr>
        <w:t>Is the Company’s revised property tax expense consistent with other adjustment</w:t>
      </w:r>
      <w:r w:rsidR="002F5FA9">
        <w:rPr>
          <w:b/>
        </w:rPr>
        <w:t>s</w:t>
      </w:r>
      <w:r w:rsidR="008E432C">
        <w:rPr>
          <w:b/>
        </w:rPr>
        <w:t xml:space="preserve"> made in the Company’s rebuttal filing</w:t>
      </w:r>
      <w:r>
        <w:rPr>
          <w:b/>
        </w:rPr>
        <w:t>?</w:t>
      </w:r>
    </w:p>
    <w:p w:rsidR="00F025E0" w:rsidRPr="00EC5969" w:rsidRDefault="002F5FA9" w:rsidP="00F025E0">
      <w:pPr>
        <w:spacing w:line="480" w:lineRule="auto"/>
        <w:ind w:left="720" w:hanging="720"/>
        <w:jc w:val="left"/>
        <w:rPr>
          <w:b/>
        </w:rPr>
      </w:pPr>
      <w:r>
        <w:t>A.</w:t>
      </w:r>
      <w:r>
        <w:tab/>
      </w:r>
      <w:r w:rsidR="00F025E0">
        <w:t xml:space="preserve">Yes.  </w:t>
      </w:r>
      <w:r w:rsidR="008E432C">
        <w:t>U</w:t>
      </w:r>
      <w:r w:rsidR="00F025E0">
        <w:t xml:space="preserve">pdating the </w:t>
      </w:r>
      <w:r w:rsidR="008E432C">
        <w:t xml:space="preserve">amount of property tax expense in the test period to reflect more recent actual information </w:t>
      </w:r>
      <w:r w:rsidR="00F025E0">
        <w:t xml:space="preserve">is consistent with revisions the Company made to </w:t>
      </w:r>
      <w:r w:rsidR="008E432C">
        <w:t>Adjustments 3.6 (Wheeling Revenues), 8.4 (Major Plant Additions), and 8.6 (</w:t>
      </w:r>
      <w:r w:rsidR="00F025E0">
        <w:t>Powerdale Hydro</w:t>
      </w:r>
      <w:r w:rsidR="008E432C">
        <w:t xml:space="preserve"> Removal).  The Company’s revisions to Adjustments 8.4 and 8.6 are discussed later in my testimony.</w:t>
      </w:r>
      <w:r w:rsidR="007D7ED6">
        <w:t xml:space="preserve"> </w:t>
      </w:r>
    </w:p>
    <w:p w:rsidR="00EC0E6B" w:rsidRPr="007B764E" w:rsidRDefault="00884DE6" w:rsidP="00E260CB">
      <w:pPr>
        <w:pStyle w:val="Heading3"/>
      </w:pPr>
      <w:bookmarkStart w:id="18" w:name="_Toc363024807"/>
      <w:r w:rsidRPr="007B764E">
        <w:t>Renewable Energy Tax Credit</w:t>
      </w:r>
      <w:r w:rsidR="00C60E06">
        <w:t>s</w:t>
      </w:r>
      <w:bookmarkEnd w:id="18"/>
    </w:p>
    <w:p w:rsidR="00322B73" w:rsidRPr="00BE1237" w:rsidRDefault="00322B73" w:rsidP="00054ECC">
      <w:pPr>
        <w:spacing w:line="480" w:lineRule="auto"/>
        <w:ind w:left="720" w:hanging="720"/>
        <w:jc w:val="left"/>
        <w:rPr>
          <w:b/>
        </w:rPr>
      </w:pPr>
      <w:r w:rsidRPr="00BE1237">
        <w:rPr>
          <w:b/>
        </w:rPr>
        <w:t>Q.</w:t>
      </w:r>
      <w:r w:rsidRPr="00BE1237">
        <w:rPr>
          <w:b/>
        </w:rPr>
        <w:tab/>
      </w:r>
      <w:r>
        <w:rPr>
          <w:b/>
        </w:rPr>
        <w:t xml:space="preserve">Please describe the </w:t>
      </w:r>
      <w:r w:rsidR="006B3C90">
        <w:rPr>
          <w:b/>
        </w:rPr>
        <w:t>Company’s revisions to the amount of r</w:t>
      </w:r>
      <w:r>
        <w:rPr>
          <w:b/>
        </w:rPr>
        <w:t xml:space="preserve">enewable </w:t>
      </w:r>
      <w:r w:rsidR="006B3C90">
        <w:rPr>
          <w:b/>
        </w:rPr>
        <w:t>e</w:t>
      </w:r>
      <w:r>
        <w:rPr>
          <w:b/>
        </w:rPr>
        <w:t xml:space="preserve">nergy </w:t>
      </w:r>
      <w:r w:rsidR="006B3C90">
        <w:rPr>
          <w:b/>
        </w:rPr>
        <w:t>t</w:t>
      </w:r>
      <w:r>
        <w:rPr>
          <w:b/>
        </w:rPr>
        <w:t xml:space="preserve">ax </w:t>
      </w:r>
      <w:r w:rsidR="006B3C90">
        <w:rPr>
          <w:b/>
        </w:rPr>
        <w:t>c</w:t>
      </w:r>
      <w:r>
        <w:rPr>
          <w:b/>
        </w:rPr>
        <w:t>redit</w:t>
      </w:r>
      <w:r w:rsidR="006B3C90">
        <w:rPr>
          <w:b/>
        </w:rPr>
        <w:t>s reflected in the Washington results of operations.</w:t>
      </w:r>
    </w:p>
    <w:p w:rsidR="000A759E" w:rsidRDefault="00322B73" w:rsidP="00054ECC">
      <w:pPr>
        <w:pStyle w:val="Answer"/>
        <w:jc w:val="left"/>
      </w:pPr>
      <w:r>
        <w:t>A.</w:t>
      </w:r>
      <w:r>
        <w:tab/>
      </w:r>
      <w:r w:rsidR="006B3C90">
        <w:t>Revised Adjustment 7.3 (Renewable Energy Tax Credit)</w:t>
      </w:r>
      <w:r>
        <w:t xml:space="preserve"> has been updated </w:t>
      </w:r>
      <w:r w:rsidR="006B3C90">
        <w:t xml:space="preserve">to </w:t>
      </w:r>
      <w:r w:rsidR="00835978">
        <w:t>reflect</w:t>
      </w:r>
      <w:r w:rsidR="006B3C90">
        <w:t xml:space="preserve"> the </w:t>
      </w:r>
      <w:r w:rsidR="00835978">
        <w:t>megawatt-</w:t>
      </w:r>
      <w:r w:rsidR="006B3C90">
        <w:t xml:space="preserve">hour output of qualifying renewable facilities as modeled </w:t>
      </w:r>
      <w:r>
        <w:t xml:space="preserve">in the Company’s rebuttal net power costs.  This </w:t>
      </w:r>
      <w:r w:rsidR="00835978">
        <w:t xml:space="preserve">revised </w:t>
      </w:r>
      <w:r>
        <w:t xml:space="preserve">adjustment </w:t>
      </w:r>
      <w:r w:rsidR="00835978">
        <w:t xml:space="preserve">increases </w:t>
      </w:r>
      <w:r w:rsidR="00510625">
        <w:t>the</w:t>
      </w:r>
      <w:r w:rsidR="00835978">
        <w:t xml:space="preserve"> amount of tax credits included in the test period and </w:t>
      </w:r>
      <w:r>
        <w:t>reduces the Washington</w:t>
      </w:r>
      <w:r w:rsidR="00835978">
        <w:t>-allocated</w:t>
      </w:r>
      <w:r>
        <w:t xml:space="preserve"> revenue requirement by </w:t>
      </w:r>
      <w:r w:rsidR="00835978">
        <w:t xml:space="preserve">approximately </w:t>
      </w:r>
      <w:r>
        <w:t>$</w:t>
      </w:r>
      <w:r w:rsidR="00910D2C">
        <w:t>1</w:t>
      </w:r>
      <w:r w:rsidR="00835978">
        <w:t>.1 million</w:t>
      </w:r>
      <w:r>
        <w:t xml:space="preserve"> </w:t>
      </w:r>
      <w:r w:rsidR="00C60E06">
        <w:t>from</w:t>
      </w:r>
      <w:r>
        <w:t xml:space="preserve"> the Company’s </w:t>
      </w:r>
      <w:r w:rsidR="00835978">
        <w:t>initial</w:t>
      </w:r>
      <w:r>
        <w:t xml:space="preserve"> filing.</w:t>
      </w:r>
    </w:p>
    <w:p w:rsidR="00EC0E6B" w:rsidRDefault="00E8285B" w:rsidP="007B764E">
      <w:pPr>
        <w:pStyle w:val="Heading3"/>
      </w:pPr>
      <w:bookmarkStart w:id="19" w:name="_Toc363024808"/>
      <w:r w:rsidRPr="00CA702C">
        <w:t>Tax Flow-Through Adjustment</w:t>
      </w:r>
      <w:bookmarkEnd w:id="19"/>
    </w:p>
    <w:p w:rsidR="00BE1237" w:rsidRPr="00BE1237" w:rsidRDefault="00BE1237" w:rsidP="00054ECC">
      <w:pPr>
        <w:spacing w:line="480" w:lineRule="auto"/>
        <w:ind w:left="720" w:hanging="720"/>
        <w:jc w:val="left"/>
        <w:rPr>
          <w:b/>
        </w:rPr>
      </w:pPr>
      <w:r w:rsidRPr="00BE1237">
        <w:rPr>
          <w:b/>
        </w:rPr>
        <w:t>Q.</w:t>
      </w:r>
      <w:r w:rsidRPr="00BE1237">
        <w:rPr>
          <w:b/>
        </w:rPr>
        <w:tab/>
      </w:r>
      <w:r w:rsidR="003A4521">
        <w:rPr>
          <w:b/>
        </w:rPr>
        <w:t xml:space="preserve">Please describe </w:t>
      </w:r>
      <w:r w:rsidR="00C60E06">
        <w:rPr>
          <w:b/>
        </w:rPr>
        <w:t>Public Counsel’s proposed changes to income taxes</w:t>
      </w:r>
      <w:r w:rsidR="0047556A">
        <w:rPr>
          <w:b/>
        </w:rPr>
        <w:t>.</w:t>
      </w:r>
    </w:p>
    <w:p w:rsidR="00C22ACC" w:rsidRDefault="00BE1237" w:rsidP="00C22ACC">
      <w:pPr>
        <w:widowControl w:val="0"/>
        <w:spacing w:line="480" w:lineRule="auto"/>
        <w:ind w:left="720" w:hanging="720"/>
        <w:jc w:val="left"/>
      </w:pPr>
      <w:r>
        <w:t>A.</w:t>
      </w:r>
      <w:r w:rsidRPr="006D3725">
        <w:tab/>
      </w:r>
      <w:r w:rsidR="00CA702C">
        <w:t>Public Counsel propose</w:t>
      </w:r>
      <w:r w:rsidR="00C60E06">
        <w:t>s</w:t>
      </w:r>
      <w:r w:rsidR="00CA702C">
        <w:t xml:space="preserve"> that the Company use flow-through </w:t>
      </w:r>
      <w:r w:rsidR="007D7ED6">
        <w:t xml:space="preserve">accounting </w:t>
      </w:r>
      <w:r w:rsidR="00CA702C">
        <w:t xml:space="preserve">treatment </w:t>
      </w:r>
      <w:r w:rsidR="00F16E86">
        <w:t xml:space="preserve">on </w:t>
      </w:r>
      <w:r w:rsidR="00CA702C">
        <w:t>two specific tax items</w:t>
      </w:r>
      <w:r w:rsidR="007D7ED6">
        <w:t xml:space="preserve">: </w:t>
      </w:r>
      <w:r w:rsidR="00CA702C">
        <w:t xml:space="preserve"> </w:t>
      </w:r>
      <w:r>
        <w:t>“Reg Liability</w:t>
      </w:r>
      <w:r w:rsidR="0047556A">
        <w:t>—</w:t>
      </w:r>
      <w:r>
        <w:t>WA Low Energy Program</w:t>
      </w:r>
      <w:r w:rsidR="007D7ED6">
        <w:t>,</w:t>
      </w:r>
      <w:r>
        <w:t xml:space="preserve">” and </w:t>
      </w:r>
      <w:r w:rsidRPr="006D3725">
        <w:t>“Bridger Coal Compa</w:t>
      </w:r>
      <w:r w:rsidR="00CA702C">
        <w:t>ny Gain</w:t>
      </w:r>
      <w:r w:rsidR="007B764E">
        <w:t>/</w:t>
      </w:r>
      <w:r w:rsidR="00CA702C">
        <w:t>Loss on Assets Disposed</w:t>
      </w:r>
      <w:r w:rsidR="0047556A">
        <w:t>.</w:t>
      </w:r>
      <w:r w:rsidR="00CA702C">
        <w:t>”</w:t>
      </w:r>
      <w:r w:rsidR="00C60E06">
        <w:rPr>
          <w:rStyle w:val="FootnoteReference"/>
        </w:rPr>
        <w:footnoteReference w:id="17"/>
      </w:r>
    </w:p>
    <w:p w:rsidR="00BE1237" w:rsidRPr="00BE1237" w:rsidRDefault="00BE1237" w:rsidP="00054ECC">
      <w:pPr>
        <w:spacing w:line="480" w:lineRule="auto"/>
        <w:ind w:left="720" w:hanging="720"/>
        <w:jc w:val="left"/>
        <w:rPr>
          <w:b/>
        </w:rPr>
      </w:pPr>
      <w:r w:rsidRPr="00BE1237">
        <w:rPr>
          <w:b/>
        </w:rPr>
        <w:t>Q.</w:t>
      </w:r>
      <w:r w:rsidRPr="00BE1237">
        <w:rPr>
          <w:b/>
        </w:rPr>
        <w:tab/>
        <w:t>What is the “Reg Liability</w:t>
      </w:r>
      <w:r w:rsidR="0047556A">
        <w:rPr>
          <w:b/>
        </w:rPr>
        <w:t>—</w:t>
      </w:r>
      <w:r w:rsidRPr="00BE1237">
        <w:rPr>
          <w:b/>
        </w:rPr>
        <w:t>WA Low Energy Program”?</w:t>
      </w:r>
    </w:p>
    <w:p w:rsidR="00BE1237" w:rsidRDefault="00BE1237" w:rsidP="00054ECC">
      <w:pPr>
        <w:spacing w:line="480" w:lineRule="auto"/>
        <w:ind w:left="720" w:hanging="720"/>
        <w:jc w:val="left"/>
      </w:pPr>
      <w:r>
        <w:t>A.</w:t>
      </w:r>
      <w:r>
        <w:tab/>
        <w:t>The “Reg Liability</w:t>
      </w:r>
      <w:r w:rsidR="0047556A">
        <w:t>—</w:t>
      </w:r>
      <w:r>
        <w:t xml:space="preserve">WA Low Energy Program” is created when funds are collected from customers and held in a liability balancing account for the purpose of providing </w:t>
      </w:r>
      <w:r w:rsidR="00F16E86">
        <w:t xml:space="preserve">aid </w:t>
      </w:r>
      <w:r>
        <w:t xml:space="preserve">to certain customers who qualify for assistance in paying their electricity </w:t>
      </w:r>
      <w:r w:rsidR="00F16E86">
        <w:t>bill</w:t>
      </w:r>
      <w:r>
        <w:t xml:space="preserve">.  Since the funds are collected </w:t>
      </w:r>
      <w:r w:rsidR="00D55CDB">
        <w:t>before</w:t>
      </w:r>
      <w:r>
        <w:t xml:space="preserve"> the disbursements</w:t>
      </w:r>
      <w:r w:rsidRPr="007D7ED6">
        <w:t xml:space="preserve">, a timing difference </w:t>
      </w:r>
      <w:r w:rsidR="00F16E86" w:rsidRPr="007D7ED6">
        <w:t>exists</w:t>
      </w:r>
      <w:r w:rsidRPr="007D7ED6">
        <w:t>.</w:t>
      </w:r>
      <w:r>
        <w:t xml:space="preserve">  For tax purposes, the funds </w:t>
      </w:r>
      <w:r w:rsidR="00700F5F">
        <w:t xml:space="preserve">are considered </w:t>
      </w:r>
      <w:r>
        <w:t xml:space="preserve">revenue when collected and become deductible when paid.  </w:t>
      </w:r>
      <w:r w:rsidR="00D55CDB">
        <w:t xml:space="preserve">But </w:t>
      </w:r>
      <w:r>
        <w:t>for book purposes, the funds are treated as a pass-through and never recorded in revenue accounts.</w:t>
      </w:r>
    </w:p>
    <w:p w:rsidR="00BE1237" w:rsidRPr="00BE1237" w:rsidRDefault="00BE1237" w:rsidP="00054ECC">
      <w:pPr>
        <w:spacing w:line="480" w:lineRule="auto"/>
        <w:ind w:left="720" w:hanging="720"/>
        <w:jc w:val="left"/>
        <w:rPr>
          <w:b/>
        </w:rPr>
      </w:pPr>
      <w:r w:rsidRPr="00BE1237">
        <w:rPr>
          <w:b/>
        </w:rPr>
        <w:t>Q.</w:t>
      </w:r>
      <w:r w:rsidRPr="00BE1237">
        <w:rPr>
          <w:b/>
        </w:rPr>
        <w:tab/>
        <w:t>Does the Company agree with the “Reg Liability</w:t>
      </w:r>
      <w:r w:rsidR="00D55CDB">
        <w:rPr>
          <w:b/>
        </w:rPr>
        <w:t>—</w:t>
      </w:r>
      <w:r w:rsidRPr="00BE1237">
        <w:rPr>
          <w:b/>
        </w:rPr>
        <w:t xml:space="preserve">WA Low Energy Program” adjustment proposed by </w:t>
      </w:r>
      <w:r w:rsidR="00344A1A">
        <w:rPr>
          <w:b/>
        </w:rPr>
        <w:t>Public Counsel</w:t>
      </w:r>
      <w:r w:rsidRPr="00BE1237">
        <w:rPr>
          <w:b/>
        </w:rPr>
        <w:t>?</w:t>
      </w:r>
    </w:p>
    <w:p w:rsidR="00BE1237" w:rsidRPr="002F0D35" w:rsidRDefault="00BE1237" w:rsidP="00054ECC">
      <w:pPr>
        <w:spacing w:line="480" w:lineRule="auto"/>
        <w:ind w:left="720" w:hanging="720"/>
        <w:jc w:val="left"/>
      </w:pPr>
      <w:r w:rsidRPr="002F0D35">
        <w:t>A</w:t>
      </w:r>
      <w:r>
        <w:t>.</w:t>
      </w:r>
      <w:r w:rsidRPr="002F0D35">
        <w:tab/>
        <w:t>Yes</w:t>
      </w:r>
      <w:r w:rsidR="008A07A9">
        <w:t xml:space="preserve">, in principle. </w:t>
      </w:r>
      <w:r w:rsidR="00D55CDB">
        <w:t xml:space="preserve"> </w:t>
      </w:r>
      <w:r w:rsidRPr="002F0D35">
        <w:t>The Company agrees</w:t>
      </w:r>
      <w:r w:rsidR="00CA702C">
        <w:t xml:space="preserve"> that the tax impacts of the S</w:t>
      </w:r>
      <w:r w:rsidRPr="002F0D35">
        <w:t>chedule M reflecting the timing difference should be removed.</w:t>
      </w:r>
      <w:r w:rsidR="008A07A9">
        <w:t xml:space="preserve">  However, </w:t>
      </w:r>
      <w:r w:rsidR="00D55CDB">
        <w:t xml:space="preserve">it is more appropriate to remove this item from regulatory results entirely than to </w:t>
      </w:r>
      <w:r w:rsidR="008A07A9">
        <w:t xml:space="preserve">afford </w:t>
      </w:r>
      <w:r w:rsidR="007D7ED6">
        <w:t xml:space="preserve">these items </w:t>
      </w:r>
      <w:r w:rsidR="008A07A9">
        <w:t xml:space="preserve">normalization or flow-through </w:t>
      </w:r>
      <w:r w:rsidR="008A07A9" w:rsidRPr="007D7ED6">
        <w:t>treatment.</w:t>
      </w:r>
      <w:r w:rsidR="00700F5F" w:rsidRPr="007D7ED6">
        <w:t xml:space="preserve">  </w:t>
      </w:r>
    </w:p>
    <w:p w:rsidR="00BE1237" w:rsidRPr="00BE1237" w:rsidRDefault="00BE1237" w:rsidP="00054ECC">
      <w:pPr>
        <w:spacing w:line="480" w:lineRule="auto"/>
        <w:ind w:left="720" w:hanging="720"/>
        <w:jc w:val="left"/>
        <w:rPr>
          <w:b/>
        </w:rPr>
      </w:pPr>
      <w:r w:rsidRPr="00BE1237">
        <w:rPr>
          <w:b/>
        </w:rPr>
        <w:t>Q.</w:t>
      </w:r>
      <w:r w:rsidRPr="00BE1237">
        <w:rPr>
          <w:b/>
        </w:rPr>
        <w:tab/>
        <w:t>What is the “Bridger Coal Company Gain</w:t>
      </w:r>
      <w:r w:rsidR="00510625">
        <w:rPr>
          <w:b/>
        </w:rPr>
        <w:t>/</w:t>
      </w:r>
      <w:r w:rsidRPr="00BE1237">
        <w:rPr>
          <w:b/>
        </w:rPr>
        <w:t>Loss on Assets Disposed”?</w:t>
      </w:r>
    </w:p>
    <w:p w:rsidR="00BE1237" w:rsidRDefault="00BE1237" w:rsidP="00054ECC">
      <w:pPr>
        <w:spacing w:line="480" w:lineRule="auto"/>
        <w:ind w:left="720" w:hanging="720"/>
        <w:jc w:val="left"/>
      </w:pPr>
      <w:r w:rsidRPr="006D3725">
        <w:t>A</w:t>
      </w:r>
      <w:r>
        <w:t>.</w:t>
      </w:r>
      <w:r w:rsidRPr="006D3725">
        <w:tab/>
      </w:r>
      <w:r w:rsidR="00F16E86">
        <w:t xml:space="preserve">The </w:t>
      </w:r>
      <w:r>
        <w:t xml:space="preserve">“Bridger Coal Company Gain/Loss on Assets Disposed” </w:t>
      </w:r>
      <w:r w:rsidR="00F16E86">
        <w:t xml:space="preserve">account balance </w:t>
      </w:r>
      <w:r>
        <w:t xml:space="preserve">is created </w:t>
      </w:r>
      <w:r w:rsidR="00CA702C">
        <w:t xml:space="preserve">when Bridger Coal Company sells, </w:t>
      </w:r>
      <w:r>
        <w:t>retires</w:t>
      </w:r>
      <w:r w:rsidR="00D55CDB">
        <w:t xml:space="preserve">, </w:t>
      </w:r>
      <w:r>
        <w:t xml:space="preserve">or otherwise disposes of assets resulting in gains or losses.  </w:t>
      </w:r>
      <w:r w:rsidRPr="00926C3C">
        <w:t xml:space="preserve">Book treatment of assets disposed is to record the gain or loss </w:t>
      </w:r>
      <w:r>
        <w:t>based on net book value less any proceeds received</w:t>
      </w:r>
      <w:r w:rsidRPr="00926C3C">
        <w:t xml:space="preserve">.  The Schedule M </w:t>
      </w:r>
      <w:r w:rsidR="00F16E86">
        <w:t xml:space="preserve">entry </w:t>
      </w:r>
      <w:r w:rsidRPr="00926C3C">
        <w:t>adjusts the book gain on assets disposed to reflect the difference between net book basis of assets disposed and net tax basis of assets disposed due to differences in depreciation.</w:t>
      </w:r>
    </w:p>
    <w:p w:rsidR="00D22E24" w:rsidRPr="00BE1237" w:rsidRDefault="00BE1237" w:rsidP="00054ECC">
      <w:pPr>
        <w:spacing w:line="480" w:lineRule="auto"/>
        <w:ind w:left="720" w:hanging="720"/>
        <w:jc w:val="left"/>
        <w:rPr>
          <w:b/>
        </w:rPr>
      </w:pPr>
      <w:r w:rsidRPr="00BE1237">
        <w:rPr>
          <w:b/>
        </w:rPr>
        <w:t>Q.</w:t>
      </w:r>
      <w:r w:rsidRPr="00BE1237">
        <w:rPr>
          <w:b/>
        </w:rPr>
        <w:tab/>
      </w:r>
      <w:r w:rsidR="00D22E24">
        <w:rPr>
          <w:b/>
        </w:rPr>
        <w:t xml:space="preserve">Please briefly describe </w:t>
      </w:r>
      <w:r w:rsidR="00344A1A">
        <w:rPr>
          <w:b/>
        </w:rPr>
        <w:t>Public Counsel’s</w:t>
      </w:r>
      <w:r w:rsidRPr="00BE1237">
        <w:rPr>
          <w:b/>
        </w:rPr>
        <w:t xml:space="preserve"> proposed adjustment to the “Bridger Coal Company Gain</w:t>
      </w:r>
      <w:r w:rsidR="007D7ED6">
        <w:rPr>
          <w:b/>
        </w:rPr>
        <w:t>/</w:t>
      </w:r>
      <w:r w:rsidRPr="00BE1237">
        <w:rPr>
          <w:b/>
        </w:rPr>
        <w:t>Loss on Assets Disposed</w:t>
      </w:r>
      <w:r w:rsidR="00D55CDB">
        <w:rPr>
          <w:b/>
        </w:rPr>
        <w:t>.</w:t>
      </w:r>
      <w:r w:rsidRPr="00BE1237">
        <w:rPr>
          <w:b/>
        </w:rPr>
        <w:t>”</w:t>
      </w:r>
    </w:p>
    <w:p w:rsidR="00BE1237" w:rsidRDefault="00BE1237" w:rsidP="00054ECC">
      <w:pPr>
        <w:spacing w:line="480" w:lineRule="auto"/>
        <w:ind w:left="720" w:hanging="720"/>
        <w:jc w:val="left"/>
      </w:pPr>
      <w:r>
        <w:t>A.</w:t>
      </w:r>
      <w:r>
        <w:tab/>
        <w:t xml:space="preserve">The adjustment proposed by </w:t>
      </w:r>
      <w:r w:rsidR="00344A1A">
        <w:t>Public Counsel</w:t>
      </w:r>
      <w:r>
        <w:t xml:space="preserve"> consists of two parts</w:t>
      </w:r>
      <w:r w:rsidR="00D55CDB">
        <w:t>—</w:t>
      </w:r>
      <w:r>
        <w:t xml:space="preserve">an allocation factor </w:t>
      </w:r>
      <w:r w:rsidR="00D55CDB">
        <w:t xml:space="preserve">component </w:t>
      </w:r>
      <w:r>
        <w:t>and a flow-through versus normalization component.</w:t>
      </w:r>
    </w:p>
    <w:p w:rsidR="00BE1237" w:rsidRPr="00BE1237" w:rsidRDefault="00BE1237" w:rsidP="00054ECC">
      <w:pPr>
        <w:spacing w:line="480" w:lineRule="auto"/>
        <w:ind w:left="720" w:hanging="720"/>
        <w:jc w:val="left"/>
        <w:rPr>
          <w:b/>
        </w:rPr>
      </w:pPr>
      <w:r w:rsidRPr="00BE1237">
        <w:rPr>
          <w:b/>
        </w:rPr>
        <w:t>Q.</w:t>
      </w:r>
      <w:r w:rsidRPr="00BE1237">
        <w:rPr>
          <w:b/>
        </w:rPr>
        <w:tab/>
        <w:t>Does the Company agree with the allocation factor component of the adjustment?</w:t>
      </w:r>
    </w:p>
    <w:p w:rsidR="00BE1237" w:rsidRDefault="00BE1237" w:rsidP="00054ECC">
      <w:pPr>
        <w:spacing w:line="480" w:lineRule="auto"/>
        <w:ind w:left="720" w:hanging="720"/>
        <w:jc w:val="left"/>
      </w:pPr>
      <w:r>
        <w:t>A.</w:t>
      </w:r>
      <w:r>
        <w:tab/>
        <w:t xml:space="preserve">Yes.  The Company agrees with the allocation factor </w:t>
      </w:r>
      <w:r w:rsidR="00D55CDB">
        <w:t xml:space="preserve">correction </w:t>
      </w:r>
      <w:r>
        <w:t xml:space="preserve">proposed by </w:t>
      </w:r>
      <w:r w:rsidR="00344A1A">
        <w:t>Public Counsel</w:t>
      </w:r>
      <w:r w:rsidR="00D55CDB">
        <w:t xml:space="preserve"> and accepts it as part of the Company’s rebuttal filing</w:t>
      </w:r>
      <w:r>
        <w:t>.</w:t>
      </w:r>
    </w:p>
    <w:p w:rsidR="00BE1237" w:rsidRPr="00BE1237" w:rsidRDefault="00BE1237" w:rsidP="00054ECC">
      <w:pPr>
        <w:spacing w:line="480" w:lineRule="auto"/>
        <w:ind w:left="720" w:hanging="720"/>
        <w:jc w:val="left"/>
        <w:rPr>
          <w:b/>
        </w:rPr>
      </w:pPr>
      <w:r w:rsidRPr="00BE1237">
        <w:rPr>
          <w:b/>
        </w:rPr>
        <w:t>Q.</w:t>
      </w:r>
      <w:r w:rsidRPr="00BE1237">
        <w:rPr>
          <w:b/>
        </w:rPr>
        <w:tab/>
        <w:t>Does the Company agree with the flow-through versus normalization component of the adjustment?</w:t>
      </w:r>
    </w:p>
    <w:p w:rsidR="00BE1237" w:rsidRDefault="00BE1237" w:rsidP="00054ECC">
      <w:pPr>
        <w:spacing w:line="480" w:lineRule="auto"/>
        <w:ind w:left="720" w:hanging="720"/>
        <w:jc w:val="left"/>
      </w:pPr>
      <w:r>
        <w:t>A.</w:t>
      </w:r>
      <w:r>
        <w:tab/>
        <w:t xml:space="preserve">No.  As the Company stated in response to </w:t>
      </w:r>
      <w:r w:rsidR="00793876">
        <w:t xml:space="preserve">Public Counsel Data Request No. </w:t>
      </w:r>
      <w:r>
        <w:t>172</w:t>
      </w:r>
      <w:r w:rsidR="00793876">
        <w:t>b</w:t>
      </w:r>
      <w:r>
        <w:t>, this book/tax timing difference is related to fixed assets and therefore must be afforded normalization treatment for ratemaking purposes rather than flow-through treatment as proposed</w:t>
      </w:r>
      <w:r w:rsidR="00403B48">
        <w:t xml:space="preserve"> by Public Counsel</w:t>
      </w:r>
      <w:r>
        <w:t>.</w:t>
      </w:r>
    </w:p>
    <w:p w:rsidR="00BE1237" w:rsidRPr="00BE1237" w:rsidRDefault="00BE1237" w:rsidP="00054ECC">
      <w:pPr>
        <w:spacing w:line="480" w:lineRule="auto"/>
        <w:ind w:left="720" w:hanging="720"/>
        <w:jc w:val="left"/>
        <w:rPr>
          <w:b/>
        </w:rPr>
      </w:pPr>
      <w:r w:rsidRPr="00BE1237">
        <w:rPr>
          <w:b/>
        </w:rPr>
        <w:t>Q.</w:t>
      </w:r>
      <w:r w:rsidRPr="00BE1237">
        <w:rPr>
          <w:b/>
        </w:rPr>
        <w:tab/>
        <w:t xml:space="preserve">Are there similar book/tax timing differences included in </w:t>
      </w:r>
      <w:r w:rsidR="00D22E24">
        <w:rPr>
          <w:b/>
        </w:rPr>
        <w:t xml:space="preserve">this </w:t>
      </w:r>
      <w:r w:rsidRPr="00BE1237">
        <w:rPr>
          <w:b/>
        </w:rPr>
        <w:t>case that are afforded normalization treatment rather than flow-through treatment?</w:t>
      </w:r>
    </w:p>
    <w:p w:rsidR="00BE1237" w:rsidRDefault="00BE1237" w:rsidP="00054ECC">
      <w:pPr>
        <w:spacing w:line="480" w:lineRule="auto"/>
        <w:ind w:left="720" w:hanging="720"/>
        <w:jc w:val="left"/>
      </w:pPr>
      <w:r>
        <w:t>A.</w:t>
      </w:r>
      <w:r>
        <w:tab/>
        <w:t>Yes</w:t>
      </w:r>
      <w:r w:rsidR="00700F5F">
        <w:t xml:space="preserve">. </w:t>
      </w:r>
      <w:r w:rsidR="00D55CDB">
        <w:t xml:space="preserve"> </w:t>
      </w:r>
      <w:r w:rsidR="00700F5F">
        <w:t>T</w:t>
      </w:r>
      <w:r>
        <w:t>he same item for PacifiCorp assets entitled “Gain/Loss on Property Dispositions” is an item related to fixed assets and is afforded normalization treatment rather than flow-through treatment.</w:t>
      </w:r>
    </w:p>
    <w:p w:rsidR="00BE1237" w:rsidRPr="00BE1237" w:rsidRDefault="00BE1237" w:rsidP="00054ECC">
      <w:pPr>
        <w:spacing w:line="480" w:lineRule="auto"/>
        <w:ind w:left="720" w:hanging="720"/>
        <w:jc w:val="left"/>
        <w:rPr>
          <w:b/>
        </w:rPr>
      </w:pPr>
      <w:r w:rsidRPr="00BE1237">
        <w:rPr>
          <w:b/>
        </w:rPr>
        <w:t>Q.</w:t>
      </w:r>
      <w:r w:rsidRPr="00BE1237">
        <w:rPr>
          <w:b/>
        </w:rPr>
        <w:tab/>
        <w:t>What is the difference between PacifiCorp’s book/tax timing difference and the Bridger Coal Company book/tax timing difference?</w:t>
      </w:r>
    </w:p>
    <w:p w:rsidR="00BE1237" w:rsidRDefault="00BE1237" w:rsidP="00054ECC">
      <w:pPr>
        <w:spacing w:line="480" w:lineRule="auto"/>
        <w:ind w:left="720" w:hanging="720"/>
        <w:jc w:val="left"/>
      </w:pPr>
      <w:r>
        <w:t>A.</w:t>
      </w:r>
      <w:r>
        <w:tab/>
      </w:r>
      <w:r w:rsidR="00D55CDB">
        <w:t xml:space="preserve">There is no difference </w:t>
      </w:r>
      <w:r>
        <w:t>other than</w:t>
      </w:r>
      <w:r w:rsidR="00CA702C">
        <w:t xml:space="preserve"> the assets </w:t>
      </w:r>
      <w:r>
        <w:t>they relate to.  PacifiCorp</w:t>
      </w:r>
      <w:r w:rsidR="00D22E24">
        <w:t>’s</w:t>
      </w:r>
      <w:r>
        <w:t xml:space="preserve"> book/tax timing difference is related to the actual assets owned by PacifiCorp for the purpose of providing electric service to its customers.  The Bridger Coal Company book/tax timing difference is related to the actual assets providing coal to the Jim Bridger Mine.</w:t>
      </w:r>
    </w:p>
    <w:p w:rsidR="00C22ACC" w:rsidRDefault="00CA4614" w:rsidP="00054ECC">
      <w:pPr>
        <w:spacing w:line="480" w:lineRule="auto"/>
        <w:ind w:left="720" w:hanging="720"/>
        <w:jc w:val="left"/>
        <w:rPr>
          <w:b/>
        </w:rPr>
      </w:pPr>
      <w:r w:rsidRPr="00CA4614">
        <w:rPr>
          <w:b/>
        </w:rPr>
        <w:t>Q.</w:t>
      </w:r>
      <w:r w:rsidR="00BE1237" w:rsidRPr="00CA4614">
        <w:rPr>
          <w:b/>
        </w:rPr>
        <w:tab/>
        <w:t>Are there any ramifications to PacifiCorp and its customers if the Bridger Coal Company book/tax timing difference were to be afforded flow-through treatment for rate making purposes?</w:t>
      </w:r>
      <w:r w:rsidR="007D7ED6">
        <w:rPr>
          <w:b/>
        </w:rPr>
        <w:t xml:space="preserve"> </w:t>
      </w:r>
    </w:p>
    <w:p w:rsidR="00BE1237" w:rsidRDefault="00CA4614" w:rsidP="00054ECC">
      <w:pPr>
        <w:spacing w:line="480" w:lineRule="auto"/>
        <w:ind w:left="720" w:hanging="720"/>
        <w:jc w:val="left"/>
      </w:pPr>
      <w:r>
        <w:t>A.</w:t>
      </w:r>
      <w:r w:rsidR="00BE1237">
        <w:tab/>
        <w:t xml:space="preserve">Yes.  Flow-through treatment of book/tax timing differences related to fixed assets of a utility </w:t>
      </w:r>
      <w:r w:rsidR="00D55CDB">
        <w:t>is a</w:t>
      </w:r>
      <w:r w:rsidR="00BE1237">
        <w:t xml:space="preserve"> violation of normalization per Internal Revenue Code (IRC) Section 168(f)(2</w:t>
      </w:r>
      <w:r>
        <w:t xml:space="preserve">).  </w:t>
      </w:r>
      <w:r w:rsidR="00BE1237">
        <w:t xml:space="preserve">The basic underlying provisions of IRC Section 168(f)(2) </w:t>
      </w:r>
      <w:r w:rsidR="00631647">
        <w:t xml:space="preserve">state that if </w:t>
      </w:r>
      <w:r w:rsidR="00BE1237">
        <w:t>a utility does not normalize</w:t>
      </w:r>
      <w:r w:rsidR="00631647">
        <w:t xml:space="preserve">, </w:t>
      </w:r>
      <w:r w:rsidR="00BE1237">
        <w:t xml:space="preserve">or </w:t>
      </w:r>
      <w:r w:rsidR="00631647">
        <w:t>its</w:t>
      </w:r>
      <w:r w:rsidR="00BE1237">
        <w:t xml:space="preserve"> regulat</w:t>
      </w:r>
      <w:r w:rsidR="00196E2F">
        <w:t>or does not allow normalization</w:t>
      </w:r>
      <w:r w:rsidR="00631647">
        <w:t>,</w:t>
      </w:r>
      <w:r w:rsidR="00BE1237">
        <w:t xml:space="preserve"> </w:t>
      </w:r>
      <w:r w:rsidR="00631647">
        <w:t xml:space="preserve">that utility </w:t>
      </w:r>
      <w:r w:rsidR="00BE1237">
        <w:t>is require</w:t>
      </w:r>
      <w:r w:rsidR="00631647">
        <w:t>d</w:t>
      </w:r>
      <w:r w:rsidR="00BE1237">
        <w:t xml:space="preserve"> </w:t>
      </w:r>
      <w:r w:rsidR="00631647">
        <w:t xml:space="preserve">to </w:t>
      </w:r>
      <w:r w:rsidR="00BE1237">
        <w:t>use book lives and rates for income tax depreciation purposes</w:t>
      </w:r>
      <w:r w:rsidR="00631647">
        <w:t xml:space="preserve">, as opposed to </w:t>
      </w:r>
      <w:r w:rsidR="00BE1237">
        <w:t xml:space="preserve">the favorable accelerated depreciation methods generally available for income tax purposes.  </w:t>
      </w:r>
      <w:r w:rsidR="00D55CDB">
        <w:t>T</w:t>
      </w:r>
      <w:r w:rsidR="00BE1237">
        <w:t xml:space="preserve">o take advantage of the accelerated depreciation for income tax purposes, normalization is required for book/tax differences related to fixed assets.  </w:t>
      </w:r>
      <w:r w:rsidR="00631647">
        <w:t xml:space="preserve">Because the </w:t>
      </w:r>
      <w:r w:rsidR="00BE1237">
        <w:t>Gain/Loss on</w:t>
      </w:r>
      <w:r w:rsidR="00631647">
        <w:t xml:space="preserve"> the</w:t>
      </w:r>
      <w:r w:rsidR="00BE1237">
        <w:t xml:space="preserve"> disposition of </w:t>
      </w:r>
      <w:r w:rsidR="00631647">
        <w:t xml:space="preserve">these </w:t>
      </w:r>
      <w:r w:rsidR="00BE1237">
        <w:t xml:space="preserve">assets </w:t>
      </w:r>
      <w:r w:rsidR="00631647">
        <w:t xml:space="preserve">are </w:t>
      </w:r>
      <w:r w:rsidR="00BE1237">
        <w:t>timing difference</w:t>
      </w:r>
      <w:r w:rsidR="00631647">
        <w:t>s</w:t>
      </w:r>
      <w:r w:rsidR="00BE1237">
        <w:t xml:space="preserve"> that result from the use of accelerated income tax depreciation</w:t>
      </w:r>
      <w:r w:rsidR="00631647">
        <w:t xml:space="preserve">, </w:t>
      </w:r>
      <w:r w:rsidR="00BE1237">
        <w:t xml:space="preserve">the Company would lose its ability to take advantage of accelerated tax depreciation </w:t>
      </w:r>
      <w:r w:rsidR="00631647">
        <w:t xml:space="preserve">if these items were not normalized for regulatory purposes.  This would </w:t>
      </w:r>
      <w:r w:rsidR="00196E2F">
        <w:t xml:space="preserve">have detrimental impacts </w:t>
      </w:r>
      <w:r w:rsidR="007D7ED6">
        <w:t xml:space="preserve">on </w:t>
      </w:r>
      <w:r w:rsidR="00BE1237">
        <w:t>customers.</w:t>
      </w:r>
    </w:p>
    <w:p w:rsidR="00BE1237" w:rsidRPr="00CA4614" w:rsidRDefault="00305566" w:rsidP="00054ECC">
      <w:pPr>
        <w:spacing w:line="480" w:lineRule="auto"/>
        <w:ind w:left="720" w:hanging="720"/>
        <w:jc w:val="left"/>
        <w:rPr>
          <w:b/>
        </w:rPr>
      </w:pPr>
      <w:r w:rsidRPr="004B5F5D">
        <w:rPr>
          <w:b/>
        </w:rPr>
        <w:t>Q.</w:t>
      </w:r>
      <w:r w:rsidRPr="004B5F5D">
        <w:rPr>
          <w:b/>
        </w:rPr>
        <w:tab/>
      </w:r>
      <w:r w:rsidR="008A0DE3">
        <w:rPr>
          <w:b/>
        </w:rPr>
        <w:t xml:space="preserve">Is the </w:t>
      </w:r>
      <w:r w:rsidR="00BE1237" w:rsidRPr="00CA4614">
        <w:rPr>
          <w:b/>
        </w:rPr>
        <w:t>Company</w:t>
      </w:r>
      <w:r w:rsidR="008A0DE3">
        <w:rPr>
          <w:b/>
        </w:rPr>
        <w:t xml:space="preserve"> proposing any other modifications to </w:t>
      </w:r>
      <w:r w:rsidR="00154287">
        <w:rPr>
          <w:b/>
        </w:rPr>
        <w:t>Adjustment 7.6 (Flow-Through Adjustment)</w:t>
      </w:r>
      <w:r w:rsidR="00A37B39">
        <w:rPr>
          <w:b/>
        </w:rPr>
        <w:t xml:space="preserve"> in its rebuttal filing?</w:t>
      </w:r>
    </w:p>
    <w:p w:rsidR="00BE1237" w:rsidRPr="00D26659" w:rsidRDefault="00BE1237" w:rsidP="00054ECC">
      <w:pPr>
        <w:spacing w:line="480" w:lineRule="auto"/>
        <w:ind w:left="720" w:hanging="720"/>
        <w:jc w:val="left"/>
      </w:pPr>
      <w:r w:rsidRPr="00D26659">
        <w:t>A</w:t>
      </w:r>
      <w:r w:rsidR="00CA4614">
        <w:t>.</w:t>
      </w:r>
      <w:r w:rsidRPr="00D26659">
        <w:tab/>
      </w:r>
      <w:r w:rsidR="00101C71">
        <w:t xml:space="preserve">Yes.  </w:t>
      </w:r>
      <w:r w:rsidRPr="00D26659">
        <w:t xml:space="preserve">The Company is proposing to correct the allocation </w:t>
      </w:r>
      <w:r>
        <w:t>factors for</w:t>
      </w:r>
      <w:r w:rsidR="00196E2F">
        <w:t xml:space="preserve"> two S</w:t>
      </w:r>
      <w:r w:rsidRPr="00D26659">
        <w:t xml:space="preserve">chedule M items.  The </w:t>
      </w:r>
      <w:r w:rsidR="00196E2F">
        <w:t>first S</w:t>
      </w:r>
      <w:r>
        <w:t>chedule M</w:t>
      </w:r>
      <w:r w:rsidR="007D7ED6">
        <w:t xml:space="preserve"> item</w:t>
      </w:r>
      <w:r>
        <w:t xml:space="preserve">, </w:t>
      </w:r>
      <w:r w:rsidRPr="00D26659">
        <w:t>“Cholla Plant Transaction Costs</w:t>
      </w:r>
      <w:r w:rsidR="00154287">
        <w:t>—</w:t>
      </w:r>
      <w:r w:rsidRPr="00D26659">
        <w:t>APS Amort</w:t>
      </w:r>
      <w:r w:rsidR="00154287">
        <w:t>—</w:t>
      </w:r>
      <w:r w:rsidRPr="00D26659">
        <w:t>WA”</w:t>
      </w:r>
      <w:r>
        <w:t>,</w:t>
      </w:r>
      <w:r w:rsidRPr="00D26659">
        <w:t xml:space="preserve"> was erroneously coded as situs to W</w:t>
      </w:r>
      <w:r>
        <w:t>ashington</w:t>
      </w:r>
      <w:r w:rsidRPr="00D26659">
        <w:t xml:space="preserve">.  This is </w:t>
      </w:r>
      <w:r>
        <w:t xml:space="preserve">related to </w:t>
      </w:r>
      <w:r w:rsidRPr="00D26659">
        <w:t xml:space="preserve">an </w:t>
      </w:r>
      <w:r w:rsidR="00101C71">
        <w:t>e</w:t>
      </w:r>
      <w:r w:rsidRPr="00D26659">
        <w:t>ast</w:t>
      </w:r>
      <w:r w:rsidR="00101C71">
        <w:t>-</w:t>
      </w:r>
      <w:r w:rsidRPr="00D26659">
        <w:t>side resource and should not be allocated to W</w:t>
      </w:r>
      <w:r>
        <w:t>ashington</w:t>
      </w:r>
      <w:r w:rsidR="00196E2F">
        <w:t>.</w:t>
      </w:r>
      <w:r w:rsidRPr="00D26659">
        <w:t xml:space="preserve"> </w:t>
      </w:r>
      <w:r w:rsidR="00A37B39">
        <w:t xml:space="preserve"> </w:t>
      </w:r>
      <w:r w:rsidRPr="00D26659">
        <w:t xml:space="preserve">The </w:t>
      </w:r>
      <w:r>
        <w:t>second</w:t>
      </w:r>
      <w:r w:rsidRPr="00D26659">
        <w:t xml:space="preserve"> is </w:t>
      </w:r>
      <w:r>
        <w:t>the</w:t>
      </w:r>
      <w:r w:rsidRPr="00D26659">
        <w:t xml:space="preserve"> reclass</w:t>
      </w:r>
      <w:r w:rsidR="00996C1B">
        <w:t>ification</w:t>
      </w:r>
      <w:r w:rsidRPr="00D26659">
        <w:t xml:space="preserve"> account</w:t>
      </w:r>
      <w:r>
        <w:t xml:space="preserve"> </w:t>
      </w:r>
      <w:r w:rsidRPr="00D26659">
        <w:t xml:space="preserve">“Reg Asset Balance Reclass” that </w:t>
      </w:r>
      <w:r w:rsidR="00101C71">
        <w:t>should not be included in Washington results of operations.</w:t>
      </w:r>
    </w:p>
    <w:p w:rsidR="00BE1237" w:rsidRPr="00CA4614" w:rsidRDefault="00CA4614" w:rsidP="00054ECC">
      <w:pPr>
        <w:spacing w:line="480" w:lineRule="auto"/>
        <w:ind w:left="720" w:hanging="720"/>
        <w:jc w:val="left"/>
        <w:rPr>
          <w:b/>
        </w:rPr>
      </w:pPr>
      <w:r w:rsidRPr="00CA4614">
        <w:rPr>
          <w:b/>
        </w:rPr>
        <w:t>Q.</w:t>
      </w:r>
      <w:r w:rsidR="00BE1237" w:rsidRPr="00CA4614">
        <w:rPr>
          <w:b/>
        </w:rPr>
        <w:tab/>
        <w:t>What is the revenue requirement impact of the</w:t>
      </w:r>
      <w:r w:rsidR="00A37B39">
        <w:rPr>
          <w:b/>
        </w:rPr>
        <w:t xml:space="preserve"> Company’s</w:t>
      </w:r>
      <w:r w:rsidR="00BE1237" w:rsidRPr="00CA4614">
        <w:rPr>
          <w:b/>
        </w:rPr>
        <w:t xml:space="preserve"> </w:t>
      </w:r>
      <w:r w:rsidR="00154287">
        <w:rPr>
          <w:b/>
        </w:rPr>
        <w:t>modification</w:t>
      </w:r>
      <w:r w:rsidR="00154287" w:rsidRPr="00CA4614">
        <w:rPr>
          <w:b/>
        </w:rPr>
        <w:t>s</w:t>
      </w:r>
      <w:r w:rsidR="00154287">
        <w:rPr>
          <w:b/>
        </w:rPr>
        <w:t xml:space="preserve"> </w:t>
      </w:r>
      <w:r w:rsidR="00A37B39">
        <w:rPr>
          <w:b/>
        </w:rPr>
        <w:t>to</w:t>
      </w:r>
      <w:r w:rsidR="00154287">
        <w:rPr>
          <w:b/>
        </w:rPr>
        <w:t xml:space="preserve"> Adjustment 7.6</w:t>
      </w:r>
      <w:r w:rsidR="007D7ED6">
        <w:rPr>
          <w:b/>
        </w:rPr>
        <w:t xml:space="preserve"> (Flow-Through Adjustment)</w:t>
      </w:r>
      <w:r w:rsidR="00154287">
        <w:rPr>
          <w:b/>
        </w:rPr>
        <w:t>?</w:t>
      </w:r>
    </w:p>
    <w:p w:rsidR="009D08E7" w:rsidRDefault="00CA4614" w:rsidP="00054ECC">
      <w:pPr>
        <w:spacing w:line="480" w:lineRule="auto"/>
        <w:ind w:left="720" w:hanging="720"/>
        <w:jc w:val="left"/>
      </w:pPr>
      <w:r>
        <w:t>A.</w:t>
      </w:r>
      <w:r w:rsidR="00BE1237">
        <w:tab/>
      </w:r>
      <w:r w:rsidR="008A0DE3">
        <w:t xml:space="preserve">The </w:t>
      </w:r>
      <w:r w:rsidR="00A37B39">
        <w:t xml:space="preserve">combined </w:t>
      </w:r>
      <w:r w:rsidR="008A0DE3">
        <w:t>modifications</w:t>
      </w:r>
      <w:r w:rsidR="00A37B39">
        <w:t xml:space="preserve"> to Adjustment 7.6 </w:t>
      </w:r>
      <w:r w:rsidR="007D7ED6">
        <w:t>reduce</w:t>
      </w:r>
      <w:r w:rsidR="00A37B39">
        <w:t xml:space="preserve"> the Washington-allocated revenue requirement</w:t>
      </w:r>
      <w:r w:rsidR="008A0DE3">
        <w:t xml:space="preserve"> </w:t>
      </w:r>
      <w:r w:rsidR="00C22ACC">
        <w:t xml:space="preserve">by </w:t>
      </w:r>
      <w:r w:rsidR="00BE1237">
        <w:t xml:space="preserve">approximately </w:t>
      </w:r>
      <w:r w:rsidR="00884DE6" w:rsidRPr="00C22ACC">
        <w:t>$73,000</w:t>
      </w:r>
      <w:r w:rsidR="00C22ACC">
        <w:t xml:space="preserve"> from the Company’s initial filing</w:t>
      </w:r>
      <w:r w:rsidR="00BE1237">
        <w:t>.</w:t>
      </w:r>
      <w:r w:rsidR="00411232">
        <w:t xml:space="preserve">  These </w:t>
      </w:r>
      <w:r w:rsidR="00A37B39">
        <w:t xml:space="preserve">modifications </w:t>
      </w:r>
      <w:r w:rsidR="00411232">
        <w:t xml:space="preserve">are </w:t>
      </w:r>
      <w:r w:rsidR="00A37B39">
        <w:t xml:space="preserve">included </w:t>
      </w:r>
      <w:r w:rsidR="00411232">
        <w:t xml:space="preserve">as part of </w:t>
      </w:r>
      <w:r w:rsidR="00A37B39">
        <w:t xml:space="preserve">the Company’s revised </w:t>
      </w:r>
      <w:r w:rsidR="00C22ACC">
        <w:t>Adjustment </w:t>
      </w:r>
      <w:r w:rsidR="008A0DE3">
        <w:t>7.</w:t>
      </w:r>
      <w:r w:rsidR="000A759E">
        <w:t>6</w:t>
      </w:r>
      <w:r w:rsidR="008A0DE3">
        <w:t>.</w:t>
      </w:r>
    </w:p>
    <w:p w:rsidR="00EC0E6B" w:rsidRDefault="000808BA" w:rsidP="00C22ACC">
      <w:pPr>
        <w:pStyle w:val="Heading3"/>
      </w:pPr>
      <w:bookmarkStart w:id="20" w:name="_Toc363024809"/>
      <w:r w:rsidRPr="004B5F5D">
        <w:t xml:space="preserve">Remove State Deferred Tax Expense </w:t>
      </w:r>
      <w:r w:rsidR="00154287">
        <w:t>and</w:t>
      </w:r>
      <w:r w:rsidRPr="004B5F5D">
        <w:t xml:space="preserve"> Balance</w:t>
      </w:r>
      <w:bookmarkEnd w:id="20"/>
    </w:p>
    <w:p w:rsidR="000808BA" w:rsidRDefault="000808BA" w:rsidP="00054ECC">
      <w:pPr>
        <w:spacing w:line="480" w:lineRule="auto"/>
        <w:ind w:left="720" w:hanging="720"/>
        <w:jc w:val="left"/>
        <w:rPr>
          <w:b/>
        </w:rPr>
      </w:pPr>
      <w:r>
        <w:rPr>
          <w:b/>
        </w:rPr>
        <w:t>Q.</w:t>
      </w:r>
      <w:r>
        <w:rPr>
          <w:b/>
        </w:rPr>
        <w:tab/>
      </w:r>
      <w:r w:rsidR="00154287">
        <w:rPr>
          <w:b/>
        </w:rPr>
        <w:t>Please describe the Company’s modifications to Adjustment 7.7 (Remove State Deferred Tax Expense and Balance).</w:t>
      </w:r>
    </w:p>
    <w:p w:rsidR="000808BA" w:rsidRPr="004B5F5D" w:rsidRDefault="000808BA" w:rsidP="00054ECC">
      <w:pPr>
        <w:spacing w:line="480" w:lineRule="auto"/>
        <w:ind w:left="720" w:hanging="720"/>
        <w:jc w:val="left"/>
        <w:rPr>
          <w:b/>
        </w:rPr>
      </w:pPr>
      <w:r w:rsidRPr="004B5F5D">
        <w:t>A.</w:t>
      </w:r>
      <w:r w:rsidRPr="004B5F5D">
        <w:tab/>
      </w:r>
      <w:r>
        <w:t xml:space="preserve">The correction to allocation factors </w:t>
      </w:r>
      <w:r w:rsidR="00154287">
        <w:t>made in revised</w:t>
      </w:r>
      <w:r>
        <w:t xml:space="preserve"> Adjustment 6.3</w:t>
      </w:r>
      <w:r w:rsidR="00154287">
        <w:t xml:space="preserve"> (</w:t>
      </w:r>
      <w:r>
        <w:t>discussed in detail above</w:t>
      </w:r>
      <w:r w:rsidR="00154287">
        <w:t>)</w:t>
      </w:r>
      <w:r>
        <w:t xml:space="preserve"> result</w:t>
      </w:r>
      <w:r w:rsidR="00154287">
        <w:t>s</w:t>
      </w:r>
      <w:r>
        <w:t xml:space="preserve"> in changes to the </w:t>
      </w:r>
      <w:r w:rsidR="00C22ACC">
        <w:t xml:space="preserve">level of the deferred income tax expense included in the Washington results of operations.  </w:t>
      </w:r>
      <w:r>
        <w:t>Accordingly, the Company incorporate</w:t>
      </w:r>
      <w:r w:rsidR="00154287">
        <w:t>s</w:t>
      </w:r>
      <w:r>
        <w:t xml:space="preserve"> th</w:t>
      </w:r>
      <w:r w:rsidR="00154287">
        <w:t>e</w:t>
      </w:r>
      <w:r>
        <w:t xml:space="preserve">se changes into its </w:t>
      </w:r>
      <w:r w:rsidR="00154287">
        <w:t>r</w:t>
      </w:r>
      <w:r>
        <w:t>evised Adjustment 7.7</w:t>
      </w:r>
      <w:r w:rsidR="00154287">
        <w:t>, resulting in a reduction to the Washington-allocated revenue requirement of approximately $0.6 million from the Company’s initial filing</w:t>
      </w:r>
      <w:r>
        <w:t xml:space="preserve">. </w:t>
      </w:r>
    </w:p>
    <w:p w:rsidR="00EC0E6B" w:rsidRDefault="000216A7" w:rsidP="00C22ACC">
      <w:pPr>
        <w:pStyle w:val="Heading3"/>
      </w:pPr>
      <w:bookmarkStart w:id="21" w:name="_Toc363024810"/>
      <w:r>
        <w:t>Major Plant Additions</w:t>
      </w:r>
      <w:bookmarkEnd w:id="21"/>
    </w:p>
    <w:p w:rsidR="005076B4" w:rsidRDefault="00322B73" w:rsidP="005076B4">
      <w:pPr>
        <w:pStyle w:val="Answer"/>
        <w:widowControl w:val="0"/>
        <w:jc w:val="left"/>
        <w:rPr>
          <w:b/>
        </w:rPr>
      </w:pPr>
      <w:r>
        <w:rPr>
          <w:b/>
        </w:rPr>
        <w:t>Q.</w:t>
      </w:r>
      <w:r>
        <w:rPr>
          <w:b/>
        </w:rPr>
        <w:tab/>
      </w:r>
      <w:r w:rsidR="00F84219">
        <w:rPr>
          <w:b/>
        </w:rPr>
        <w:t>Has the Company modified Adjustment 8.4 (Major Plant Additions) as part of its rebuttal filing?</w:t>
      </w:r>
    </w:p>
    <w:p w:rsidR="000216A7" w:rsidRDefault="00322B73" w:rsidP="005076B4">
      <w:pPr>
        <w:pStyle w:val="Answer"/>
        <w:widowControl w:val="0"/>
        <w:jc w:val="left"/>
      </w:pPr>
      <w:r w:rsidRPr="004B5F5D">
        <w:t>A.</w:t>
      </w:r>
      <w:r w:rsidRPr="004B5F5D">
        <w:tab/>
      </w:r>
      <w:r w:rsidR="00F84219">
        <w:t xml:space="preserve">Yes.  Because all of the Company’s pro forma major plant additions were placed in service before June 2013 (except the Merwin </w:t>
      </w:r>
      <w:r w:rsidR="00510625">
        <w:t>F</w:t>
      </w:r>
      <w:r w:rsidR="00F84219">
        <w:t xml:space="preserve">ish </w:t>
      </w:r>
      <w:r w:rsidR="00510625">
        <w:t>C</w:t>
      </w:r>
      <w:r w:rsidR="00F84219">
        <w:t>ollector), t</w:t>
      </w:r>
      <w:r>
        <w:t xml:space="preserve">he Company </w:t>
      </w:r>
      <w:r w:rsidR="00F84219">
        <w:t>revised Adjustment 8.4 to reflect actual amounts placed in service for these additions</w:t>
      </w:r>
      <w:r>
        <w:t xml:space="preserve">.  </w:t>
      </w:r>
      <w:r w:rsidR="00F84219">
        <w:t>As described in Mr. Mark R. Tallman’s rebuttal testimony, t</w:t>
      </w:r>
      <w:r>
        <w:t xml:space="preserve">he Merwin </w:t>
      </w:r>
      <w:r w:rsidR="00510625">
        <w:t>F</w:t>
      </w:r>
      <w:r>
        <w:t xml:space="preserve">ish </w:t>
      </w:r>
      <w:r w:rsidR="00510625">
        <w:t>C</w:t>
      </w:r>
      <w:r>
        <w:t>ollector is</w:t>
      </w:r>
      <w:r w:rsidR="00F84219">
        <w:t xml:space="preserve"> expected to be substantially complete and used and useful in February 2014.  The Company’s revised Adjustment 8.4 reflects a February 2014 in-service date for the Merwin </w:t>
      </w:r>
      <w:r w:rsidR="00510625">
        <w:t>F</w:t>
      </w:r>
      <w:r w:rsidR="00F84219">
        <w:t xml:space="preserve">ish </w:t>
      </w:r>
      <w:r w:rsidR="00510625">
        <w:t>C</w:t>
      </w:r>
      <w:r w:rsidR="00F84219">
        <w:t xml:space="preserve">ollector using the latest pro forma capital data.  The Company has also updated the associated depreciation expense and depreciation reserve using the updated plant-in-service amounts.  Finally, the Company has reflected updated O&amp;M expense amounts related to the Swift </w:t>
      </w:r>
      <w:r w:rsidR="00510625">
        <w:t>F</w:t>
      </w:r>
      <w:r w:rsidR="00F84219">
        <w:t xml:space="preserve">ish </w:t>
      </w:r>
      <w:r w:rsidR="00510625">
        <w:t>C</w:t>
      </w:r>
      <w:r w:rsidR="00F84219">
        <w:t>ollector based on more recent information, as discussed in more detail in Mr. Tallman’s rebuttal testimony.  The impact of these revisions is to reduce the Washington-allocated revenue requirement by approximately $0.1 million from the Company’s initial filing.</w:t>
      </w:r>
    </w:p>
    <w:p w:rsidR="00F84219" w:rsidRDefault="00F84219" w:rsidP="00F84219">
      <w:pPr>
        <w:pStyle w:val="Answer"/>
        <w:jc w:val="left"/>
        <w:rPr>
          <w:b/>
        </w:rPr>
      </w:pPr>
      <w:r w:rsidRPr="00D62F53">
        <w:rPr>
          <w:b/>
        </w:rPr>
        <w:t>Q.</w:t>
      </w:r>
      <w:r w:rsidRPr="00D62F53">
        <w:rPr>
          <w:b/>
        </w:rPr>
        <w:tab/>
      </w:r>
      <w:r>
        <w:rPr>
          <w:b/>
        </w:rPr>
        <w:t xml:space="preserve">Do the parties propose </w:t>
      </w:r>
      <w:r w:rsidRPr="00D62F53">
        <w:rPr>
          <w:b/>
        </w:rPr>
        <w:t xml:space="preserve">adjustments to </w:t>
      </w:r>
      <w:r>
        <w:rPr>
          <w:b/>
        </w:rPr>
        <w:t>the Company’s Adjustment 8.4?</w:t>
      </w:r>
      <w:r w:rsidRPr="00D62F53">
        <w:rPr>
          <w:b/>
        </w:rPr>
        <w:t xml:space="preserve"> </w:t>
      </w:r>
    </w:p>
    <w:p w:rsidR="00F84219" w:rsidRDefault="00F84219" w:rsidP="00F84219">
      <w:pPr>
        <w:pStyle w:val="Answer"/>
        <w:jc w:val="left"/>
      </w:pPr>
      <w:r w:rsidRPr="00D62F53">
        <w:t>A.</w:t>
      </w:r>
      <w:r w:rsidRPr="00D62F53">
        <w:tab/>
      </w:r>
      <w:r>
        <w:t xml:space="preserve">Yes.  Staff and Public Counsel propose to remove </w:t>
      </w:r>
      <w:r w:rsidR="00241513">
        <w:t>two</w:t>
      </w:r>
      <w:r>
        <w:t xml:space="preserve"> of the capital items included in the Company’s Adjustment 8.4</w:t>
      </w:r>
      <w:r w:rsidR="00241513">
        <w:t xml:space="preserve"> (</w:t>
      </w:r>
      <w:r>
        <w:t>Major Plant Additions</w:t>
      </w:r>
      <w:r w:rsidR="00241513">
        <w:t>)</w:t>
      </w:r>
      <w:r>
        <w:t xml:space="preserve">.  </w:t>
      </w:r>
      <w:r w:rsidR="00241513">
        <w:t xml:space="preserve">Both parties propose removing the Jim Bridger Unit 2 turbine upgrade and the Merwin </w:t>
      </w:r>
      <w:r w:rsidR="00510625">
        <w:t>F</w:t>
      </w:r>
      <w:r w:rsidR="00241513">
        <w:t xml:space="preserve">ish </w:t>
      </w:r>
      <w:r w:rsidR="00510625">
        <w:t>C</w:t>
      </w:r>
      <w:r w:rsidR="00241513">
        <w:t>ollector from the Washington results of operations.</w:t>
      </w:r>
      <w:r w:rsidR="00241513">
        <w:rPr>
          <w:rStyle w:val="FootnoteReference"/>
        </w:rPr>
        <w:footnoteReference w:id="18"/>
      </w:r>
      <w:r w:rsidR="00241513">
        <w:t xml:space="preserve">  Staff also </w:t>
      </w:r>
      <w:r w:rsidR="0049227D">
        <w:t>proposes removal of O&amp;M expense associated with the Merwin and Swift fish collectors,</w:t>
      </w:r>
      <w:r w:rsidR="0049227D">
        <w:rPr>
          <w:rStyle w:val="FootnoteReference"/>
        </w:rPr>
        <w:footnoteReference w:id="19"/>
      </w:r>
      <w:r w:rsidR="0049227D">
        <w:t xml:space="preserve"> and both Staff and Public Counsel propose removal of depreciation expense and reserve associated with the Jim Bridger turbine upgrade and the Merwin </w:t>
      </w:r>
      <w:r w:rsidR="00510625">
        <w:t>F</w:t>
      </w:r>
      <w:r w:rsidR="0049227D">
        <w:t xml:space="preserve">ish </w:t>
      </w:r>
      <w:r w:rsidR="00510625">
        <w:t>C</w:t>
      </w:r>
      <w:r w:rsidR="0049227D">
        <w:t>ollector.</w:t>
      </w:r>
    </w:p>
    <w:p w:rsidR="00F84219" w:rsidRDefault="00F84219" w:rsidP="00F84219">
      <w:pPr>
        <w:pStyle w:val="Answer"/>
        <w:jc w:val="left"/>
        <w:rPr>
          <w:b/>
        </w:rPr>
      </w:pPr>
      <w:r w:rsidRPr="00D62F53">
        <w:rPr>
          <w:b/>
        </w:rPr>
        <w:t>Q.</w:t>
      </w:r>
      <w:r w:rsidRPr="00D62F53">
        <w:rPr>
          <w:b/>
        </w:rPr>
        <w:tab/>
        <w:t>Do you agree with the</w:t>
      </w:r>
      <w:r>
        <w:rPr>
          <w:b/>
        </w:rPr>
        <w:t>se</w:t>
      </w:r>
      <w:r w:rsidRPr="00D62F53">
        <w:rPr>
          <w:b/>
        </w:rPr>
        <w:t xml:space="preserve"> </w:t>
      </w:r>
      <w:r w:rsidR="0049227D">
        <w:rPr>
          <w:b/>
        </w:rPr>
        <w:t>proposed modifications</w:t>
      </w:r>
      <w:r w:rsidRPr="00D62F53">
        <w:rPr>
          <w:b/>
        </w:rPr>
        <w:t xml:space="preserve"> to </w:t>
      </w:r>
      <w:r w:rsidR="0049227D">
        <w:rPr>
          <w:b/>
        </w:rPr>
        <w:t>Adjustment 8.4</w:t>
      </w:r>
      <w:r w:rsidRPr="00D62F53">
        <w:rPr>
          <w:b/>
        </w:rPr>
        <w:t xml:space="preserve">? </w:t>
      </w:r>
    </w:p>
    <w:p w:rsidR="0049227D" w:rsidRDefault="00F84219" w:rsidP="00F84219">
      <w:pPr>
        <w:pStyle w:val="Answer"/>
        <w:jc w:val="left"/>
      </w:pPr>
      <w:r w:rsidRPr="00D62F53">
        <w:t>A.</w:t>
      </w:r>
      <w:r w:rsidRPr="00D62F53">
        <w:tab/>
      </w:r>
      <w:r>
        <w:t xml:space="preserve">No.  </w:t>
      </w:r>
      <w:r w:rsidR="0049227D">
        <w:t xml:space="preserve">Staff and Public Counsel propose “cut-off” dates for capital additions of January 11, 2013, and the end of February 2013, respectively.  These parties argue that projects placed in service after the cut-off date should not be included in the Washington results of operations.  </w:t>
      </w:r>
    </w:p>
    <w:p w:rsidR="0049227D" w:rsidRPr="00C22ACC" w:rsidRDefault="00884DE6" w:rsidP="00F84219">
      <w:pPr>
        <w:pStyle w:val="Answer"/>
        <w:jc w:val="left"/>
        <w:rPr>
          <w:b/>
        </w:rPr>
      </w:pPr>
      <w:r w:rsidRPr="00C22ACC">
        <w:rPr>
          <w:b/>
        </w:rPr>
        <w:t>Q.</w:t>
      </w:r>
      <w:r w:rsidRPr="00C22ACC">
        <w:rPr>
          <w:b/>
        </w:rPr>
        <w:tab/>
        <w:t>Are Staff’s and Public Counsel’s proposals consistent with Commission precedent?</w:t>
      </w:r>
    </w:p>
    <w:p w:rsidR="00AB277C" w:rsidRDefault="0049227D" w:rsidP="00F84219">
      <w:pPr>
        <w:pStyle w:val="Answer"/>
        <w:jc w:val="left"/>
      </w:pPr>
      <w:r>
        <w:t>A.</w:t>
      </w:r>
      <w:r>
        <w:tab/>
        <w:t xml:space="preserve">As Staff acknowledges, “the Commission practice has been historically highly variable.  </w:t>
      </w:r>
      <w:r w:rsidR="00AB277C">
        <w:t>Previous Commission decisions have ranged from rejecting all pro forma plant additions, to allowing pro form</w:t>
      </w:r>
      <w:r w:rsidR="007D7ED6">
        <w:t>a</w:t>
      </w:r>
      <w:r w:rsidR="00AB277C">
        <w:t xml:space="preserve"> plant additions that were projected to be placed in service w</w:t>
      </w:r>
      <w:r w:rsidR="007D7ED6">
        <w:t>e</w:t>
      </w:r>
      <w:r w:rsidR="00AB277C">
        <w:t>ll into the rate year.”</w:t>
      </w:r>
      <w:r w:rsidR="00AB277C">
        <w:rPr>
          <w:rStyle w:val="FootnoteReference"/>
        </w:rPr>
        <w:footnoteReference w:id="20"/>
      </w:r>
      <w:r w:rsidR="00AB277C">
        <w:t xml:space="preserve">  Because of this variability, Staff states that it has “considerable flexibility in developing its recommendation” and that the “guiding principle” behind its recommendation in this case was “practicality[.]”</w:t>
      </w:r>
      <w:r w:rsidR="00AB277C">
        <w:rPr>
          <w:rStyle w:val="FootnoteReference"/>
        </w:rPr>
        <w:footnoteReference w:id="21"/>
      </w:r>
      <w:r w:rsidR="00AB277C">
        <w:t xml:space="preserve">  </w:t>
      </w:r>
    </w:p>
    <w:p w:rsidR="00AB277C" w:rsidRDefault="00AB277C" w:rsidP="00F84219">
      <w:pPr>
        <w:pStyle w:val="Answer"/>
        <w:jc w:val="left"/>
      </w:pPr>
      <w:r>
        <w:tab/>
      </w:r>
      <w:r>
        <w:tab/>
        <w:t>As discussed in Mr. William R. Griffith’s rebuttal testimony, the parties’ removal of these pro forma capital additions is perplexing given the “Commission’s recent commitment to actively seek solutions to issues such as earnings attrition and the timely recovery of infrastructure investments (regulatory lag) and to improve the efficiency, predictability, and consistency of ratemaking decisions in Washington.”</w:t>
      </w:r>
      <w:r>
        <w:rPr>
          <w:rStyle w:val="FootnoteReference"/>
        </w:rPr>
        <w:footnoteReference w:id="22"/>
      </w:r>
      <w:r>
        <w:t xml:space="preserve">  </w:t>
      </w:r>
      <w:r w:rsidR="009F578E">
        <w:t>In particular, t</w:t>
      </w:r>
      <w:r>
        <w:t>he parties’ removal of a plant addition that is already in service and used and useful at the time the parties filed testimony seems puniti</w:t>
      </w:r>
      <w:r w:rsidR="009F578E">
        <w:t>ve.</w:t>
      </w:r>
    </w:p>
    <w:p w:rsidR="00AB277C" w:rsidRPr="00B13D15" w:rsidRDefault="00884DE6" w:rsidP="00F84219">
      <w:pPr>
        <w:pStyle w:val="Answer"/>
        <w:jc w:val="left"/>
        <w:rPr>
          <w:b/>
        </w:rPr>
      </w:pPr>
      <w:r w:rsidRPr="00B13D15">
        <w:rPr>
          <w:b/>
        </w:rPr>
        <w:t>Q.</w:t>
      </w:r>
      <w:r w:rsidRPr="00B13D15">
        <w:rPr>
          <w:b/>
        </w:rPr>
        <w:tab/>
        <w:t>Did the Company limit the pro forma capital additions included in this general rate case filing?</w:t>
      </w:r>
    </w:p>
    <w:p w:rsidR="00AB277C" w:rsidRPr="007276F1" w:rsidRDefault="00AB277C" w:rsidP="00F84219">
      <w:pPr>
        <w:pStyle w:val="Answer"/>
        <w:jc w:val="left"/>
      </w:pPr>
      <w:r>
        <w:t>A.</w:t>
      </w:r>
      <w:r>
        <w:tab/>
        <w:t>Yes.  Only five major capital additions were included</w:t>
      </w:r>
      <w:r w:rsidR="007D7ED6">
        <w:t xml:space="preserve"> in the Company’s general rate case filing</w:t>
      </w:r>
      <w:r>
        <w:t xml:space="preserve">.  The Company </w:t>
      </w:r>
      <w:r w:rsidR="007D7ED6">
        <w:t>limited the pro forma capital additions it chose to include in the filing</w:t>
      </w:r>
      <w:r>
        <w:t xml:space="preserve"> to minimize controversy and to be consistent with previous Commission orders allowing pro forma adjustments for major plant additions to match the in-service date with the start of recovery of those investments.</w:t>
      </w:r>
      <w:r>
        <w:rPr>
          <w:rStyle w:val="FootnoteReference"/>
        </w:rPr>
        <w:footnoteReference w:id="23"/>
      </w:r>
      <w:r w:rsidR="009F578E">
        <w:t xml:space="preserve">  </w:t>
      </w:r>
      <w:r w:rsidR="007D7ED6">
        <w:t>One f</w:t>
      </w:r>
      <w:r w:rsidR="009F578E">
        <w:t xml:space="preserve">actor considered by the Commission when allowing inclusion of </w:t>
      </w:r>
      <w:r w:rsidR="007D7ED6">
        <w:t xml:space="preserve">a </w:t>
      </w:r>
      <w:r w:rsidR="009F578E">
        <w:t xml:space="preserve">pro forma capital addition in rates </w:t>
      </w:r>
      <w:r w:rsidR="007D7ED6">
        <w:t>is</w:t>
      </w:r>
      <w:r w:rsidR="009F578E">
        <w:t xml:space="preserve"> whether the benefits of the project are included in power costs.  In this case, the benefits of the Jim Bridger Unit 2 upgrade are reflected in the development of pro forma net power costs.  The Commission also considers whether the project is required by a governmental authority or provides environmental benefits.  In this case, the Merwin </w:t>
      </w:r>
      <w:r w:rsidR="00510625">
        <w:t>F</w:t>
      </w:r>
      <w:r w:rsidR="009F578E">
        <w:t xml:space="preserve">ish </w:t>
      </w:r>
      <w:r w:rsidR="00510625">
        <w:t>C</w:t>
      </w:r>
      <w:r w:rsidR="009F578E">
        <w:t xml:space="preserve">ollector is required </w:t>
      </w:r>
      <w:r w:rsidR="007D7ED6">
        <w:t>by</w:t>
      </w:r>
      <w:r w:rsidR="009F578E">
        <w:t xml:space="preserve"> the Company’s FERC license</w:t>
      </w:r>
      <w:r w:rsidR="007276F1">
        <w:rPr>
          <w:rStyle w:val="FootnoteReference"/>
        </w:rPr>
        <w:footnoteReference w:id="24"/>
      </w:r>
      <w:r w:rsidR="009F578E">
        <w:t xml:space="preserve"> and provides environmental benefits by improving fish passage around the Merwin </w:t>
      </w:r>
      <w:r w:rsidR="009F578E" w:rsidRPr="007276F1">
        <w:t>hydroelectric facilities.</w:t>
      </w:r>
      <w:r w:rsidR="009F578E" w:rsidRPr="007276F1">
        <w:rPr>
          <w:rStyle w:val="FootnoteReference"/>
        </w:rPr>
        <w:footnoteReference w:id="25"/>
      </w:r>
    </w:p>
    <w:p w:rsidR="007276F1" w:rsidRPr="00C22ACC" w:rsidRDefault="00884DE6" w:rsidP="00C22ACC">
      <w:pPr>
        <w:pStyle w:val="Answer"/>
        <w:keepNext/>
        <w:jc w:val="left"/>
        <w:rPr>
          <w:b/>
        </w:rPr>
      </w:pPr>
      <w:r w:rsidRPr="00C22ACC">
        <w:rPr>
          <w:b/>
        </w:rPr>
        <w:t>Q.</w:t>
      </w:r>
      <w:r w:rsidRPr="00C22ACC">
        <w:rPr>
          <w:b/>
        </w:rPr>
        <w:tab/>
      </w:r>
      <w:r w:rsidR="007276F1">
        <w:rPr>
          <w:b/>
        </w:rPr>
        <w:t xml:space="preserve">Because the </w:t>
      </w:r>
      <w:r w:rsidRPr="00C22ACC">
        <w:rPr>
          <w:b/>
        </w:rPr>
        <w:t xml:space="preserve">Merwin </w:t>
      </w:r>
      <w:r w:rsidR="00510625">
        <w:rPr>
          <w:b/>
        </w:rPr>
        <w:t>F</w:t>
      </w:r>
      <w:r w:rsidRPr="00C22ACC">
        <w:rPr>
          <w:b/>
        </w:rPr>
        <w:t xml:space="preserve">ish </w:t>
      </w:r>
      <w:r w:rsidR="00510625">
        <w:rPr>
          <w:b/>
        </w:rPr>
        <w:t>C</w:t>
      </w:r>
      <w:r w:rsidRPr="00C22ACC">
        <w:rPr>
          <w:b/>
        </w:rPr>
        <w:t xml:space="preserve">ollector is projected to be placed in service </w:t>
      </w:r>
      <w:r w:rsidR="007276F1">
        <w:rPr>
          <w:b/>
        </w:rPr>
        <w:t xml:space="preserve">in </w:t>
      </w:r>
      <w:r w:rsidRPr="00C22ACC">
        <w:rPr>
          <w:b/>
        </w:rPr>
        <w:t>February 2014, are the capital costs included at their full balances?</w:t>
      </w:r>
    </w:p>
    <w:p w:rsidR="00EC0E6B" w:rsidRDefault="007276F1" w:rsidP="00C22ACC">
      <w:pPr>
        <w:spacing w:line="480" w:lineRule="auto"/>
        <w:ind w:left="720" w:hanging="720"/>
        <w:jc w:val="left"/>
      </w:pPr>
      <w:r>
        <w:t>A.</w:t>
      </w:r>
      <w:r>
        <w:tab/>
        <w:t>No.  The project is included using an AMA calculation for calendar year 2014, the rate effective period.  The project is therefore only included in the Washington results of operations for 10.5 months.</w:t>
      </w:r>
    </w:p>
    <w:p w:rsidR="005076B4" w:rsidRDefault="005076B4" w:rsidP="005076B4">
      <w:pPr>
        <w:suppressLineNumbers/>
        <w:spacing w:line="480" w:lineRule="auto"/>
        <w:ind w:left="720" w:hanging="720"/>
        <w:jc w:val="left"/>
      </w:pPr>
    </w:p>
    <w:p w:rsidR="00921D76" w:rsidRPr="00C22ACC" w:rsidRDefault="00884DE6" w:rsidP="00921D76">
      <w:pPr>
        <w:pStyle w:val="Answer"/>
        <w:widowControl w:val="0"/>
        <w:jc w:val="left"/>
        <w:rPr>
          <w:b/>
        </w:rPr>
      </w:pPr>
      <w:r w:rsidRPr="00C22ACC">
        <w:rPr>
          <w:b/>
        </w:rPr>
        <w:t>Q.</w:t>
      </w:r>
      <w:r w:rsidRPr="00C22ACC">
        <w:rPr>
          <w:b/>
        </w:rPr>
        <w:tab/>
        <w:t>Mr. Griffith’s rebuttal testimony include</w:t>
      </w:r>
      <w:r w:rsidR="007D7ED6">
        <w:rPr>
          <w:b/>
        </w:rPr>
        <w:t>s</w:t>
      </w:r>
      <w:r w:rsidRPr="00C22ACC">
        <w:rPr>
          <w:b/>
        </w:rPr>
        <w:t xml:space="preserve"> an alternative proposal for includ</w:t>
      </w:r>
      <w:r w:rsidR="007D7ED6">
        <w:rPr>
          <w:b/>
        </w:rPr>
        <w:t>ing</w:t>
      </w:r>
      <w:r w:rsidRPr="00C22ACC">
        <w:rPr>
          <w:b/>
        </w:rPr>
        <w:t xml:space="preserve"> the Company’s investment in the Merwin Fish Collector in rates.  </w:t>
      </w:r>
      <w:r w:rsidR="00921D76">
        <w:rPr>
          <w:b/>
        </w:rPr>
        <w:t>Please describe this proposal.</w:t>
      </w:r>
    </w:p>
    <w:p w:rsidR="00921D76" w:rsidRDefault="00921D76" w:rsidP="00921D76">
      <w:pPr>
        <w:pStyle w:val="Answer"/>
        <w:widowControl w:val="0"/>
        <w:jc w:val="left"/>
      </w:pPr>
      <w:r>
        <w:t>A.</w:t>
      </w:r>
      <w:r>
        <w:tab/>
        <w:t xml:space="preserve">If the Commission decides to remove the Merwin Fish Collector from the Washington results of operations in this case, then the </w:t>
      </w:r>
      <w:r w:rsidR="00C22ACC">
        <w:t xml:space="preserve">requests that </w:t>
      </w:r>
      <w:r>
        <w:t xml:space="preserve">the Commission approve a separate tariff rider to include the revenue requirement of the Merwin Fish Collector in rates once the project is placed in service and is used and useful </w:t>
      </w:r>
      <w:r w:rsidR="00142253">
        <w:t xml:space="preserve">for customers.  The Company uses similar approaches in California, Oregon, and Utah when significant capital additions are placed in service.  For example, the </w:t>
      </w:r>
      <w:r>
        <w:t>Company added a significant transmission project to rates in Oregon through a separate tariff rider after a prudence review of the project was conducted as part of a general rate case.</w:t>
      </w:r>
      <w:r>
        <w:rPr>
          <w:rStyle w:val="FootnoteReference"/>
        </w:rPr>
        <w:footnoteReference w:id="26"/>
      </w:r>
    </w:p>
    <w:p w:rsidR="00EC0E6B" w:rsidRDefault="00142253" w:rsidP="00B13D15">
      <w:pPr>
        <w:pStyle w:val="Answer"/>
        <w:ind w:firstLine="720"/>
        <w:jc w:val="left"/>
      </w:pPr>
      <w:r>
        <w:t>Because no party in t</w:t>
      </w:r>
      <w:r w:rsidR="00921D76">
        <w:t>his proceeding</w:t>
      </w:r>
      <w:r>
        <w:t xml:space="preserve"> </w:t>
      </w:r>
      <w:r w:rsidR="00921D76">
        <w:t>disputes the prudence of the Merwin Fish Collector</w:t>
      </w:r>
      <w:r>
        <w:t xml:space="preserve">, this alternative approach would </w:t>
      </w:r>
      <w:r w:rsidR="00921D76">
        <w:t>a</w:t>
      </w:r>
      <w:r>
        <w:t xml:space="preserve">ddress any </w:t>
      </w:r>
      <w:r w:rsidR="00921D76">
        <w:t>concerns about the timing of the in-service date</w:t>
      </w:r>
      <w:r>
        <w:t xml:space="preserve"> while allowing the parties to thoroughly review the </w:t>
      </w:r>
      <w:r w:rsidR="00921D76">
        <w:t xml:space="preserve">costs of the project at the time the separate tariff rider is filed.  </w:t>
      </w:r>
      <w:r>
        <w:t>T</w:t>
      </w:r>
      <w:r>
        <w:rPr>
          <w:szCs w:val="24"/>
        </w:rPr>
        <w:t>he Company would submit an advice filing once the project is operational</w:t>
      </w:r>
      <w:r w:rsidR="0011512B">
        <w:rPr>
          <w:szCs w:val="24"/>
        </w:rPr>
        <w:t>.  In addition, the Company would facilitate the parties’ review of the costs by providing updates of capital expenditures as requested</w:t>
      </w:r>
      <w:r>
        <w:rPr>
          <w:szCs w:val="24"/>
        </w:rPr>
        <w:t>.</w:t>
      </w:r>
    </w:p>
    <w:p w:rsidR="005076B4" w:rsidRDefault="00884DE6" w:rsidP="005076B4">
      <w:pPr>
        <w:pStyle w:val="Answer"/>
        <w:widowControl w:val="0"/>
        <w:jc w:val="left"/>
        <w:rPr>
          <w:b/>
        </w:rPr>
      </w:pPr>
      <w:r w:rsidRPr="00B13D15">
        <w:rPr>
          <w:b/>
        </w:rPr>
        <w:t>Q.</w:t>
      </w:r>
      <w:r w:rsidRPr="00B13D15">
        <w:rPr>
          <w:b/>
        </w:rPr>
        <w:tab/>
        <w:t>Staff proposes removal of O&amp;M expense associated with the Swift and Merwin fish collectors.  Please respond.</w:t>
      </w:r>
    </w:p>
    <w:p w:rsidR="00921D76" w:rsidRDefault="00921D76" w:rsidP="005076B4">
      <w:pPr>
        <w:pStyle w:val="Answer"/>
        <w:widowControl w:val="0"/>
        <w:jc w:val="left"/>
      </w:pPr>
      <w:r>
        <w:t>A.</w:t>
      </w:r>
      <w:r>
        <w:tab/>
        <w:t>Staff removes these costs from the Washington results of operations as not known and measurable.  It is unreasonable, however, for Staff to assume that these significant capital additions (mandated under the Company’s FERC licenses) will not require increased O&amp;M expense.  The development of the O&amp;M figures included in the Washington results of operations in the Company’s rebuttal filing is discussed in the rebuttal testimony of Mr. Tallman.</w:t>
      </w:r>
    </w:p>
    <w:p w:rsidR="00EC0E6B" w:rsidRDefault="002228F2" w:rsidP="00B13D15">
      <w:pPr>
        <w:pStyle w:val="Heading3"/>
      </w:pPr>
      <w:bookmarkStart w:id="22" w:name="_Toc363024811"/>
      <w:r w:rsidRPr="004B5F5D">
        <w:t>Powerdale Hydro</w:t>
      </w:r>
      <w:bookmarkEnd w:id="22"/>
    </w:p>
    <w:p w:rsidR="002228F2" w:rsidRDefault="002228F2" w:rsidP="00054ECC">
      <w:pPr>
        <w:pStyle w:val="Answer"/>
        <w:jc w:val="left"/>
        <w:rPr>
          <w:b/>
        </w:rPr>
      </w:pPr>
      <w:r>
        <w:rPr>
          <w:b/>
        </w:rPr>
        <w:t>Q.</w:t>
      </w:r>
      <w:r>
        <w:rPr>
          <w:b/>
        </w:rPr>
        <w:tab/>
        <w:t>Is the Company making any modifications to Adjustment 8.6</w:t>
      </w:r>
      <w:r w:rsidR="0011512B">
        <w:rPr>
          <w:b/>
        </w:rPr>
        <w:t xml:space="preserve"> (</w:t>
      </w:r>
      <w:r>
        <w:rPr>
          <w:b/>
        </w:rPr>
        <w:t>Powerdale Hydro Removal</w:t>
      </w:r>
      <w:r w:rsidR="0011512B">
        <w:rPr>
          <w:b/>
        </w:rPr>
        <w:t>)</w:t>
      </w:r>
      <w:r>
        <w:rPr>
          <w:b/>
        </w:rPr>
        <w:t>?</w:t>
      </w:r>
    </w:p>
    <w:p w:rsidR="002228F2" w:rsidRPr="004B5F5D" w:rsidRDefault="002228F2" w:rsidP="00054ECC">
      <w:pPr>
        <w:pStyle w:val="Answer"/>
        <w:jc w:val="left"/>
      </w:pPr>
      <w:r w:rsidRPr="004B5F5D">
        <w:t>A.</w:t>
      </w:r>
      <w:r w:rsidRPr="004B5F5D">
        <w:tab/>
      </w:r>
      <w:r>
        <w:t xml:space="preserve">Yes.  In response to </w:t>
      </w:r>
      <w:r w:rsidR="0011512B">
        <w:t xml:space="preserve">a </w:t>
      </w:r>
      <w:r>
        <w:t xml:space="preserve">Staff </w:t>
      </w:r>
      <w:r w:rsidR="0011512B">
        <w:t>d</w:t>
      </w:r>
      <w:r>
        <w:t xml:space="preserve">ata </w:t>
      </w:r>
      <w:r w:rsidR="0011512B">
        <w:t>r</w:t>
      </w:r>
      <w:r>
        <w:t>equest</w:t>
      </w:r>
      <w:r w:rsidR="0011512B">
        <w:t>, the</w:t>
      </w:r>
      <w:r>
        <w:t xml:space="preserve"> Company agreed to update this adjustment to include actual spend through June 2013.  The Company</w:t>
      </w:r>
      <w:r w:rsidR="0011512B">
        <w:t xml:space="preserve">’s revised </w:t>
      </w:r>
      <w:r>
        <w:t xml:space="preserve">Adjustment 8.6 results in a </w:t>
      </w:r>
      <w:r w:rsidR="0011512B">
        <w:t xml:space="preserve">reduction in Washington-allocated </w:t>
      </w:r>
      <w:r>
        <w:t>revenue requirement</w:t>
      </w:r>
      <w:r w:rsidR="000216A7">
        <w:t xml:space="preserve"> </w:t>
      </w:r>
      <w:r w:rsidR="0011512B">
        <w:t>of</w:t>
      </w:r>
      <w:r w:rsidR="00B13D15">
        <w:t xml:space="preserve"> less than $1000</w:t>
      </w:r>
      <w:r w:rsidR="0011512B">
        <w:t xml:space="preserve"> from the Company’s initial filing</w:t>
      </w:r>
      <w:r>
        <w:t>.</w:t>
      </w:r>
      <w:r w:rsidR="007D7ED6">
        <w:t xml:space="preserve"> </w:t>
      </w:r>
    </w:p>
    <w:p w:rsidR="00EC0E6B" w:rsidRDefault="009D08E7" w:rsidP="00B13D15">
      <w:pPr>
        <w:pStyle w:val="Heading3"/>
      </w:pPr>
      <w:bookmarkStart w:id="23" w:name="_Toc363024812"/>
      <w:r w:rsidRPr="00874658">
        <w:t>Production Factor</w:t>
      </w:r>
      <w:bookmarkEnd w:id="23"/>
      <w:r w:rsidRPr="00874658">
        <w:t xml:space="preserve"> </w:t>
      </w:r>
    </w:p>
    <w:p w:rsidR="009D08E7" w:rsidRDefault="009D08E7" w:rsidP="00054ECC">
      <w:pPr>
        <w:pStyle w:val="Answer"/>
        <w:jc w:val="left"/>
        <w:rPr>
          <w:b/>
        </w:rPr>
      </w:pPr>
      <w:r>
        <w:rPr>
          <w:b/>
        </w:rPr>
        <w:t>Q.</w:t>
      </w:r>
      <w:r>
        <w:rPr>
          <w:b/>
        </w:rPr>
        <w:tab/>
        <w:t xml:space="preserve">Please describe the Company’s </w:t>
      </w:r>
      <w:r w:rsidR="0011512B">
        <w:rPr>
          <w:b/>
        </w:rPr>
        <w:t>modification to Adjustment 9.1 (P</w:t>
      </w:r>
      <w:r>
        <w:rPr>
          <w:b/>
        </w:rPr>
        <w:t xml:space="preserve">roduction </w:t>
      </w:r>
      <w:r w:rsidR="0011512B">
        <w:rPr>
          <w:b/>
        </w:rPr>
        <w:t>F</w:t>
      </w:r>
      <w:r>
        <w:rPr>
          <w:b/>
        </w:rPr>
        <w:t>actor</w:t>
      </w:r>
      <w:r w:rsidR="0011512B">
        <w:rPr>
          <w:b/>
        </w:rPr>
        <w:t>)</w:t>
      </w:r>
      <w:r>
        <w:rPr>
          <w:b/>
        </w:rPr>
        <w:t>.</w:t>
      </w:r>
    </w:p>
    <w:p w:rsidR="00305566" w:rsidRDefault="009D08E7" w:rsidP="00054ECC">
      <w:pPr>
        <w:pStyle w:val="Answer"/>
        <w:jc w:val="left"/>
      </w:pPr>
      <w:r w:rsidRPr="00874658">
        <w:t>A.</w:t>
      </w:r>
      <w:r>
        <w:tab/>
      </w:r>
      <w:r w:rsidR="0011512B">
        <w:t>The Company’s revised Adjustment 9.1 reflects modifications to the production factor for changes made in r</w:t>
      </w:r>
      <w:r>
        <w:t xml:space="preserve">evised Adjustment </w:t>
      </w:r>
      <w:r w:rsidR="00884DE6" w:rsidRPr="00B13D15">
        <w:t>5.1.1</w:t>
      </w:r>
      <w:r w:rsidR="0011512B">
        <w:t xml:space="preserve"> (Net Power Costs—Pro Forma</w:t>
      </w:r>
      <w:r>
        <w:t>)</w:t>
      </w:r>
      <w:r w:rsidR="00305566">
        <w:t xml:space="preserve"> and </w:t>
      </w:r>
      <w:r w:rsidR="0011512B">
        <w:t>r</w:t>
      </w:r>
      <w:r w:rsidR="00305566">
        <w:t>evised Adjustment 8.4</w:t>
      </w:r>
      <w:r w:rsidR="0011512B">
        <w:t xml:space="preserve"> (Major Capital Additions)</w:t>
      </w:r>
      <w:r>
        <w:t>.  The</w:t>
      </w:r>
      <w:r w:rsidR="0011512B">
        <w:t xml:space="preserve">se revisions to Adjustment 9.1 result in a reduction in the </w:t>
      </w:r>
      <w:r>
        <w:t>Washington</w:t>
      </w:r>
      <w:r w:rsidR="0011512B">
        <w:t xml:space="preserve">-allocated </w:t>
      </w:r>
      <w:r>
        <w:t xml:space="preserve">revenue requirement of </w:t>
      </w:r>
      <w:r w:rsidR="0011512B">
        <w:t xml:space="preserve">approximately </w:t>
      </w:r>
      <w:r w:rsidR="000216A7">
        <w:t>$4</w:t>
      </w:r>
      <w:r w:rsidR="0011512B">
        <w:t>6</w:t>
      </w:r>
      <w:r w:rsidR="000216A7">
        <w:t>,</w:t>
      </w:r>
      <w:r w:rsidR="0011512B">
        <w:t>000</w:t>
      </w:r>
      <w:r w:rsidR="00305566">
        <w:t xml:space="preserve"> </w:t>
      </w:r>
      <w:r w:rsidR="0011512B">
        <w:t>from the Company’s initial filing</w:t>
      </w:r>
      <w:r>
        <w:t>.</w:t>
      </w:r>
    </w:p>
    <w:p w:rsidR="005076B4" w:rsidRDefault="005076B4" w:rsidP="005076B4">
      <w:pPr>
        <w:pStyle w:val="Answer"/>
        <w:suppressLineNumbers/>
        <w:jc w:val="left"/>
      </w:pPr>
    </w:p>
    <w:p w:rsidR="00EC0E6B" w:rsidRDefault="00305566" w:rsidP="00B13D15">
      <w:pPr>
        <w:pStyle w:val="Heading2"/>
      </w:pPr>
      <w:bookmarkStart w:id="24" w:name="_Toc363024813"/>
      <w:r w:rsidRPr="004B5F5D">
        <w:t>Adjustments Contested by the Company</w:t>
      </w:r>
      <w:bookmarkEnd w:id="24"/>
    </w:p>
    <w:p w:rsidR="00613DEC" w:rsidRDefault="009E1B1C" w:rsidP="00054ECC">
      <w:pPr>
        <w:pStyle w:val="Answer"/>
        <w:jc w:val="left"/>
        <w:rPr>
          <w:b/>
        </w:rPr>
      </w:pPr>
      <w:r>
        <w:rPr>
          <w:b/>
        </w:rPr>
        <w:t>Q.</w:t>
      </w:r>
      <w:r w:rsidR="005978CF">
        <w:rPr>
          <w:b/>
        </w:rPr>
        <w:tab/>
        <w:t xml:space="preserve">Have the parties made other proposed adjustments to the Company’s Washington results of operations?  </w:t>
      </w:r>
    </w:p>
    <w:p w:rsidR="00613DEC" w:rsidRDefault="009E1B1C" w:rsidP="00054ECC">
      <w:pPr>
        <w:pStyle w:val="Answer"/>
        <w:jc w:val="left"/>
      </w:pPr>
      <w:r>
        <w:t>A.</w:t>
      </w:r>
      <w:r w:rsidR="00613DEC">
        <w:tab/>
        <w:t xml:space="preserve">Yes.  </w:t>
      </w:r>
      <w:r w:rsidR="005978CF">
        <w:t>The parties have proposed changes related to allocation factors, revenue normalization, labor expenses, rate base balance</w:t>
      </w:r>
      <w:r w:rsidR="00510625">
        <w:t xml:space="preserve"> methodology</w:t>
      </w:r>
      <w:r w:rsidR="005978CF">
        <w:t>, and investor supplied working capital.  The Company, however, does not agree with these proposals, as addressed in more detail below.</w:t>
      </w:r>
    </w:p>
    <w:p w:rsidR="00EC0E6B" w:rsidRDefault="00613DEC" w:rsidP="00B13D15">
      <w:pPr>
        <w:pStyle w:val="Heading3"/>
      </w:pPr>
      <w:bookmarkStart w:id="25" w:name="_Toc363024814"/>
      <w:r w:rsidRPr="00613DEC">
        <w:t>WCA Modification</w:t>
      </w:r>
      <w:r w:rsidR="005978CF">
        <w:t>s</w:t>
      </w:r>
      <w:r w:rsidR="0011512B">
        <w:t>—</w:t>
      </w:r>
      <w:r w:rsidRPr="00613DEC">
        <w:t>Allocation Factors</w:t>
      </w:r>
      <w:bookmarkEnd w:id="25"/>
    </w:p>
    <w:p w:rsidR="000730C1" w:rsidRDefault="000730C1" w:rsidP="00054ECC">
      <w:pPr>
        <w:pStyle w:val="Answer"/>
        <w:jc w:val="left"/>
        <w:rPr>
          <w:b/>
        </w:rPr>
      </w:pPr>
      <w:r>
        <w:rPr>
          <w:b/>
        </w:rPr>
        <w:t>Q.</w:t>
      </w:r>
      <w:r>
        <w:rPr>
          <w:b/>
        </w:rPr>
        <w:tab/>
        <w:t xml:space="preserve">Please describe the modifications made by the Company in calculating the WCA allocation factors. </w:t>
      </w:r>
    </w:p>
    <w:p w:rsidR="00701F64" w:rsidRDefault="000730C1" w:rsidP="00054ECC">
      <w:pPr>
        <w:pStyle w:val="Answer"/>
        <w:jc w:val="left"/>
      </w:pPr>
      <w:r w:rsidRPr="000730C1">
        <w:t xml:space="preserve">A. </w:t>
      </w:r>
      <w:r>
        <w:tab/>
      </w:r>
      <w:r w:rsidR="00FB60FC">
        <w:t>As described in my direct testimony</w:t>
      </w:r>
      <w:r w:rsidR="005F09E9">
        <w:t xml:space="preserve"> and in the direct and rebuttal testimonies of Mr.</w:t>
      </w:r>
      <w:r w:rsidR="005978CF">
        <w:t> </w:t>
      </w:r>
      <w:r w:rsidR="005F09E9">
        <w:t xml:space="preserve">Dalley, </w:t>
      </w:r>
      <w:r w:rsidR="00FB60FC">
        <w:t xml:space="preserve">the Company is proposing to modify the calculation of the Control Area Generation West (CAGW) allocation factor to align with the </w:t>
      </w:r>
      <w:r w:rsidR="005F09E9">
        <w:t xml:space="preserve">Company’s </w:t>
      </w:r>
      <w:r w:rsidR="005978CF">
        <w:t>c</w:t>
      </w:r>
      <w:r w:rsidR="00FB60FC">
        <w:t xml:space="preserve">ost of </w:t>
      </w:r>
      <w:r w:rsidR="005978CF">
        <w:t>s</w:t>
      </w:r>
      <w:r w:rsidR="00FB60FC">
        <w:t>ervice</w:t>
      </w:r>
      <w:r w:rsidR="005978CF">
        <w:t xml:space="preserve"> (COS)</w:t>
      </w:r>
      <w:r w:rsidR="00FB60FC">
        <w:t xml:space="preserve"> </w:t>
      </w:r>
      <w:r w:rsidR="005978CF">
        <w:t>s</w:t>
      </w:r>
      <w:r w:rsidR="00FB60FC">
        <w:t>tudy.</w:t>
      </w:r>
      <w:r w:rsidR="00FB60FC">
        <w:rPr>
          <w:rStyle w:val="FootnoteReference"/>
        </w:rPr>
        <w:footnoteReference w:id="27"/>
      </w:r>
    </w:p>
    <w:p w:rsidR="00D02BB0" w:rsidRPr="00D02BB0" w:rsidRDefault="00D02BB0" w:rsidP="00054ECC">
      <w:pPr>
        <w:pStyle w:val="Answer"/>
        <w:jc w:val="left"/>
        <w:rPr>
          <w:b/>
        </w:rPr>
      </w:pPr>
      <w:r w:rsidRPr="00D02BB0">
        <w:rPr>
          <w:b/>
        </w:rPr>
        <w:t>Q.</w:t>
      </w:r>
      <w:r w:rsidRPr="00D02BB0">
        <w:rPr>
          <w:b/>
        </w:rPr>
        <w:tab/>
      </w:r>
      <w:r w:rsidR="00054E66">
        <w:rPr>
          <w:b/>
        </w:rPr>
        <w:t xml:space="preserve">Do parties oppose the </w:t>
      </w:r>
      <w:r w:rsidRPr="00D02BB0">
        <w:rPr>
          <w:b/>
        </w:rPr>
        <w:t>Company’s calculation and assignment of allocation factors?</w:t>
      </w:r>
    </w:p>
    <w:p w:rsidR="00D02BB0" w:rsidRDefault="00D02BB0" w:rsidP="00054ECC">
      <w:pPr>
        <w:pStyle w:val="Answer"/>
        <w:jc w:val="left"/>
      </w:pPr>
      <w:r>
        <w:t>A.</w:t>
      </w:r>
      <w:r>
        <w:tab/>
        <w:t>Yes.  Staff, Public Counsel</w:t>
      </w:r>
      <w:r w:rsidR="00054E66">
        <w:t xml:space="preserve">, and </w:t>
      </w:r>
      <w:r>
        <w:t xml:space="preserve">Boise all </w:t>
      </w:r>
      <w:r w:rsidR="007D7ED6">
        <w:t xml:space="preserve">recommend </w:t>
      </w:r>
      <w:r w:rsidR="00B13D15">
        <w:t xml:space="preserve">that </w:t>
      </w:r>
      <w:r w:rsidR="007D7ED6">
        <w:t>the Commission</w:t>
      </w:r>
      <w:r w:rsidR="00054E66">
        <w:t xml:space="preserve"> reject the Company’s modifications to the WCA allocation factors and, in some instances</w:t>
      </w:r>
      <w:r w:rsidR="007D7ED6">
        <w:t>,</w:t>
      </w:r>
      <w:r w:rsidR="00054E66">
        <w:t xml:space="preserve"> propose additional modifications to further reduce Washington’s share of total-company revenue requirement.  </w:t>
      </w:r>
    </w:p>
    <w:p w:rsidR="005076B4" w:rsidRDefault="005076B4" w:rsidP="005076B4">
      <w:pPr>
        <w:pStyle w:val="Answer"/>
        <w:suppressLineNumbers/>
        <w:jc w:val="left"/>
      </w:pPr>
    </w:p>
    <w:p w:rsidR="006320B9" w:rsidRDefault="006320B9" w:rsidP="00054ECC">
      <w:pPr>
        <w:pStyle w:val="Answer"/>
        <w:jc w:val="left"/>
        <w:rPr>
          <w:b/>
        </w:rPr>
      </w:pPr>
      <w:r w:rsidRPr="004B5F5D">
        <w:rPr>
          <w:b/>
        </w:rPr>
        <w:t>Q.</w:t>
      </w:r>
      <w:r w:rsidRPr="004B5F5D">
        <w:rPr>
          <w:b/>
        </w:rPr>
        <w:tab/>
        <w:t>Has the Company adopted any of the</w:t>
      </w:r>
      <w:r w:rsidR="00054E66">
        <w:rPr>
          <w:b/>
        </w:rPr>
        <w:t xml:space="preserve"> parties’ proposed</w:t>
      </w:r>
      <w:r w:rsidRPr="004B5F5D">
        <w:rPr>
          <w:b/>
        </w:rPr>
        <w:t xml:space="preserve"> changes to allocation factors </w:t>
      </w:r>
      <w:r w:rsidRPr="006320B9">
        <w:rPr>
          <w:b/>
        </w:rPr>
        <w:t>in its rebuttal positio</w:t>
      </w:r>
      <w:r>
        <w:rPr>
          <w:b/>
        </w:rPr>
        <w:t>n?</w:t>
      </w:r>
    </w:p>
    <w:p w:rsidR="006320B9" w:rsidRPr="006320B9" w:rsidRDefault="006320B9" w:rsidP="00054ECC">
      <w:pPr>
        <w:pStyle w:val="Answer"/>
        <w:jc w:val="left"/>
      </w:pPr>
      <w:r w:rsidRPr="004B5F5D">
        <w:t>A.</w:t>
      </w:r>
      <w:r w:rsidRPr="004B5F5D">
        <w:tab/>
        <w:t>No.</w:t>
      </w:r>
      <w:r>
        <w:t xml:space="preserve">  As discussed in the testimonies of Mr. Dalley and Ms. </w:t>
      </w:r>
      <w:r w:rsidR="00104427">
        <w:t xml:space="preserve">Joelle R. </w:t>
      </w:r>
      <w:r>
        <w:t>Steward</w:t>
      </w:r>
      <w:r w:rsidR="00054E66">
        <w:t>,</w:t>
      </w:r>
      <w:r>
        <w:t xml:space="preserve"> the Company </w:t>
      </w:r>
      <w:r w:rsidR="00054E66">
        <w:t>opposes these changes.  Accordingly, the Company’s rebuttal revenue requirement uses the allocation factors proposed in its initial filing.</w:t>
      </w:r>
    </w:p>
    <w:p w:rsidR="00EC0E6B" w:rsidRDefault="00613DEC" w:rsidP="00B13D15">
      <w:pPr>
        <w:pStyle w:val="Heading3"/>
      </w:pPr>
      <w:bookmarkStart w:id="26" w:name="_Toc363024815"/>
      <w:r w:rsidRPr="00613DEC">
        <w:t>Revenue Normalization</w:t>
      </w:r>
      <w:bookmarkEnd w:id="26"/>
    </w:p>
    <w:p w:rsidR="009E1B1C" w:rsidRPr="00955D06" w:rsidRDefault="009E1B1C" w:rsidP="00054ECC">
      <w:pPr>
        <w:spacing w:line="480" w:lineRule="auto"/>
        <w:ind w:left="720" w:hanging="720"/>
        <w:jc w:val="left"/>
        <w:rPr>
          <w:b/>
        </w:rPr>
      </w:pPr>
      <w:r w:rsidRPr="00955D06">
        <w:rPr>
          <w:b/>
        </w:rPr>
        <w:t>Q.</w:t>
      </w:r>
      <w:r>
        <w:rPr>
          <w:b/>
        </w:rPr>
        <w:tab/>
        <w:t xml:space="preserve">Please describe </w:t>
      </w:r>
      <w:r w:rsidR="00054E66">
        <w:rPr>
          <w:b/>
        </w:rPr>
        <w:t>Public Counsel’s proposed r</w:t>
      </w:r>
      <w:r>
        <w:rPr>
          <w:b/>
        </w:rPr>
        <w:t xml:space="preserve">evenue </w:t>
      </w:r>
      <w:r w:rsidR="00054E66">
        <w:rPr>
          <w:b/>
        </w:rPr>
        <w:t>n</w:t>
      </w:r>
      <w:r>
        <w:rPr>
          <w:b/>
        </w:rPr>
        <w:t xml:space="preserve">ormalization </w:t>
      </w:r>
      <w:r w:rsidR="00054E66">
        <w:rPr>
          <w:b/>
        </w:rPr>
        <w:t>a</w:t>
      </w:r>
      <w:r>
        <w:rPr>
          <w:b/>
        </w:rPr>
        <w:t>djustment</w:t>
      </w:r>
      <w:r w:rsidR="00054E66">
        <w:rPr>
          <w:b/>
        </w:rPr>
        <w:t>?</w:t>
      </w:r>
    </w:p>
    <w:p w:rsidR="00EC0E6B" w:rsidRDefault="009E1B1C">
      <w:pPr>
        <w:spacing w:line="480" w:lineRule="auto"/>
        <w:ind w:left="720" w:hanging="720"/>
        <w:jc w:val="left"/>
      </w:pPr>
      <w:r>
        <w:t>A.</w:t>
      </w:r>
      <w:r>
        <w:tab/>
      </w:r>
      <w:r w:rsidR="00054E66">
        <w:t>Public Counsel accepts the Company’s use of end-of-period rate base balances, but asserts that the rate base valuation must also include an “annualized” level of revenues that can be expected to be collected from customers being served at the end of the test period.</w:t>
      </w:r>
      <w:r w:rsidR="00054E66">
        <w:rPr>
          <w:rStyle w:val="FootnoteReference"/>
        </w:rPr>
        <w:footnoteReference w:id="28"/>
      </w:r>
      <w:r>
        <w:t xml:space="preserve"> </w:t>
      </w:r>
      <w:r w:rsidR="00054E66">
        <w:t xml:space="preserve"> As discussed in the rebuttal testimony of Ms. Steward, </w:t>
      </w:r>
      <w:r w:rsidR="004622C6">
        <w:t>t</w:t>
      </w:r>
      <w:r w:rsidR="004622C6">
        <w:rPr>
          <w:bCs/>
        </w:rPr>
        <w:t>his approach is flawed because the Company does not serve a static number of customers.  Public Counsel’s proposed approach does not capture customer variation</w:t>
      </w:r>
      <w:r w:rsidR="004622C6" w:rsidRPr="004622C6">
        <w:rPr>
          <w:bCs/>
        </w:rPr>
        <w:t xml:space="preserve"> </w:t>
      </w:r>
      <w:r w:rsidR="004622C6">
        <w:rPr>
          <w:bCs/>
        </w:rPr>
        <w:t xml:space="preserve">throughout the year, including seasonal customers.  In addition, Public Counsel’s adjustment does not account for changes in allocation factors or the production factor, which would be affected with changes in load.  For these reasons, the Company </w:t>
      </w:r>
      <w:r w:rsidR="007D7ED6">
        <w:rPr>
          <w:bCs/>
        </w:rPr>
        <w:t>disagrees with</w:t>
      </w:r>
      <w:r w:rsidR="004622C6">
        <w:rPr>
          <w:bCs/>
        </w:rPr>
        <w:t xml:space="preserve"> Public Counsel’s proposed adjustment.</w:t>
      </w:r>
    </w:p>
    <w:p w:rsidR="00EC0E6B" w:rsidRDefault="00F76FD0" w:rsidP="00B13D15">
      <w:pPr>
        <w:pStyle w:val="Heading3"/>
      </w:pPr>
      <w:bookmarkStart w:id="27" w:name="_Toc363024816"/>
      <w:r>
        <w:t>Labor Expense Adjustments</w:t>
      </w:r>
      <w:bookmarkEnd w:id="27"/>
    </w:p>
    <w:p w:rsidR="00613DEC" w:rsidRPr="00B21340" w:rsidRDefault="00B21340" w:rsidP="00054ECC">
      <w:pPr>
        <w:pStyle w:val="Answer"/>
        <w:jc w:val="left"/>
        <w:rPr>
          <w:b/>
        </w:rPr>
      </w:pPr>
      <w:r w:rsidRPr="00B21340">
        <w:rPr>
          <w:b/>
        </w:rPr>
        <w:t>Q.</w:t>
      </w:r>
      <w:r w:rsidRPr="00B21340">
        <w:rPr>
          <w:b/>
        </w:rPr>
        <w:tab/>
        <w:t xml:space="preserve">Please describe the </w:t>
      </w:r>
      <w:r w:rsidR="004622C6">
        <w:rPr>
          <w:b/>
        </w:rPr>
        <w:t>parties’ proposed adjustments to</w:t>
      </w:r>
      <w:r w:rsidRPr="00B21340">
        <w:rPr>
          <w:b/>
        </w:rPr>
        <w:t xml:space="preserve"> labor expense</w:t>
      </w:r>
      <w:r w:rsidR="004622C6">
        <w:rPr>
          <w:b/>
        </w:rPr>
        <w:t>s</w:t>
      </w:r>
      <w:r w:rsidRPr="00B21340">
        <w:rPr>
          <w:b/>
        </w:rPr>
        <w:t xml:space="preserve">. </w:t>
      </w:r>
    </w:p>
    <w:p w:rsidR="00B21340" w:rsidRDefault="00B21340" w:rsidP="00054ECC">
      <w:pPr>
        <w:pStyle w:val="Answer"/>
        <w:jc w:val="left"/>
      </w:pPr>
      <w:r w:rsidRPr="00B21340">
        <w:t>A.</w:t>
      </w:r>
      <w:r w:rsidRPr="00B21340">
        <w:tab/>
        <w:t xml:space="preserve">Staff and Public Counsel both sponsor various </w:t>
      </w:r>
      <w:r>
        <w:t>labor-related adjustments</w:t>
      </w:r>
      <w:r w:rsidR="004622C6">
        <w:t>,</w:t>
      </w:r>
      <w:r>
        <w:t xml:space="preserve"> including adjustment</w:t>
      </w:r>
      <w:r w:rsidR="004622C6">
        <w:t>s</w:t>
      </w:r>
      <w:r>
        <w:t xml:space="preserve"> to remove the escalation of annual incentive plan (AIP)</w:t>
      </w:r>
      <w:r w:rsidR="004622C6">
        <w:t xml:space="preserve"> expenses</w:t>
      </w:r>
      <w:r>
        <w:t>, reduc</w:t>
      </w:r>
      <w:r w:rsidR="004622C6">
        <w:t>e</w:t>
      </w:r>
      <w:r>
        <w:t xml:space="preserve"> the amount of executive compensation, and disallow expenses related to </w:t>
      </w:r>
      <w:r w:rsidR="004622C6">
        <w:t xml:space="preserve">compensation for </w:t>
      </w:r>
      <w:r>
        <w:t>M</w:t>
      </w:r>
      <w:r w:rsidR="004622C6">
        <w:t>idAmerican Energy Holdings Company</w:t>
      </w:r>
      <w:r>
        <w:t xml:space="preserve"> officer</w:t>
      </w:r>
      <w:r w:rsidR="004622C6">
        <w:t>s</w:t>
      </w:r>
      <w:r>
        <w:t xml:space="preserve">.  </w:t>
      </w:r>
    </w:p>
    <w:p w:rsidR="00B21340" w:rsidRDefault="00B21340" w:rsidP="00054ECC">
      <w:pPr>
        <w:pStyle w:val="Answer"/>
        <w:jc w:val="left"/>
        <w:rPr>
          <w:b/>
        </w:rPr>
      </w:pPr>
      <w:r w:rsidRPr="00B21340">
        <w:rPr>
          <w:b/>
        </w:rPr>
        <w:t>Q.</w:t>
      </w:r>
      <w:r w:rsidRPr="00B21340">
        <w:rPr>
          <w:b/>
        </w:rPr>
        <w:tab/>
        <w:t>Do you agree with</w:t>
      </w:r>
      <w:r>
        <w:rPr>
          <w:b/>
        </w:rPr>
        <w:t xml:space="preserve"> the proposed labor adjustments?</w:t>
      </w:r>
    </w:p>
    <w:p w:rsidR="00510625" w:rsidRDefault="00B21340" w:rsidP="00B13D15">
      <w:pPr>
        <w:pStyle w:val="Answer"/>
        <w:jc w:val="left"/>
        <w:rPr>
          <w:b/>
          <w:bCs/>
          <w:iCs/>
        </w:rPr>
      </w:pPr>
      <w:r w:rsidRPr="00B21340">
        <w:t>A.</w:t>
      </w:r>
      <w:r w:rsidRPr="00B21340">
        <w:tab/>
        <w:t xml:space="preserve">No.  </w:t>
      </w:r>
      <w:r w:rsidR="004622C6">
        <w:t>As further discussed in the rebuttal testimony of Mr. Erich D. Wilson, t</w:t>
      </w:r>
      <w:r>
        <w:t>he Company</w:t>
      </w:r>
      <w:r w:rsidR="004622C6">
        <w:t xml:space="preserve">’s labor expenses are consistent with Commission precedent and reflect </w:t>
      </w:r>
      <w:r>
        <w:t xml:space="preserve">prudently incurred costs </w:t>
      </w:r>
      <w:r w:rsidR="004622C6">
        <w:t xml:space="preserve">that </w:t>
      </w:r>
      <w:r>
        <w:t>benefit ratepayers.</w:t>
      </w:r>
      <w:r w:rsidR="004622C6">
        <w:t xml:space="preserve">  Accordingly, the Company does not accept the parties’ proposals.</w:t>
      </w:r>
    </w:p>
    <w:p w:rsidR="00EC0E6B" w:rsidRDefault="00854DF0" w:rsidP="00B13D15">
      <w:pPr>
        <w:pStyle w:val="Heading3"/>
      </w:pPr>
      <w:bookmarkStart w:id="28" w:name="_Toc363024817"/>
      <w:r>
        <w:t>Rate Base Balance</w:t>
      </w:r>
      <w:r w:rsidR="00B13D15">
        <w:t xml:space="preserve"> Methodology</w:t>
      </w:r>
      <w:bookmarkEnd w:id="28"/>
    </w:p>
    <w:p w:rsidR="00854DF0" w:rsidRDefault="00A33DA5" w:rsidP="00054ECC">
      <w:pPr>
        <w:pStyle w:val="Answer"/>
        <w:jc w:val="left"/>
        <w:rPr>
          <w:b/>
        </w:rPr>
      </w:pPr>
      <w:r>
        <w:rPr>
          <w:b/>
        </w:rPr>
        <w:t>Q.</w:t>
      </w:r>
      <w:r>
        <w:rPr>
          <w:b/>
        </w:rPr>
        <w:tab/>
        <w:t xml:space="preserve">Please </w:t>
      </w:r>
      <w:r w:rsidR="00854DF0">
        <w:rPr>
          <w:b/>
        </w:rPr>
        <w:t>describe the Company’s proposed rate base balance</w:t>
      </w:r>
      <w:r w:rsidR="00B13D15">
        <w:rPr>
          <w:b/>
        </w:rPr>
        <w:t xml:space="preserve"> methodology.</w:t>
      </w:r>
    </w:p>
    <w:p w:rsidR="00854DF0" w:rsidRDefault="00884DE6" w:rsidP="00054ECC">
      <w:pPr>
        <w:pStyle w:val="Answer"/>
        <w:jc w:val="left"/>
      </w:pPr>
      <w:r>
        <w:t>A.</w:t>
      </w:r>
      <w:r>
        <w:tab/>
      </w:r>
      <w:r w:rsidR="00431B5C">
        <w:t>In its initial filing, t</w:t>
      </w:r>
      <w:r>
        <w:t xml:space="preserve">he Company </w:t>
      </w:r>
      <w:r w:rsidR="00431B5C">
        <w:t>included a restating adjustment to reflect electric plant in service balances at end-of-test-year levels instead of AMA levels.</w:t>
      </w:r>
    </w:p>
    <w:p w:rsidR="00431B5C" w:rsidRPr="00B13D15" w:rsidRDefault="00884DE6" w:rsidP="00054ECC">
      <w:pPr>
        <w:pStyle w:val="Answer"/>
        <w:jc w:val="left"/>
        <w:rPr>
          <w:b/>
        </w:rPr>
      </w:pPr>
      <w:r w:rsidRPr="00B13D15">
        <w:rPr>
          <w:b/>
        </w:rPr>
        <w:t>Q.</w:t>
      </w:r>
      <w:r w:rsidRPr="00B13D15">
        <w:rPr>
          <w:b/>
        </w:rPr>
        <w:tab/>
        <w:t>Why did the Company include this restating adjustment?</w:t>
      </w:r>
    </w:p>
    <w:p w:rsidR="00431B5C" w:rsidRPr="00B13D15" w:rsidRDefault="00431B5C" w:rsidP="00054ECC">
      <w:pPr>
        <w:pStyle w:val="Answer"/>
        <w:jc w:val="left"/>
      </w:pPr>
      <w:r>
        <w:t>A.</w:t>
      </w:r>
      <w:r>
        <w:tab/>
        <w:t>For states using historical test periods, adjusting electric plant in service to end-of-period balances minimizes regulatory lag by reflecting rate base balances at levels closer to the rate effective period.  The Company agrees with Public Counsel that using end-of-period rate base balances is “an equitable and reasonable approach to addressing ‘regulatory lag.’”</w:t>
      </w:r>
      <w:r>
        <w:rPr>
          <w:rStyle w:val="FootnoteReference"/>
        </w:rPr>
        <w:footnoteReference w:id="29"/>
      </w:r>
    </w:p>
    <w:p w:rsidR="00A33DA5" w:rsidRDefault="00854DF0" w:rsidP="00054ECC">
      <w:pPr>
        <w:pStyle w:val="Answer"/>
        <w:jc w:val="left"/>
        <w:rPr>
          <w:b/>
        </w:rPr>
      </w:pPr>
      <w:r>
        <w:rPr>
          <w:b/>
        </w:rPr>
        <w:t>Q.</w:t>
      </w:r>
      <w:r>
        <w:rPr>
          <w:b/>
        </w:rPr>
        <w:tab/>
      </w:r>
      <w:r w:rsidR="00431B5C">
        <w:rPr>
          <w:b/>
        </w:rPr>
        <w:t>Does Staff agree with the use of end-of-period rate base balances?</w:t>
      </w:r>
    </w:p>
    <w:p w:rsidR="00A33DA5" w:rsidRDefault="00A33DA5" w:rsidP="00054ECC">
      <w:pPr>
        <w:pStyle w:val="Answer"/>
        <w:jc w:val="left"/>
      </w:pPr>
      <w:r w:rsidRPr="004B5F5D">
        <w:t>A.</w:t>
      </w:r>
      <w:r w:rsidRPr="004B5F5D">
        <w:tab/>
      </w:r>
      <w:r w:rsidR="00431B5C">
        <w:t xml:space="preserve">No.  </w:t>
      </w:r>
      <w:r>
        <w:t>Staff proposes that the Commission reject this modification and revert to the use of AMA rate base</w:t>
      </w:r>
      <w:r w:rsidR="00631647">
        <w:t xml:space="preserve"> balances</w:t>
      </w:r>
      <w:r>
        <w:t>.</w:t>
      </w:r>
      <w:r w:rsidR="00854DF0">
        <w:rPr>
          <w:rStyle w:val="FootnoteReference"/>
        </w:rPr>
        <w:footnoteReference w:id="30"/>
      </w:r>
    </w:p>
    <w:p w:rsidR="00136D2F" w:rsidRDefault="00A33DA5" w:rsidP="00054ECC">
      <w:pPr>
        <w:pStyle w:val="Answer"/>
        <w:jc w:val="left"/>
        <w:rPr>
          <w:b/>
        </w:rPr>
      </w:pPr>
      <w:r w:rsidRPr="004B5F5D">
        <w:rPr>
          <w:b/>
        </w:rPr>
        <w:t>Q.</w:t>
      </w:r>
      <w:r w:rsidRPr="004B5F5D">
        <w:rPr>
          <w:b/>
        </w:rPr>
        <w:tab/>
      </w:r>
      <w:r w:rsidR="00431B5C">
        <w:rPr>
          <w:b/>
        </w:rPr>
        <w:t>Please respond to Staff’s proposal.</w:t>
      </w:r>
    </w:p>
    <w:p w:rsidR="00CD0C9F" w:rsidRDefault="00136D2F" w:rsidP="00CD0C9F">
      <w:pPr>
        <w:pStyle w:val="Answer"/>
        <w:widowControl w:val="0"/>
        <w:jc w:val="left"/>
      </w:pPr>
      <w:r w:rsidRPr="004B5F5D">
        <w:t>A.</w:t>
      </w:r>
      <w:r w:rsidRPr="004B5F5D">
        <w:tab/>
      </w:r>
      <w:r w:rsidR="00431B5C">
        <w:t xml:space="preserve">As discussed by Mr. Griffith, Staff’s approach is disappointing.  </w:t>
      </w:r>
      <w:r w:rsidR="00CD0C9F">
        <w:t>Staff rejects the Company’s proposal in this case despite supporting the use of end-of-period rate base balances for PSE as “necessary and useful” to address PSE’s persistent under-earnings and regulatory lag</w:t>
      </w:r>
      <w:r w:rsidR="00CD0C9F" w:rsidRPr="0018315F">
        <w:t>.</w:t>
      </w:r>
      <w:r w:rsidR="00CD0C9F">
        <w:rPr>
          <w:rStyle w:val="FootnoteReference"/>
        </w:rPr>
        <w:footnoteReference w:id="31"/>
      </w:r>
      <w:r w:rsidR="00CD0C9F">
        <w:t xml:space="preserve">  Staff also supported the equivalent of the use of end-of-period rate base balances in Avista’s most recent rate case by calculating its attrition adjustment including rate base additions through the rate year.</w:t>
      </w:r>
      <w:r w:rsidR="00CD0C9F">
        <w:rPr>
          <w:rStyle w:val="FootnoteReference"/>
        </w:rPr>
        <w:footnoteReference w:id="32"/>
      </w:r>
      <w:r w:rsidR="00CD0C9F">
        <w:t xml:space="preserve">  </w:t>
      </w:r>
    </w:p>
    <w:p w:rsidR="00EC0E6B" w:rsidRDefault="00CD0C9F" w:rsidP="00B13D15">
      <w:pPr>
        <w:pStyle w:val="Answer"/>
        <w:ind w:firstLine="720"/>
        <w:jc w:val="left"/>
      </w:pPr>
      <w:r>
        <w:t xml:space="preserve">As Staff acknowledges, </w:t>
      </w:r>
      <w:r w:rsidR="007D7ED6">
        <w:t>t</w:t>
      </w:r>
      <w:r w:rsidR="00CC0B15">
        <w:t xml:space="preserve">he Commission </w:t>
      </w:r>
      <w:r>
        <w:t xml:space="preserve">has supported </w:t>
      </w:r>
      <w:r w:rsidR="00CC0B15">
        <w:t xml:space="preserve">the use of year-end rate base </w:t>
      </w:r>
      <w:r>
        <w:t xml:space="preserve">as </w:t>
      </w:r>
      <w:r w:rsidR="00CC0B15">
        <w:t>appropriate if it is used as a means to mitigate regulatory lag or if a utility has been unable to earn its authorized rate of return over a historical period</w:t>
      </w:r>
      <w:r w:rsidR="00592F0D">
        <w:t>.  As detailed in the rebuttal testimon</w:t>
      </w:r>
      <w:r>
        <w:t>y</w:t>
      </w:r>
      <w:r w:rsidR="00592F0D">
        <w:t xml:space="preserve"> of Mr. Griffith</w:t>
      </w:r>
      <w:r>
        <w:t>,</w:t>
      </w:r>
      <w:r w:rsidR="00592F0D">
        <w:t xml:space="preserve"> the Company has experienced chronic under</w:t>
      </w:r>
      <w:r>
        <w:t>-</w:t>
      </w:r>
      <w:r w:rsidR="00592F0D">
        <w:t>earning</w:t>
      </w:r>
      <w:r w:rsidR="00B13D15">
        <w:t xml:space="preserve"> since the adoption of the WCA in 2006</w:t>
      </w:r>
      <w:r w:rsidR="00592F0D">
        <w:t xml:space="preserve">.  The use of a year-end rate base is necessary to more appropriately match rate base balances reflected in the test period with those </w:t>
      </w:r>
      <w:r>
        <w:t xml:space="preserve">that </w:t>
      </w:r>
      <w:r w:rsidR="00592F0D">
        <w:t>will actually be experienced during the rate effective period.</w:t>
      </w:r>
    </w:p>
    <w:p w:rsidR="00721941" w:rsidRDefault="00721941" w:rsidP="00054ECC">
      <w:pPr>
        <w:pStyle w:val="Answer"/>
        <w:jc w:val="left"/>
        <w:rPr>
          <w:b/>
        </w:rPr>
      </w:pPr>
      <w:r w:rsidRPr="004B5F5D">
        <w:rPr>
          <w:b/>
        </w:rPr>
        <w:t>Q.</w:t>
      </w:r>
      <w:r w:rsidRPr="004B5F5D">
        <w:rPr>
          <w:b/>
        </w:rPr>
        <w:tab/>
        <w:t xml:space="preserve">If the Commission decides to utilize AMA rather than year-end rate base balances should it adopt </w:t>
      </w:r>
      <w:r w:rsidR="00B13D15">
        <w:rPr>
          <w:b/>
        </w:rPr>
        <w:t xml:space="preserve">Staff’s proposed </w:t>
      </w:r>
      <w:r w:rsidRPr="004B5F5D">
        <w:rPr>
          <w:b/>
        </w:rPr>
        <w:t>adjustment?</w:t>
      </w:r>
    </w:p>
    <w:p w:rsidR="00510625" w:rsidRDefault="00721941" w:rsidP="00B13D15">
      <w:pPr>
        <w:pStyle w:val="Answer"/>
        <w:jc w:val="left"/>
        <w:rPr>
          <w:b/>
          <w:bCs/>
          <w:iCs/>
        </w:rPr>
      </w:pPr>
      <w:r w:rsidRPr="004B5F5D">
        <w:t>A.</w:t>
      </w:r>
      <w:r w:rsidRPr="004B5F5D">
        <w:tab/>
        <w:t>No.</w:t>
      </w:r>
      <w:r>
        <w:t xml:space="preserve">  </w:t>
      </w:r>
      <w:r w:rsidR="00CD0C9F">
        <w:t>Staff</w:t>
      </w:r>
      <w:r w:rsidR="00592F0D">
        <w:t xml:space="preserve"> </w:t>
      </w:r>
      <w:r w:rsidR="00CD0C9F">
        <w:t xml:space="preserve">does not correctly calculate the impact of its </w:t>
      </w:r>
      <w:r w:rsidR="00592F0D">
        <w:t>adjustment</w:t>
      </w:r>
      <w:r w:rsidR="00CD0C9F">
        <w:t xml:space="preserve"> by not applying consistent treatment to all of the Company’s restating and pro forma adjustments.  Staff states that its </w:t>
      </w:r>
      <w:r w:rsidR="003062C0">
        <w:t xml:space="preserve">adjustment would result in a $1.28 million reduction to the Company’s filed </w:t>
      </w:r>
      <w:r w:rsidR="00896638">
        <w:t xml:space="preserve">Washington </w:t>
      </w:r>
      <w:r w:rsidR="003062C0">
        <w:t xml:space="preserve">revenue requirement.  </w:t>
      </w:r>
      <w:r w:rsidR="00CD0C9F">
        <w:t xml:space="preserve">But </w:t>
      </w:r>
      <w:r w:rsidR="003062C0">
        <w:t xml:space="preserve">in response to </w:t>
      </w:r>
      <w:r w:rsidR="002228F2">
        <w:t>Staff</w:t>
      </w:r>
      <w:r w:rsidR="003062C0">
        <w:t xml:space="preserve"> Data Request 208</w:t>
      </w:r>
      <w:r w:rsidR="00CD0C9F">
        <w:t>,</w:t>
      </w:r>
      <w:r w:rsidR="003062C0">
        <w:t xml:space="preserve"> the Company </w:t>
      </w:r>
      <w:r w:rsidR="00CD0C9F">
        <w:t xml:space="preserve">stated </w:t>
      </w:r>
      <w:r w:rsidR="001E641D">
        <w:t xml:space="preserve">that </w:t>
      </w:r>
      <w:r w:rsidR="00CD0C9F">
        <w:t>using</w:t>
      </w:r>
      <w:r w:rsidR="001E641D">
        <w:t xml:space="preserve"> AMA rate base balances would result in a</w:t>
      </w:r>
      <w:r w:rsidR="00707B36">
        <w:t xml:space="preserve">n </w:t>
      </w:r>
      <w:r w:rsidR="00884DE6" w:rsidRPr="00B13D15">
        <w:rPr>
          <w:i/>
        </w:rPr>
        <w:t>increase</w:t>
      </w:r>
      <w:r w:rsidR="001E641D">
        <w:t xml:space="preserve"> </w:t>
      </w:r>
      <w:r w:rsidR="003062C0">
        <w:t>to fi</w:t>
      </w:r>
      <w:r w:rsidR="00B13D15">
        <w:t>led revenue requirement of $0.3 </w:t>
      </w:r>
      <w:r w:rsidR="003062C0">
        <w:t>million.</w:t>
      </w:r>
      <w:r w:rsidR="00896638">
        <w:rPr>
          <w:rStyle w:val="FootnoteReference"/>
        </w:rPr>
        <w:footnoteReference w:id="33"/>
      </w:r>
      <w:r w:rsidR="003062C0">
        <w:t xml:space="preserve">  In other words, the Company elected to include this adjustment in its filed position despite the fact that it negatively impacted the revenue requirement </w:t>
      </w:r>
      <w:r w:rsidR="00CD0C9F">
        <w:t xml:space="preserve">in this case because using end-of-period rate base balances is sound long-term regulatory policy that mitigates </w:t>
      </w:r>
      <w:r w:rsidR="00683827">
        <w:t>regulatory lag</w:t>
      </w:r>
      <w:r w:rsidR="003062C0">
        <w:t>.</w:t>
      </w:r>
    </w:p>
    <w:p w:rsidR="00EC0E6B" w:rsidRDefault="00F50E06" w:rsidP="00B13D15">
      <w:pPr>
        <w:pStyle w:val="Heading3"/>
      </w:pPr>
      <w:bookmarkStart w:id="29" w:name="_Toc363024818"/>
      <w:r w:rsidRPr="00F50E06">
        <w:t>Investor Supplied Working Capital</w:t>
      </w:r>
      <w:bookmarkEnd w:id="29"/>
      <w:r w:rsidR="00613DEC" w:rsidRPr="00F50E06">
        <w:t xml:space="preserve"> </w:t>
      </w:r>
    </w:p>
    <w:p w:rsidR="0087766B" w:rsidRDefault="0087766B" w:rsidP="00054ECC">
      <w:pPr>
        <w:pStyle w:val="Answer"/>
        <w:jc w:val="left"/>
        <w:rPr>
          <w:b/>
        </w:rPr>
      </w:pPr>
      <w:r w:rsidRPr="0087766B">
        <w:rPr>
          <w:b/>
        </w:rPr>
        <w:t>Q.</w:t>
      </w:r>
      <w:r w:rsidRPr="0087766B">
        <w:rPr>
          <w:b/>
        </w:rPr>
        <w:tab/>
      </w:r>
      <w:r w:rsidR="0099502F">
        <w:rPr>
          <w:b/>
        </w:rPr>
        <w:t>Has the Company revised the amount of investor-supplied working capital included in its Washington-allocated revenue requirement</w:t>
      </w:r>
      <w:r w:rsidR="00BF7E8F">
        <w:rPr>
          <w:b/>
        </w:rPr>
        <w:t>?</w:t>
      </w:r>
    </w:p>
    <w:p w:rsidR="00F50E06" w:rsidRPr="0087766B" w:rsidRDefault="0087766B" w:rsidP="00054ECC">
      <w:pPr>
        <w:pStyle w:val="Answer"/>
        <w:jc w:val="left"/>
      </w:pPr>
      <w:r w:rsidRPr="0087766B">
        <w:t>A.</w:t>
      </w:r>
      <w:r w:rsidRPr="0087766B">
        <w:tab/>
      </w:r>
      <w:r w:rsidR="0099502F">
        <w:t xml:space="preserve">No.  </w:t>
      </w:r>
      <w:r w:rsidR="00BF7E8F">
        <w:t xml:space="preserve">As described in the </w:t>
      </w:r>
      <w:r w:rsidR="0099502F">
        <w:t xml:space="preserve">rebuttal </w:t>
      </w:r>
      <w:r>
        <w:t>testimony of Mr. Douglas K. Stuver</w:t>
      </w:r>
      <w:r w:rsidR="0099502F">
        <w:t>,</w:t>
      </w:r>
      <w:r w:rsidR="00BF7E8F">
        <w:t xml:space="preserve"> t</w:t>
      </w:r>
      <w:r w:rsidR="00721941">
        <w:t>he Company continues to support</w:t>
      </w:r>
      <w:r w:rsidR="00BF7E8F">
        <w:t xml:space="preserve"> its proposed modifications to the ISWC calculation. </w:t>
      </w:r>
    </w:p>
    <w:p w:rsidR="00B304EA" w:rsidRPr="003351CB" w:rsidRDefault="00B304EA" w:rsidP="00054ECC">
      <w:pPr>
        <w:pStyle w:val="Answer"/>
        <w:jc w:val="left"/>
        <w:rPr>
          <w:b/>
        </w:rPr>
      </w:pPr>
      <w:r w:rsidRPr="003351CB">
        <w:rPr>
          <w:b/>
        </w:rPr>
        <w:t>Q.</w:t>
      </w:r>
      <w:r w:rsidRPr="003351CB">
        <w:rPr>
          <w:b/>
        </w:rPr>
        <w:tab/>
        <w:t xml:space="preserve">Does this conclude your </w:t>
      </w:r>
      <w:r w:rsidR="00173377">
        <w:rPr>
          <w:b/>
        </w:rPr>
        <w:t xml:space="preserve">rebuttal </w:t>
      </w:r>
      <w:r w:rsidRPr="003351CB">
        <w:rPr>
          <w:b/>
        </w:rPr>
        <w:t>testimony?</w:t>
      </w:r>
    </w:p>
    <w:p w:rsidR="0063086A" w:rsidRDefault="00B304EA" w:rsidP="00054ECC">
      <w:pPr>
        <w:pStyle w:val="Answer"/>
        <w:ind w:left="0" w:firstLine="0"/>
        <w:jc w:val="left"/>
      </w:pPr>
      <w:r>
        <w:t>A.</w:t>
      </w:r>
      <w:r>
        <w:tab/>
        <w:t>Yes.</w:t>
      </w:r>
    </w:p>
    <w:sectPr w:rsidR="0063086A" w:rsidSect="007F5EFF">
      <w:footerReference w:type="default" r:id="rId14"/>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B4" w:rsidRDefault="005076B4">
      <w:r>
        <w:separator/>
      </w:r>
    </w:p>
  </w:endnote>
  <w:endnote w:type="continuationSeparator" w:id="0">
    <w:p w:rsidR="005076B4" w:rsidRDefault="00507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72" w:rsidRDefault="00E70E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B4" w:rsidRDefault="005076B4" w:rsidP="00E70E72">
    <w:pPr>
      <w:pStyle w:val="Footer"/>
      <w:tabs>
        <w:tab w:val="clear" w:pos="8640"/>
        <w:tab w:val="right" w:pos="9000"/>
      </w:tabs>
      <w:rPr>
        <w:rStyle w:val="PageNumber"/>
      </w:rPr>
    </w:pPr>
    <w:r>
      <w:rPr>
        <w:rStyle w:val="PageNumber"/>
      </w:rPr>
      <w:t>Rebuttal Testimony of Steven R. McDougal</w:t>
    </w:r>
    <w:r>
      <w:rPr>
        <w:rStyle w:val="PageNumber"/>
      </w:rPr>
      <w:tab/>
    </w:r>
    <w:r>
      <w:rPr>
        <w:rStyle w:val="PageNumber"/>
      </w:rPr>
      <w:tab/>
      <w:t>Exhibit No.___(SRM-6T)</w:t>
    </w:r>
  </w:p>
  <w:p w:rsidR="005076B4" w:rsidRDefault="005076B4" w:rsidP="00227B9D">
    <w:pPr>
      <w:pStyle w:val="Footer"/>
      <w:tabs>
        <w:tab w:val="clear" w:pos="8640"/>
        <w:tab w:val="right" w:pos="8280"/>
      </w:tabs>
      <w:jc w:val="right"/>
    </w:pPr>
    <w:r>
      <w:rPr>
        <w:rStyle w:val="PageNumber"/>
      </w:rPr>
      <w:t xml:space="preserve">Page </w:t>
    </w:r>
    <w:r w:rsidR="00830A7C">
      <w:rPr>
        <w:rStyle w:val="PageNumber"/>
      </w:rPr>
      <w:fldChar w:fldCharType="begin"/>
    </w:r>
    <w:r>
      <w:rPr>
        <w:rStyle w:val="PageNumber"/>
      </w:rPr>
      <w:instrText xml:space="preserve"> PAGE </w:instrText>
    </w:r>
    <w:r w:rsidR="00830A7C">
      <w:rPr>
        <w:rStyle w:val="PageNumber"/>
      </w:rPr>
      <w:fldChar w:fldCharType="separate"/>
    </w:r>
    <w:r w:rsidR="00844439">
      <w:rPr>
        <w:rStyle w:val="PageNumber"/>
        <w:noProof/>
      </w:rPr>
      <w:t>i</w:t>
    </w:r>
    <w:r w:rsidR="00830A7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B4" w:rsidRDefault="005076B4" w:rsidP="00DC1D13">
    <w:pPr>
      <w:pStyle w:val="Footer"/>
      <w:tabs>
        <w:tab w:val="clear" w:pos="8640"/>
        <w:tab w:val="right" w:pos="9000"/>
      </w:tabs>
      <w:rPr>
        <w:rStyle w:val="PageNumber"/>
      </w:rPr>
    </w:pPr>
    <w:r>
      <w:rPr>
        <w:rStyle w:val="PageNumber"/>
      </w:rPr>
      <w:t>Rebuttal Testimony of Steven R. McDougal</w:t>
    </w:r>
    <w:r>
      <w:rPr>
        <w:rStyle w:val="PageNumber"/>
      </w:rPr>
      <w:tab/>
    </w:r>
    <w:r>
      <w:rPr>
        <w:rStyle w:val="PageNumber"/>
      </w:rPr>
      <w:tab/>
      <w:t>Exhibit No.___(SRM-6T)</w:t>
    </w:r>
  </w:p>
  <w:p w:rsidR="005076B4" w:rsidRPr="00DC1D13" w:rsidRDefault="005076B4" w:rsidP="00B13D15">
    <w:pPr>
      <w:pStyle w:val="Footer"/>
      <w:jc w:val="right"/>
    </w:pPr>
    <w:r>
      <w:rPr>
        <w:rStyle w:val="PageNumber"/>
      </w:rPr>
      <w:t>Page 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B4" w:rsidRDefault="005076B4" w:rsidP="00227B9D">
    <w:pPr>
      <w:pStyle w:val="Footer"/>
      <w:rPr>
        <w:rStyle w:val="PageNumber"/>
      </w:rPr>
    </w:pPr>
    <w:r>
      <w:rPr>
        <w:rStyle w:val="PageNumber"/>
      </w:rPr>
      <w:t>Rebuttal Testimony of Steven R. McDougal</w:t>
    </w:r>
    <w:r>
      <w:rPr>
        <w:rStyle w:val="PageNumber"/>
      </w:rPr>
      <w:tab/>
    </w:r>
    <w:r>
      <w:rPr>
        <w:rStyle w:val="PageNumber"/>
      </w:rPr>
      <w:tab/>
      <w:t>Exhibit No.___(SRM-6T)</w:t>
    </w:r>
  </w:p>
  <w:p w:rsidR="005076B4" w:rsidRDefault="005076B4" w:rsidP="00227B9D">
    <w:pPr>
      <w:pStyle w:val="Footer"/>
      <w:tabs>
        <w:tab w:val="clear" w:pos="8640"/>
        <w:tab w:val="right" w:pos="8280"/>
      </w:tabs>
      <w:jc w:val="right"/>
    </w:pPr>
    <w:r>
      <w:rPr>
        <w:rStyle w:val="PageNumber"/>
      </w:rPr>
      <w:t xml:space="preserve">Page </w:t>
    </w:r>
    <w:r w:rsidR="00830A7C">
      <w:rPr>
        <w:rStyle w:val="PageNumber"/>
      </w:rPr>
      <w:fldChar w:fldCharType="begin"/>
    </w:r>
    <w:r>
      <w:rPr>
        <w:rStyle w:val="PageNumber"/>
      </w:rPr>
      <w:instrText xml:space="preserve"> PAGE </w:instrText>
    </w:r>
    <w:r w:rsidR="00830A7C">
      <w:rPr>
        <w:rStyle w:val="PageNumber"/>
      </w:rPr>
      <w:fldChar w:fldCharType="separate"/>
    </w:r>
    <w:r w:rsidR="00844439">
      <w:rPr>
        <w:rStyle w:val="PageNumber"/>
        <w:noProof/>
      </w:rPr>
      <w:t>1</w:t>
    </w:r>
    <w:r w:rsidR="00830A7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B4" w:rsidRDefault="005076B4">
      <w:r>
        <w:separator/>
      </w:r>
    </w:p>
  </w:footnote>
  <w:footnote w:type="continuationSeparator" w:id="0">
    <w:p w:rsidR="005076B4" w:rsidRDefault="005076B4">
      <w:r>
        <w:continuationSeparator/>
      </w:r>
    </w:p>
  </w:footnote>
  <w:footnote w:id="1">
    <w:p w:rsidR="005076B4" w:rsidRDefault="005076B4" w:rsidP="00227B9D">
      <w:pPr>
        <w:pStyle w:val="FootnoteText"/>
        <w:jc w:val="left"/>
      </w:pPr>
      <w:r>
        <w:rPr>
          <w:rStyle w:val="FootnoteReference"/>
        </w:rPr>
        <w:footnoteRef/>
      </w:r>
      <w:r>
        <w:t xml:space="preserve"> Included in my workpapers is an updated workpaper reflecting the changes in the per books data including the Company’s rebuttal adjustments.</w:t>
      </w:r>
    </w:p>
  </w:footnote>
  <w:footnote w:id="2">
    <w:p w:rsidR="005076B4" w:rsidRDefault="005076B4" w:rsidP="00227B9D">
      <w:pPr>
        <w:pStyle w:val="FootnoteText"/>
        <w:jc w:val="left"/>
      </w:pPr>
      <w:r>
        <w:rPr>
          <w:rStyle w:val="FootnoteReference"/>
        </w:rPr>
        <w:footnoteRef/>
      </w:r>
      <w:r>
        <w:t xml:space="preserve"> For ease in identifying the revenue requirement impact of the Company’s rebuttal changes, in this testimony, the Company identifies the incremental impact of each change made to the revenue requirement adjustments included in its initial filing.  Consistent with Commission rule WAC 480-07-510, however, Exhibit No.___(SRM-7) shows the rebuttal restating and pro forma adjustments to per books data (not the incremental impact).  In other words, the revised adjustments presented in Exhibit No.___(SRM-7) replace the adjustments presented in the initial filing.</w:t>
      </w:r>
    </w:p>
  </w:footnote>
  <w:footnote w:id="3">
    <w:p w:rsidR="005076B4" w:rsidRDefault="005076B4">
      <w:pPr>
        <w:pStyle w:val="FootnoteText"/>
      </w:pPr>
      <w:r>
        <w:rPr>
          <w:rStyle w:val="FootnoteReference"/>
        </w:rPr>
        <w:footnoteRef/>
      </w:r>
      <w:r>
        <w:t xml:space="preserve"> Exhibit No.___(CTM-1T) at page 3.</w:t>
      </w:r>
    </w:p>
  </w:footnote>
  <w:footnote w:id="4">
    <w:p w:rsidR="005076B4" w:rsidRDefault="005076B4">
      <w:pPr>
        <w:pStyle w:val="FootnoteText"/>
      </w:pPr>
      <w:r>
        <w:rPr>
          <w:rStyle w:val="FootnoteReference"/>
        </w:rPr>
        <w:footnoteRef/>
      </w:r>
      <w:r>
        <w:t xml:space="preserve"> Exhibit No.___(MCD-1CT) at pages 23-24.</w:t>
      </w:r>
    </w:p>
  </w:footnote>
  <w:footnote w:id="5">
    <w:p w:rsidR="005076B4" w:rsidRDefault="005076B4">
      <w:pPr>
        <w:pStyle w:val="FootnoteText"/>
      </w:pPr>
      <w:r>
        <w:rPr>
          <w:rStyle w:val="FootnoteReference"/>
        </w:rPr>
        <w:footnoteRef/>
      </w:r>
      <w:r>
        <w:t xml:space="preserve"> Order 04 (July 29, 2013).</w:t>
      </w:r>
    </w:p>
  </w:footnote>
  <w:footnote w:id="6">
    <w:p w:rsidR="005076B4" w:rsidRDefault="005076B4">
      <w:pPr>
        <w:pStyle w:val="FootnoteText"/>
      </w:pPr>
      <w:r>
        <w:rPr>
          <w:rStyle w:val="FootnoteReference"/>
        </w:rPr>
        <w:footnoteRef/>
      </w:r>
      <w:r>
        <w:t xml:space="preserve"> Exhibit No.___(SC-1CT) at pages 25-27.</w:t>
      </w:r>
    </w:p>
  </w:footnote>
  <w:footnote w:id="7">
    <w:p w:rsidR="005076B4" w:rsidRDefault="005076B4">
      <w:pPr>
        <w:pStyle w:val="FootnoteText"/>
      </w:pPr>
      <w:r>
        <w:rPr>
          <w:rStyle w:val="FootnoteReference"/>
        </w:rPr>
        <w:footnoteRef/>
      </w:r>
      <w:r>
        <w:t xml:space="preserve"> Exhibit No.___(SC-1CT) at page 31.</w:t>
      </w:r>
    </w:p>
  </w:footnote>
  <w:footnote w:id="8">
    <w:p w:rsidR="005076B4" w:rsidRDefault="005076B4">
      <w:pPr>
        <w:pStyle w:val="FootnoteText"/>
      </w:pPr>
      <w:r>
        <w:rPr>
          <w:rStyle w:val="FootnoteReference"/>
        </w:rPr>
        <w:footnoteRef/>
      </w:r>
      <w:r>
        <w:t xml:space="preserve"> Exhibit No.___(JRD-1T) at page 18.</w:t>
      </w:r>
    </w:p>
  </w:footnote>
  <w:footnote w:id="9">
    <w:p w:rsidR="005076B4" w:rsidRDefault="005076B4">
      <w:pPr>
        <w:pStyle w:val="FootnoteText"/>
      </w:pPr>
      <w:r>
        <w:rPr>
          <w:rStyle w:val="FootnoteReference"/>
        </w:rPr>
        <w:footnoteRef/>
      </w:r>
      <w:r>
        <w:t xml:space="preserve"> Exhibit No.___(CTM-1T) at pages 9-10.</w:t>
      </w:r>
    </w:p>
  </w:footnote>
  <w:footnote w:id="10">
    <w:p w:rsidR="005076B4" w:rsidRDefault="005076B4">
      <w:pPr>
        <w:pStyle w:val="FootnoteText"/>
      </w:pPr>
      <w:r>
        <w:rPr>
          <w:rStyle w:val="FootnoteReference"/>
        </w:rPr>
        <w:footnoteRef/>
      </w:r>
      <w:r>
        <w:t xml:space="preserve"> Exhibit No.___(SC-1CT) at pages 29-30.</w:t>
      </w:r>
    </w:p>
  </w:footnote>
  <w:footnote w:id="11">
    <w:p w:rsidR="005076B4" w:rsidRDefault="005076B4" w:rsidP="003042C2">
      <w:pPr>
        <w:pStyle w:val="FootnoteText"/>
      </w:pPr>
      <w:r>
        <w:rPr>
          <w:rStyle w:val="FootnoteReference"/>
        </w:rPr>
        <w:footnoteRef/>
      </w:r>
      <w:r>
        <w:t xml:space="preserve"> Exhibit No.___(SC-1CT) at page 32.</w:t>
      </w:r>
    </w:p>
  </w:footnote>
  <w:footnote w:id="12">
    <w:p w:rsidR="005076B4" w:rsidRDefault="005076B4">
      <w:pPr>
        <w:pStyle w:val="FootnoteText"/>
      </w:pPr>
      <w:r>
        <w:rPr>
          <w:rStyle w:val="FootnoteReference"/>
        </w:rPr>
        <w:footnoteRef/>
      </w:r>
      <w:r>
        <w:t xml:space="preserve"> Exhibit No.___(JH-1T) at page 11.</w:t>
      </w:r>
    </w:p>
  </w:footnote>
  <w:footnote w:id="13">
    <w:p w:rsidR="005076B4" w:rsidRDefault="005076B4">
      <w:pPr>
        <w:pStyle w:val="FootnoteText"/>
      </w:pPr>
      <w:r>
        <w:rPr>
          <w:rStyle w:val="FootnoteReference"/>
        </w:rPr>
        <w:footnoteRef/>
      </w:r>
      <w:r>
        <w:t xml:space="preserve"> Exhibit No.___(JRD-1T) at pages 10-11.</w:t>
      </w:r>
    </w:p>
  </w:footnote>
  <w:footnote w:id="14">
    <w:p w:rsidR="005076B4" w:rsidRDefault="005076B4">
      <w:pPr>
        <w:pStyle w:val="FootnoteText"/>
      </w:pPr>
      <w:r>
        <w:rPr>
          <w:rStyle w:val="FootnoteReference"/>
        </w:rPr>
        <w:footnoteRef/>
      </w:r>
      <w:r>
        <w:t xml:space="preserve"> </w:t>
      </w:r>
      <w:r w:rsidRPr="007B764E">
        <w:rPr>
          <w:i/>
        </w:rPr>
        <w:t>Id.</w:t>
      </w:r>
    </w:p>
  </w:footnote>
  <w:footnote w:id="15">
    <w:p w:rsidR="005076B4" w:rsidRDefault="005076B4">
      <w:pPr>
        <w:pStyle w:val="FootnoteText"/>
      </w:pPr>
      <w:r>
        <w:rPr>
          <w:rStyle w:val="FootnoteReference"/>
        </w:rPr>
        <w:footnoteRef/>
      </w:r>
      <w:r>
        <w:t xml:space="preserve"> Exhibit No.___(BAE-1T) at page 4.</w:t>
      </w:r>
    </w:p>
  </w:footnote>
  <w:footnote w:id="16">
    <w:p w:rsidR="005076B4" w:rsidRPr="007D7ED6" w:rsidRDefault="005076B4">
      <w:pPr>
        <w:pStyle w:val="FootnoteText"/>
      </w:pPr>
      <w:r>
        <w:rPr>
          <w:rStyle w:val="FootnoteReference"/>
        </w:rPr>
        <w:footnoteRef/>
      </w:r>
      <w:r>
        <w:t xml:space="preserve"> </w:t>
      </w:r>
      <w:r>
        <w:rPr>
          <w:i/>
        </w:rPr>
        <w:t>Id.</w:t>
      </w:r>
      <w:r>
        <w:t xml:space="preserve"> at 5.</w:t>
      </w:r>
    </w:p>
  </w:footnote>
  <w:footnote w:id="17">
    <w:p w:rsidR="005076B4" w:rsidRDefault="005076B4">
      <w:pPr>
        <w:pStyle w:val="FootnoteText"/>
      </w:pPr>
      <w:r>
        <w:rPr>
          <w:rStyle w:val="FootnoteReference"/>
        </w:rPr>
        <w:footnoteRef/>
      </w:r>
      <w:r>
        <w:t xml:space="preserve"> Exhibit No.___(JRD-1T) at pages 16-17.</w:t>
      </w:r>
    </w:p>
  </w:footnote>
  <w:footnote w:id="18">
    <w:p w:rsidR="005076B4" w:rsidRDefault="005076B4">
      <w:pPr>
        <w:pStyle w:val="FootnoteText"/>
      </w:pPr>
      <w:r>
        <w:rPr>
          <w:rStyle w:val="FootnoteReference"/>
        </w:rPr>
        <w:footnoteRef/>
      </w:r>
      <w:r>
        <w:t xml:space="preserve"> Exhibit No.___(SC-1CT) at pages 22-25; Exhibit No.___(CRM-1T) at page 3.</w:t>
      </w:r>
    </w:p>
  </w:footnote>
  <w:footnote w:id="19">
    <w:p w:rsidR="005076B4" w:rsidRDefault="005076B4">
      <w:pPr>
        <w:pStyle w:val="FootnoteText"/>
      </w:pPr>
      <w:r>
        <w:rPr>
          <w:rStyle w:val="FootnoteReference"/>
        </w:rPr>
        <w:footnoteRef/>
      </w:r>
      <w:r>
        <w:t xml:space="preserve"> Exhibit No.___(CRM-1T) at page 11-12.</w:t>
      </w:r>
    </w:p>
  </w:footnote>
  <w:footnote w:id="20">
    <w:p w:rsidR="005076B4" w:rsidRPr="00AB277C" w:rsidRDefault="005076B4">
      <w:pPr>
        <w:pStyle w:val="FootnoteText"/>
      </w:pPr>
      <w:r>
        <w:rPr>
          <w:rStyle w:val="FootnoteReference"/>
        </w:rPr>
        <w:footnoteRef/>
      </w:r>
      <w:r>
        <w:t xml:space="preserve"> </w:t>
      </w:r>
      <w:r>
        <w:rPr>
          <w:i/>
        </w:rPr>
        <w:t>Id.</w:t>
      </w:r>
      <w:r>
        <w:t xml:space="preserve"> at 7 (footnotes omitted).</w:t>
      </w:r>
    </w:p>
  </w:footnote>
  <w:footnote w:id="21">
    <w:p w:rsidR="005076B4" w:rsidRPr="00B13D15" w:rsidRDefault="005076B4">
      <w:pPr>
        <w:pStyle w:val="FootnoteText"/>
        <w:rPr>
          <w:i/>
        </w:rPr>
      </w:pPr>
      <w:r>
        <w:rPr>
          <w:rStyle w:val="FootnoteReference"/>
        </w:rPr>
        <w:footnoteRef/>
      </w:r>
      <w:r>
        <w:t xml:space="preserve"> </w:t>
      </w:r>
      <w:r>
        <w:rPr>
          <w:i/>
        </w:rPr>
        <w:t>Id.</w:t>
      </w:r>
    </w:p>
  </w:footnote>
  <w:footnote w:id="22">
    <w:p w:rsidR="005076B4" w:rsidRDefault="005076B4">
      <w:pPr>
        <w:pStyle w:val="FootnoteText"/>
      </w:pPr>
      <w:r>
        <w:rPr>
          <w:rStyle w:val="FootnoteReference"/>
        </w:rPr>
        <w:footnoteRef/>
      </w:r>
      <w:r>
        <w:t xml:space="preserve"> Exhibit No.___(WRG-1T) at pages 1-2.</w:t>
      </w:r>
    </w:p>
  </w:footnote>
  <w:footnote w:id="23">
    <w:p w:rsidR="005076B4" w:rsidRPr="00AB277C" w:rsidRDefault="005076B4">
      <w:pPr>
        <w:pStyle w:val="FootnoteText"/>
      </w:pPr>
      <w:r>
        <w:rPr>
          <w:rStyle w:val="FootnoteReference"/>
        </w:rPr>
        <w:footnoteRef/>
      </w:r>
      <w:r>
        <w:t xml:space="preserve"> </w:t>
      </w:r>
      <w:r w:rsidRPr="007A20BB">
        <w:rPr>
          <w:i/>
        </w:rPr>
        <w:t>See Wash. Utils. &amp; Transp. Comm’n v. Puget Sound Energy, Inc.</w:t>
      </w:r>
      <w:r w:rsidRPr="007A20BB">
        <w:t>, Dockets UE-090704 and UG-090705, Order 11</w:t>
      </w:r>
      <w:r>
        <w:t>,</w:t>
      </w:r>
      <w:r w:rsidRPr="007A20BB">
        <w:t xml:space="preserve"> </w:t>
      </w:r>
      <w:r>
        <w:t xml:space="preserve">¶ 21 </w:t>
      </w:r>
      <w:r w:rsidRPr="007A20BB">
        <w:t>(Apr</w:t>
      </w:r>
      <w:r>
        <w:t>il</w:t>
      </w:r>
      <w:r w:rsidRPr="007A20BB">
        <w:t xml:space="preserve"> 2, 2010).  </w:t>
      </w:r>
    </w:p>
  </w:footnote>
  <w:footnote w:id="24">
    <w:p w:rsidR="005076B4" w:rsidRDefault="005076B4" w:rsidP="007276F1">
      <w:pPr>
        <w:pStyle w:val="FootnoteText"/>
      </w:pPr>
      <w:r>
        <w:rPr>
          <w:rStyle w:val="FootnoteReference"/>
        </w:rPr>
        <w:footnoteRef/>
      </w:r>
      <w:r>
        <w:t xml:space="preserve"> </w:t>
      </w:r>
      <w:r>
        <w:rPr>
          <w:i/>
        </w:rPr>
        <w:t xml:space="preserve">PacifiCorp, </w:t>
      </w:r>
      <w:r w:rsidRPr="00C22ACC">
        <w:t>123 FERC ¶ 62,258</w:t>
      </w:r>
      <w:r>
        <w:t>, Ordering Paragraphs E, F; Article 401 (June 26, 2008) (FERC Project No. 935 Licensing Order).</w:t>
      </w:r>
    </w:p>
  </w:footnote>
  <w:footnote w:id="25">
    <w:p w:rsidR="005076B4" w:rsidRPr="007A20BB" w:rsidRDefault="005076B4">
      <w:pPr>
        <w:pStyle w:val="FootnoteText"/>
      </w:pPr>
      <w:r>
        <w:rPr>
          <w:rStyle w:val="FootnoteReference"/>
        </w:rPr>
        <w:footnoteRef/>
      </w:r>
      <w:r>
        <w:t xml:space="preserve"> </w:t>
      </w:r>
      <w:r>
        <w:rPr>
          <w:i/>
        </w:rPr>
        <w:t>See, e.g., id.,</w:t>
      </w:r>
      <w:r>
        <w:t xml:space="preserve"> </w:t>
      </w:r>
      <w:r w:rsidRPr="007A20BB">
        <w:t>¶</w:t>
      </w:r>
      <w:r>
        <w:t xml:space="preserve"> 22.</w:t>
      </w:r>
    </w:p>
  </w:footnote>
  <w:footnote w:id="26">
    <w:p w:rsidR="005076B4" w:rsidRPr="00AB6F9C" w:rsidRDefault="005076B4" w:rsidP="00921D76">
      <w:pPr>
        <w:pStyle w:val="FootnoteText"/>
        <w:jc w:val="left"/>
      </w:pPr>
      <w:r>
        <w:rPr>
          <w:rStyle w:val="FootnoteReference"/>
        </w:rPr>
        <w:footnoteRef/>
      </w:r>
      <w:r>
        <w:t xml:space="preserve"> </w:t>
      </w:r>
      <w:r>
        <w:rPr>
          <w:i/>
        </w:rPr>
        <w:t>In the Matter of PacifiCorp d/b/a Pacific Power Request for a General Rate Revision</w:t>
      </w:r>
      <w:r>
        <w:t>, Docket No. UE 246, Order No. 12-493 at 5-9 (December 20, 2012), Order No. 13-195 at 1 (May 23, 2013)</w:t>
      </w:r>
      <w:r w:rsidRPr="0058074B">
        <w:t xml:space="preserve"> </w:t>
      </w:r>
      <w:r>
        <w:t>(Public Utility Commission of Oregon).</w:t>
      </w:r>
    </w:p>
  </w:footnote>
  <w:footnote w:id="27">
    <w:p w:rsidR="005076B4" w:rsidRDefault="005076B4" w:rsidP="00B13D15">
      <w:pPr>
        <w:pStyle w:val="FootnoteText"/>
        <w:jc w:val="left"/>
      </w:pPr>
      <w:r>
        <w:rPr>
          <w:rStyle w:val="FootnoteReference"/>
        </w:rPr>
        <w:footnoteRef/>
      </w:r>
      <w:r>
        <w:t xml:space="preserve"> Costs and balances for the Jim Bridger generating plant and associated transmission are allocated using the Jim Bridger Generation (JBG) factor.  This factor is a modification of the CAGW factor.  The modifications to the CAGW factor discussed above are also applied to the JBG factor.  </w:t>
      </w:r>
    </w:p>
  </w:footnote>
  <w:footnote w:id="28">
    <w:p w:rsidR="005076B4" w:rsidRDefault="005076B4">
      <w:pPr>
        <w:pStyle w:val="FootnoteText"/>
      </w:pPr>
      <w:r>
        <w:rPr>
          <w:rStyle w:val="FootnoteReference"/>
        </w:rPr>
        <w:footnoteRef/>
      </w:r>
      <w:r>
        <w:t xml:space="preserve"> Exhibit No.___(JRD-1T) at pages 11-13.</w:t>
      </w:r>
    </w:p>
  </w:footnote>
  <w:footnote w:id="29">
    <w:p w:rsidR="005076B4" w:rsidRDefault="005076B4" w:rsidP="00B13D15">
      <w:pPr>
        <w:pStyle w:val="FootnoteText"/>
        <w:tabs>
          <w:tab w:val="left" w:pos="4850"/>
        </w:tabs>
      </w:pPr>
      <w:r>
        <w:rPr>
          <w:rStyle w:val="FootnoteReference"/>
        </w:rPr>
        <w:footnoteRef/>
      </w:r>
      <w:r>
        <w:t xml:space="preserve"> Exhibit No.___(JRD-1T) at page 2.</w:t>
      </w:r>
      <w:r>
        <w:tab/>
      </w:r>
    </w:p>
  </w:footnote>
  <w:footnote w:id="30">
    <w:p w:rsidR="005076B4" w:rsidRDefault="005076B4">
      <w:pPr>
        <w:pStyle w:val="FootnoteText"/>
      </w:pPr>
      <w:r>
        <w:rPr>
          <w:rStyle w:val="FootnoteReference"/>
        </w:rPr>
        <w:footnoteRef/>
      </w:r>
      <w:r>
        <w:t xml:space="preserve"> Exhibit No.___(BAE-1T) at pages 5-8.</w:t>
      </w:r>
    </w:p>
  </w:footnote>
  <w:footnote w:id="31">
    <w:p w:rsidR="005076B4" w:rsidRDefault="005076B4" w:rsidP="00CD0C9F">
      <w:pPr>
        <w:pStyle w:val="FootnoteText"/>
        <w:jc w:val="left"/>
      </w:pPr>
      <w:r>
        <w:rPr>
          <w:rStyle w:val="FootnoteReference"/>
        </w:rPr>
        <w:footnoteRef/>
      </w:r>
      <w:r w:rsidRPr="0018315F">
        <w:t xml:space="preserve"> </w:t>
      </w:r>
      <w:r w:rsidRPr="00B13D15">
        <w:rPr>
          <w:i/>
        </w:rPr>
        <w:t>Wash. Utils. &amp; Transp. Comm’n</w:t>
      </w:r>
      <w:r w:rsidRPr="0018315F">
        <w:rPr>
          <w:i/>
        </w:rPr>
        <w:t xml:space="preserve"> v. Puget Sound Energy, Inc.</w:t>
      </w:r>
      <w:r w:rsidRPr="0018315F">
        <w:t>, Docket</w:t>
      </w:r>
      <w:r>
        <w:t xml:space="preserve">s </w:t>
      </w:r>
      <w:r w:rsidRPr="0018315F">
        <w:t>UE-121697 and UG-121705</w:t>
      </w:r>
      <w:r>
        <w:t>,</w:t>
      </w:r>
      <w:r w:rsidRPr="0018315F">
        <w:t xml:space="preserve"> and Dockets UE-130137 and U</w:t>
      </w:r>
      <w:r>
        <w:t>G-130138, Testimony of Thomas E. Schooley, Exhibit No.___(TES-4T) at page 6</w:t>
      </w:r>
      <w:r w:rsidRPr="0018315F">
        <w:t>.</w:t>
      </w:r>
    </w:p>
  </w:footnote>
  <w:footnote w:id="32">
    <w:p w:rsidR="005076B4" w:rsidRDefault="005076B4" w:rsidP="00CD0C9F">
      <w:pPr>
        <w:pStyle w:val="FootnoteText"/>
        <w:jc w:val="left"/>
      </w:pPr>
      <w:r>
        <w:rPr>
          <w:rStyle w:val="FootnoteReference"/>
        </w:rPr>
        <w:footnoteRef/>
      </w:r>
      <w:r>
        <w:t xml:space="preserve"> </w:t>
      </w:r>
      <w:r w:rsidRPr="007D7ED6">
        <w:rPr>
          <w:i/>
        </w:rPr>
        <w:t>Wash. Utils. &amp; Transp. Comm’n</w:t>
      </w:r>
      <w:r w:rsidRPr="0018315F">
        <w:rPr>
          <w:i/>
        </w:rPr>
        <w:t xml:space="preserve"> v. Avista Corp</w:t>
      </w:r>
      <w:r>
        <w:rPr>
          <w:i/>
        </w:rPr>
        <w:t>.</w:t>
      </w:r>
      <w:r w:rsidRPr="0018315F">
        <w:rPr>
          <w:i/>
        </w:rPr>
        <w:t xml:space="preserve"> d/b/a/ Avista Utilities</w:t>
      </w:r>
      <w:r>
        <w:rPr>
          <w:i/>
        </w:rPr>
        <w:t>,</w:t>
      </w:r>
      <w:r w:rsidRPr="007D7ED6">
        <w:t xml:space="preserve"> </w:t>
      </w:r>
      <w:r w:rsidRPr="0018315F">
        <w:t>Docket</w:t>
      </w:r>
      <w:r>
        <w:t xml:space="preserve">s </w:t>
      </w:r>
      <w:r w:rsidRPr="0018315F">
        <w:t>UE-120436 and UG-120437</w:t>
      </w:r>
      <w:r>
        <w:t>,</w:t>
      </w:r>
      <w:r w:rsidRPr="0018315F">
        <w:t xml:space="preserve"> Dockets UE-110876 and UG-110877</w:t>
      </w:r>
      <w:r w:rsidRPr="0018315F">
        <w:rPr>
          <w:i/>
        </w:rPr>
        <w:t xml:space="preserve">, </w:t>
      </w:r>
      <w:r w:rsidRPr="00CC4057">
        <w:t xml:space="preserve">Testimony of Kathryn H. </w:t>
      </w:r>
      <w:r>
        <w:t>Breda, Exhibit No.___(KHB-1CT) at page 8.</w:t>
      </w:r>
    </w:p>
  </w:footnote>
  <w:footnote w:id="33">
    <w:p w:rsidR="005076B4" w:rsidRDefault="005076B4">
      <w:pPr>
        <w:pStyle w:val="FootnoteText"/>
      </w:pPr>
      <w:r>
        <w:rPr>
          <w:rStyle w:val="FootnoteReference"/>
        </w:rPr>
        <w:footnoteRef/>
      </w:r>
      <w:r>
        <w:t xml:space="preserve"> A copy </w:t>
      </w:r>
      <w:r w:rsidR="00CE66AE">
        <w:t xml:space="preserve">of the Company’s written response to 208 is attached as Exhibit No.___(SRM-9).  The complete attachments provided in the Company’s response to the data request are voluminous and are included in Mr. McDougal’s workpapers.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72" w:rsidRDefault="00E70E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B4" w:rsidRDefault="005076B4" w:rsidP="00422C1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72" w:rsidRDefault="00E70E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E24"/>
    <w:multiLevelType w:val="hybridMultilevel"/>
    <w:tmpl w:val="430A6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82D0747"/>
    <w:multiLevelType w:val="hybridMultilevel"/>
    <w:tmpl w:val="A3A81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6">
    <w:nsid w:val="653863DC"/>
    <w:multiLevelType w:val="hybridMultilevel"/>
    <w:tmpl w:val="F68E26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DF7404"/>
    <w:multiLevelType w:val="hybridMultilevel"/>
    <w:tmpl w:val="FE92ABF0"/>
    <w:lvl w:ilvl="0" w:tplc="5C78F0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E450AE2"/>
    <w:multiLevelType w:val="hybridMultilevel"/>
    <w:tmpl w:val="5C2A1AA8"/>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2"/>
  </w:num>
  <w:num w:numId="2">
    <w:abstractNumId w:val="1"/>
  </w:num>
  <w:num w:numId="3">
    <w:abstractNumId w:val="7"/>
  </w:num>
  <w:num w:numId="4">
    <w:abstractNumId w:val="3"/>
  </w:num>
  <w:num w:numId="5">
    <w:abstractNumId w:val="5"/>
  </w:num>
  <w:num w:numId="6">
    <w:abstractNumId w:val="9"/>
  </w:num>
  <w:num w:numId="7">
    <w:abstractNumId w:val="8"/>
  </w:num>
  <w:num w:numId="8">
    <w:abstractNumId w:val="0"/>
  </w:num>
  <w:num w:numId="9">
    <w:abstractNumId w:val="4"/>
  </w:num>
  <w:num w:numId="1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D97BED"/>
    <w:rsid w:val="00000B97"/>
    <w:rsid w:val="00000CA7"/>
    <w:rsid w:val="00000F08"/>
    <w:rsid w:val="00000FEC"/>
    <w:rsid w:val="00001309"/>
    <w:rsid w:val="00001380"/>
    <w:rsid w:val="00002246"/>
    <w:rsid w:val="0000367F"/>
    <w:rsid w:val="000045C5"/>
    <w:rsid w:val="000051B8"/>
    <w:rsid w:val="00005E3D"/>
    <w:rsid w:val="000061DA"/>
    <w:rsid w:val="00006901"/>
    <w:rsid w:val="00006CE5"/>
    <w:rsid w:val="00010042"/>
    <w:rsid w:val="00011270"/>
    <w:rsid w:val="00011C71"/>
    <w:rsid w:val="00012C06"/>
    <w:rsid w:val="00012DA5"/>
    <w:rsid w:val="000133C4"/>
    <w:rsid w:val="000137A9"/>
    <w:rsid w:val="0001487B"/>
    <w:rsid w:val="00014C14"/>
    <w:rsid w:val="000160CD"/>
    <w:rsid w:val="00017D99"/>
    <w:rsid w:val="00017EFF"/>
    <w:rsid w:val="00020B67"/>
    <w:rsid w:val="00021457"/>
    <w:rsid w:val="000216A7"/>
    <w:rsid w:val="000232B7"/>
    <w:rsid w:val="00023AE4"/>
    <w:rsid w:val="00023CCA"/>
    <w:rsid w:val="00024672"/>
    <w:rsid w:val="0002692B"/>
    <w:rsid w:val="00026EE2"/>
    <w:rsid w:val="000272A1"/>
    <w:rsid w:val="000275B7"/>
    <w:rsid w:val="00027EA3"/>
    <w:rsid w:val="00027F29"/>
    <w:rsid w:val="0003006A"/>
    <w:rsid w:val="0003142F"/>
    <w:rsid w:val="00031EAE"/>
    <w:rsid w:val="000339D1"/>
    <w:rsid w:val="00034979"/>
    <w:rsid w:val="000403A8"/>
    <w:rsid w:val="00042F40"/>
    <w:rsid w:val="00044931"/>
    <w:rsid w:val="0005017E"/>
    <w:rsid w:val="00051A38"/>
    <w:rsid w:val="00051D0C"/>
    <w:rsid w:val="00052601"/>
    <w:rsid w:val="00053B12"/>
    <w:rsid w:val="00053E88"/>
    <w:rsid w:val="00054E66"/>
    <w:rsid w:val="00054ECC"/>
    <w:rsid w:val="00056554"/>
    <w:rsid w:val="00056EC9"/>
    <w:rsid w:val="000576E2"/>
    <w:rsid w:val="000579A1"/>
    <w:rsid w:val="000604C1"/>
    <w:rsid w:val="000612FD"/>
    <w:rsid w:val="00063D8B"/>
    <w:rsid w:val="0006417F"/>
    <w:rsid w:val="000641A2"/>
    <w:rsid w:val="00064289"/>
    <w:rsid w:val="000642A0"/>
    <w:rsid w:val="000647DF"/>
    <w:rsid w:val="00066E9D"/>
    <w:rsid w:val="00067C4E"/>
    <w:rsid w:val="0007097D"/>
    <w:rsid w:val="00070C89"/>
    <w:rsid w:val="000730C1"/>
    <w:rsid w:val="000731E2"/>
    <w:rsid w:val="00073FF0"/>
    <w:rsid w:val="0007404D"/>
    <w:rsid w:val="00076168"/>
    <w:rsid w:val="0007675C"/>
    <w:rsid w:val="00077EA3"/>
    <w:rsid w:val="000808BA"/>
    <w:rsid w:val="000817CE"/>
    <w:rsid w:val="00081991"/>
    <w:rsid w:val="000831F1"/>
    <w:rsid w:val="00084F13"/>
    <w:rsid w:val="000858D3"/>
    <w:rsid w:val="00086846"/>
    <w:rsid w:val="0008721E"/>
    <w:rsid w:val="00087466"/>
    <w:rsid w:val="00091B1B"/>
    <w:rsid w:val="00091EF7"/>
    <w:rsid w:val="00093142"/>
    <w:rsid w:val="00093B5B"/>
    <w:rsid w:val="00093C59"/>
    <w:rsid w:val="0009636F"/>
    <w:rsid w:val="000978BB"/>
    <w:rsid w:val="000A059F"/>
    <w:rsid w:val="000A09F1"/>
    <w:rsid w:val="000A126D"/>
    <w:rsid w:val="000A49D1"/>
    <w:rsid w:val="000A4BD9"/>
    <w:rsid w:val="000A5264"/>
    <w:rsid w:val="000A7191"/>
    <w:rsid w:val="000A759E"/>
    <w:rsid w:val="000B01FA"/>
    <w:rsid w:val="000B0596"/>
    <w:rsid w:val="000B0A23"/>
    <w:rsid w:val="000B0FE8"/>
    <w:rsid w:val="000B1623"/>
    <w:rsid w:val="000B184C"/>
    <w:rsid w:val="000B2679"/>
    <w:rsid w:val="000B43CC"/>
    <w:rsid w:val="000B5540"/>
    <w:rsid w:val="000B6B5D"/>
    <w:rsid w:val="000B7905"/>
    <w:rsid w:val="000C08C0"/>
    <w:rsid w:val="000C08CA"/>
    <w:rsid w:val="000C096A"/>
    <w:rsid w:val="000C3CE2"/>
    <w:rsid w:val="000C492D"/>
    <w:rsid w:val="000C4959"/>
    <w:rsid w:val="000C53BF"/>
    <w:rsid w:val="000C6AAC"/>
    <w:rsid w:val="000D058F"/>
    <w:rsid w:val="000D09A2"/>
    <w:rsid w:val="000D1C7D"/>
    <w:rsid w:val="000D3C05"/>
    <w:rsid w:val="000D49B6"/>
    <w:rsid w:val="000D6957"/>
    <w:rsid w:val="000D7282"/>
    <w:rsid w:val="000E112D"/>
    <w:rsid w:val="000E189A"/>
    <w:rsid w:val="000E413A"/>
    <w:rsid w:val="000E442A"/>
    <w:rsid w:val="000F0627"/>
    <w:rsid w:val="000F1156"/>
    <w:rsid w:val="000F20CC"/>
    <w:rsid w:val="000F3C4E"/>
    <w:rsid w:val="000F3CD3"/>
    <w:rsid w:val="000F44A0"/>
    <w:rsid w:val="000F59EA"/>
    <w:rsid w:val="001004B6"/>
    <w:rsid w:val="00101C71"/>
    <w:rsid w:val="00103512"/>
    <w:rsid w:val="00104427"/>
    <w:rsid w:val="00105EBF"/>
    <w:rsid w:val="0010676F"/>
    <w:rsid w:val="001078BF"/>
    <w:rsid w:val="00107C02"/>
    <w:rsid w:val="00111679"/>
    <w:rsid w:val="0011438B"/>
    <w:rsid w:val="0011512B"/>
    <w:rsid w:val="0011579F"/>
    <w:rsid w:val="00116594"/>
    <w:rsid w:val="00116A61"/>
    <w:rsid w:val="001229D5"/>
    <w:rsid w:val="00124669"/>
    <w:rsid w:val="00126E87"/>
    <w:rsid w:val="001301B0"/>
    <w:rsid w:val="0013033E"/>
    <w:rsid w:val="00130868"/>
    <w:rsid w:val="00130B17"/>
    <w:rsid w:val="001316F2"/>
    <w:rsid w:val="00131D77"/>
    <w:rsid w:val="001338F4"/>
    <w:rsid w:val="00133C14"/>
    <w:rsid w:val="001350A8"/>
    <w:rsid w:val="00135851"/>
    <w:rsid w:val="00135BA2"/>
    <w:rsid w:val="00136D2F"/>
    <w:rsid w:val="00136FF4"/>
    <w:rsid w:val="00141071"/>
    <w:rsid w:val="00141D12"/>
    <w:rsid w:val="00141D3D"/>
    <w:rsid w:val="00142253"/>
    <w:rsid w:val="0014281F"/>
    <w:rsid w:val="001428B4"/>
    <w:rsid w:val="0014369E"/>
    <w:rsid w:val="00144108"/>
    <w:rsid w:val="00144D82"/>
    <w:rsid w:val="00144DC3"/>
    <w:rsid w:val="001459F8"/>
    <w:rsid w:val="001466BA"/>
    <w:rsid w:val="001473A6"/>
    <w:rsid w:val="001473D7"/>
    <w:rsid w:val="0015007D"/>
    <w:rsid w:val="00150CF3"/>
    <w:rsid w:val="00150D52"/>
    <w:rsid w:val="00153BB5"/>
    <w:rsid w:val="00154287"/>
    <w:rsid w:val="00154BA6"/>
    <w:rsid w:val="0015516F"/>
    <w:rsid w:val="0016090F"/>
    <w:rsid w:val="00160A98"/>
    <w:rsid w:val="0016195B"/>
    <w:rsid w:val="00161BB2"/>
    <w:rsid w:val="00162C3E"/>
    <w:rsid w:val="0016334B"/>
    <w:rsid w:val="00164054"/>
    <w:rsid w:val="0016495F"/>
    <w:rsid w:val="001652DD"/>
    <w:rsid w:val="001653DD"/>
    <w:rsid w:val="00165A56"/>
    <w:rsid w:val="00166DEA"/>
    <w:rsid w:val="0016712B"/>
    <w:rsid w:val="001701E5"/>
    <w:rsid w:val="00173377"/>
    <w:rsid w:val="001734C3"/>
    <w:rsid w:val="00173502"/>
    <w:rsid w:val="001759AC"/>
    <w:rsid w:val="00182488"/>
    <w:rsid w:val="0018388E"/>
    <w:rsid w:val="00183A00"/>
    <w:rsid w:val="00183EE2"/>
    <w:rsid w:val="001854A6"/>
    <w:rsid w:val="001862DD"/>
    <w:rsid w:val="00190C40"/>
    <w:rsid w:val="001913B3"/>
    <w:rsid w:val="0019379D"/>
    <w:rsid w:val="00194042"/>
    <w:rsid w:val="00194DD9"/>
    <w:rsid w:val="00196E2F"/>
    <w:rsid w:val="001A0351"/>
    <w:rsid w:val="001A3907"/>
    <w:rsid w:val="001A4911"/>
    <w:rsid w:val="001A506B"/>
    <w:rsid w:val="001A54C4"/>
    <w:rsid w:val="001A5D0F"/>
    <w:rsid w:val="001A75F8"/>
    <w:rsid w:val="001A7E97"/>
    <w:rsid w:val="001B0809"/>
    <w:rsid w:val="001B1987"/>
    <w:rsid w:val="001B1B1B"/>
    <w:rsid w:val="001B27C5"/>
    <w:rsid w:val="001B286B"/>
    <w:rsid w:val="001B540B"/>
    <w:rsid w:val="001B5D0D"/>
    <w:rsid w:val="001B5FFD"/>
    <w:rsid w:val="001B707E"/>
    <w:rsid w:val="001C014F"/>
    <w:rsid w:val="001C1CE5"/>
    <w:rsid w:val="001C4E25"/>
    <w:rsid w:val="001D0093"/>
    <w:rsid w:val="001D06B6"/>
    <w:rsid w:val="001D45E2"/>
    <w:rsid w:val="001D53CE"/>
    <w:rsid w:val="001D5443"/>
    <w:rsid w:val="001D6B12"/>
    <w:rsid w:val="001D73D5"/>
    <w:rsid w:val="001E2E3C"/>
    <w:rsid w:val="001E379A"/>
    <w:rsid w:val="001E5A2D"/>
    <w:rsid w:val="001E641D"/>
    <w:rsid w:val="001F07E7"/>
    <w:rsid w:val="001F0DB7"/>
    <w:rsid w:val="001F1275"/>
    <w:rsid w:val="001F5E04"/>
    <w:rsid w:val="001F642A"/>
    <w:rsid w:val="001F6794"/>
    <w:rsid w:val="002005A9"/>
    <w:rsid w:val="00200EB7"/>
    <w:rsid w:val="00203ABB"/>
    <w:rsid w:val="00204BAE"/>
    <w:rsid w:val="00205503"/>
    <w:rsid w:val="002079BD"/>
    <w:rsid w:val="00211180"/>
    <w:rsid w:val="002128A6"/>
    <w:rsid w:val="00213C8A"/>
    <w:rsid w:val="00215570"/>
    <w:rsid w:val="00215FD3"/>
    <w:rsid w:val="00217819"/>
    <w:rsid w:val="00217A7B"/>
    <w:rsid w:val="002225BA"/>
    <w:rsid w:val="002228F2"/>
    <w:rsid w:val="002232C7"/>
    <w:rsid w:val="00224D16"/>
    <w:rsid w:val="002253E0"/>
    <w:rsid w:val="00227B9D"/>
    <w:rsid w:val="00230765"/>
    <w:rsid w:val="00230782"/>
    <w:rsid w:val="0023147E"/>
    <w:rsid w:val="0023233B"/>
    <w:rsid w:val="00232E26"/>
    <w:rsid w:val="002335A8"/>
    <w:rsid w:val="0023401F"/>
    <w:rsid w:val="00234E26"/>
    <w:rsid w:val="002352A6"/>
    <w:rsid w:val="00235E1F"/>
    <w:rsid w:val="0023710A"/>
    <w:rsid w:val="00237FBC"/>
    <w:rsid w:val="00241513"/>
    <w:rsid w:val="00242E2F"/>
    <w:rsid w:val="00243879"/>
    <w:rsid w:val="0024549C"/>
    <w:rsid w:val="00246447"/>
    <w:rsid w:val="002467DD"/>
    <w:rsid w:val="00247009"/>
    <w:rsid w:val="00250D66"/>
    <w:rsid w:val="00251A3C"/>
    <w:rsid w:val="002557D9"/>
    <w:rsid w:val="002566EE"/>
    <w:rsid w:val="00256C4D"/>
    <w:rsid w:val="00256C54"/>
    <w:rsid w:val="00256D86"/>
    <w:rsid w:val="0026092C"/>
    <w:rsid w:val="00260BBA"/>
    <w:rsid w:val="00261A6D"/>
    <w:rsid w:val="00261DA1"/>
    <w:rsid w:val="002656B0"/>
    <w:rsid w:val="00265ABF"/>
    <w:rsid w:val="00265E21"/>
    <w:rsid w:val="002708FE"/>
    <w:rsid w:val="00271C4A"/>
    <w:rsid w:val="002723E4"/>
    <w:rsid w:val="00272CE1"/>
    <w:rsid w:val="00274739"/>
    <w:rsid w:val="00274EAF"/>
    <w:rsid w:val="002755A6"/>
    <w:rsid w:val="00276792"/>
    <w:rsid w:val="00277B0C"/>
    <w:rsid w:val="00281E3F"/>
    <w:rsid w:val="0028408C"/>
    <w:rsid w:val="00284828"/>
    <w:rsid w:val="00285A58"/>
    <w:rsid w:val="002865EA"/>
    <w:rsid w:val="00291CE6"/>
    <w:rsid w:val="00295B5F"/>
    <w:rsid w:val="00295D1D"/>
    <w:rsid w:val="002963F2"/>
    <w:rsid w:val="002A1165"/>
    <w:rsid w:val="002A1E06"/>
    <w:rsid w:val="002A2104"/>
    <w:rsid w:val="002A2C0B"/>
    <w:rsid w:val="002A371C"/>
    <w:rsid w:val="002A3BB1"/>
    <w:rsid w:val="002A4CD8"/>
    <w:rsid w:val="002A7B2B"/>
    <w:rsid w:val="002B0A21"/>
    <w:rsid w:val="002B1E51"/>
    <w:rsid w:val="002B3095"/>
    <w:rsid w:val="002B50A0"/>
    <w:rsid w:val="002B5650"/>
    <w:rsid w:val="002B7943"/>
    <w:rsid w:val="002B79FC"/>
    <w:rsid w:val="002B7A77"/>
    <w:rsid w:val="002C28E6"/>
    <w:rsid w:val="002C4EF6"/>
    <w:rsid w:val="002C53EC"/>
    <w:rsid w:val="002D1CF0"/>
    <w:rsid w:val="002D2DBB"/>
    <w:rsid w:val="002D3F4F"/>
    <w:rsid w:val="002D410A"/>
    <w:rsid w:val="002D420E"/>
    <w:rsid w:val="002D4FF0"/>
    <w:rsid w:val="002D594D"/>
    <w:rsid w:val="002E0911"/>
    <w:rsid w:val="002E0ED6"/>
    <w:rsid w:val="002E152F"/>
    <w:rsid w:val="002E1F07"/>
    <w:rsid w:val="002E3322"/>
    <w:rsid w:val="002E55FC"/>
    <w:rsid w:val="002E5966"/>
    <w:rsid w:val="002E7D3D"/>
    <w:rsid w:val="002F1FF5"/>
    <w:rsid w:val="002F305D"/>
    <w:rsid w:val="002F337F"/>
    <w:rsid w:val="002F3A67"/>
    <w:rsid w:val="002F5350"/>
    <w:rsid w:val="002F5FA9"/>
    <w:rsid w:val="002F668B"/>
    <w:rsid w:val="002F6EBB"/>
    <w:rsid w:val="003004F9"/>
    <w:rsid w:val="00300E4D"/>
    <w:rsid w:val="003042C2"/>
    <w:rsid w:val="00305566"/>
    <w:rsid w:val="003062C0"/>
    <w:rsid w:val="0030634F"/>
    <w:rsid w:val="003071E8"/>
    <w:rsid w:val="00307B43"/>
    <w:rsid w:val="00307B8B"/>
    <w:rsid w:val="00310AF5"/>
    <w:rsid w:val="00313FEC"/>
    <w:rsid w:val="00314277"/>
    <w:rsid w:val="00315543"/>
    <w:rsid w:val="003169D9"/>
    <w:rsid w:val="0032045B"/>
    <w:rsid w:val="00320C8D"/>
    <w:rsid w:val="003219E5"/>
    <w:rsid w:val="0032296F"/>
    <w:rsid w:val="003229AC"/>
    <w:rsid w:val="00322B73"/>
    <w:rsid w:val="0032453A"/>
    <w:rsid w:val="003258BF"/>
    <w:rsid w:val="00325D6B"/>
    <w:rsid w:val="003267CD"/>
    <w:rsid w:val="00326BE2"/>
    <w:rsid w:val="00331481"/>
    <w:rsid w:val="00332389"/>
    <w:rsid w:val="00334533"/>
    <w:rsid w:val="00334E51"/>
    <w:rsid w:val="003351CB"/>
    <w:rsid w:val="00336DD0"/>
    <w:rsid w:val="00337AF5"/>
    <w:rsid w:val="00340AAA"/>
    <w:rsid w:val="00340CAA"/>
    <w:rsid w:val="003411D9"/>
    <w:rsid w:val="003414F4"/>
    <w:rsid w:val="0034271D"/>
    <w:rsid w:val="00342C9A"/>
    <w:rsid w:val="00343793"/>
    <w:rsid w:val="0034432B"/>
    <w:rsid w:val="00344A1A"/>
    <w:rsid w:val="00344AB9"/>
    <w:rsid w:val="003465B9"/>
    <w:rsid w:val="00350162"/>
    <w:rsid w:val="00350803"/>
    <w:rsid w:val="00352074"/>
    <w:rsid w:val="00355593"/>
    <w:rsid w:val="00360161"/>
    <w:rsid w:val="00363366"/>
    <w:rsid w:val="00363AC7"/>
    <w:rsid w:val="003710B8"/>
    <w:rsid w:val="003722B6"/>
    <w:rsid w:val="00373C60"/>
    <w:rsid w:val="00376287"/>
    <w:rsid w:val="00376FFA"/>
    <w:rsid w:val="0037737D"/>
    <w:rsid w:val="00380F58"/>
    <w:rsid w:val="00382381"/>
    <w:rsid w:val="003845F5"/>
    <w:rsid w:val="00384974"/>
    <w:rsid w:val="003853FB"/>
    <w:rsid w:val="003866AE"/>
    <w:rsid w:val="00386A12"/>
    <w:rsid w:val="00386B2E"/>
    <w:rsid w:val="003879BC"/>
    <w:rsid w:val="00387CBA"/>
    <w:rsid w:val="003903DF"/>
    <w:rsid w:val="00390A17"/>
    <w:rsid w:val="003916B2"/>
    <w:rsid w:val="00391E6A"/>
    <w:rsid w:val="00392846"/>
    <w:rsid w:val="0039401A"/>
    <w:rsid w:val="00394AC5"/>
    <w:rsid w:val="00394F3B"/>
    <w:rsid w:val="003965CB"/>
    <w:rsid w:val="003971E5"/>
    <w:rsid w:val="003A006C"/>
    <w:rsid w:val="003A1B53"/>
    <w:rsid w:val="003A3A99"/>
    <w:rsid w:val="003A4521"/>
    <w:rsid w:val="003A61A6"/>
    <w:rsid w:val="003A67F6"/>
    <w:rsid w:val="003B0C80"/>
    <w:rsid w:val="003B253A"/>
    <w:rsid w:val="003B2B11"/>
    <w:rsid w:val="003B2C76"/>
    <w:rsid w:val="003B37C8"/>
    <w:rsid w:val="003B456E"/>
    <w:rsid w:val="003B49E3"/>
    <w:rsid w:val="003B558F"/>
    <w:rsid w:val="003B678C"/>
    <w:rsid w:val="003C0B33"/>
    <w:rsid w:val="003C0CDB"/>
    <w:rsid w:val="003C203D"/>
    <w:rsid w:val="003C2F98"/>
    <w:rsid w:val="003C2FB3"/>
    <w:rsid w:val="003C3360"/>
    <w:rsid w:val="003C415D"/>
    <w:rsid w:val="003C4AB6"/>
    <w:rsid w:val="003C4B4B"/>
    <w:rsid w:val="003C530C"/>
    <w:rsid w:val="003D0827"/>
    <w:rsid w:val="003D17E5"/>
    <w:rsid w:val="003D1BB8"/>
    <w:rsid w:val="003D2EC1"/>
    <w:rsid w:val="003D3608"/>
    <w:rsid w:val="003D3AF1"/>
    <w:rsid w:val="003D48CE"/>
    <w:rsid w:val="003D517E"/>
    <w:rsid w:val="003D6966"/>
    <w:rsid w:val="003D7FE1"/>
    <w:rsid w:val="003E14B8"/>
    <w:rsid w:val="003E4B7E"/>
    <w:rsid w:val="003E4F6A"/>
    <w:rsid w:val="003E4F81"/>
    <w:rsid w:val="003F03D4"/>
    <w:rsid w:val="003F1902"/>
    <w:rsid w:val="003F38D4"/>
    <w:rsid w:val="003F484E"/>
    <w:rsid w:val="003F5EF3"/>
    <w:rsid w:val="004002A9"/>
    <w:rsid w:val="00403B48"/>
    <w:rsid w:val="00404015"/>
    <w:rsid w:val="00404D64"/>
    <w:rsid w:val="004057CE"/>
    <w:rsid w:val="00405B31"/>
    <w:rsid w:val="00405F1F"/>
    <w:rsid w:val="0040619F"/>
    <w:rsid w:val="004077D0"/>
    <w:rsid w:val="00411124"/>
    <w:rsid w:val="00411232"/>
    <w:rsid w:val="0041131D"/>
    <w:rsid w:val="004122AD"/>
    <w:rsid w:val="00412E2E"/>
    <w:rsid w:val="0041358B"/>
    <w:rsid w:val="00415814"/>
    <w:rsid w:val="0041632A"/>
    <w:rsid w:val="00417DDE"/>
    <w:rsid w:val="00417E79"/>
    <w:rsid w:val="0042103E"/>
    <w:rsid w:val="004213C1"/>
    <w:rsid w:val="00422C1E"/>
    <w:rsid w:val="00423399"/>
    <w:rsid w:val="00423EDF"/>
    <w:rsid w:val="00424709"/>
    <w:rsid w:val="004267A5"/>
    <w:rsid w:val="004269A1"/>
    <w:rsid w:val="00427402"/>
    <w:rsid w:val="00430148"/>
    <w:rsid w:val="00430F20"/>
    <w:rsid w:val="00431206"/>
    <w:rsid w:val="00431B5C"/>
    <w:rsid w:val="004338C6"/>
    <w:rsid w:val="00433A9E"/>
    <w:rsid w:val="00434C77"/>
    <w:rsid w:val="0043556F"/>
    <w:rsid w:val="00435762"/>
    <w:rsid w:val="0043593A"/>
    <w:rsid w:val="00436808"/>
    <w:rsid w:val="00436F27"/>
    <w:rsid w:val="00437853"/>
    <w:rsid w:val="004405B0"/>
    <w:rsid w:val="00442406"/>
    <w:rsid w:val="00442529"/>
    <w:rsid w:val="00443C88"/>
    <w:rsid w:val="0044464C"/>
    <w:rsid w:val="004475AA"/>
    <w:rsid w:val="00447AEF"/>
    <w:rsid w:val="004557C5"/>
    <w:rsid w:val="00455FE5"/>
    <w:rsid w:val="00456BE6"/>
    <w:rsid w:val="00456FEF"/>
    <w:rsid w:val="004613AD"/>
    <w:rsid w:val="004622C6"/>
    <w:rsid w:val="0046281C"/>
    <w:rsid w:val="00465733"/>
    <w:rsid w:val="00465C1D"/>
    <w:rsid w:val="00466597"/>
    <w:rsid w:val="004672F6"/>
    <w:rsid w:val="004678CF"/>
    <w:rsid w:val="00470581"/>
    <w:rsid w:val="004709EA"/>
    <w:rsid w:val="00471086"/>
    <w:rsid w:val="0047125C"/>
    <w:rsid w:val="00471606"/>
    <w:rsid w:val="00471A11"/>
    <w:rsid w:val="00472F63"/>
    <w:rsid w:val="0047556A"/>
    <w:rsid w:val="004757CC"/>
    <w:rsid w:val="00480889"/>
    <w:rsid w:val="0048153F"/>
    <w:rsid w:val="00481E04"/>
    <w:rsid w:val="00482202"/>
    <w:rsid w:val="00482567"/>
    <w:rsid w:val="00483F0B"/>
    <w:rsid w:val="00484938"/>
    <w:rsid w:val="00485DFE"/>
    <w:rsid w:val="004903AE"/>
    <w:rsid w:val="004905E7"/>
    <w:rsid w:val="00491C17"/>
    <w:rsid w:val="00491D65"/>
    <w:rsid w:val="0049227D"/>
    <w:rsid w:val="0049432C"/>
    <w:rsid w:val="0049541F"/>
    <w:rsid w:val="00496269"/>
    <w:rsid w:val="004A058C"/>
    <w:rsid w:val="004A084B"/>
    <w:rsid w:val="004A08EB"/>
    <w:rsid w:val="004A0C7A"/>
    <w:rsid w:val="004A2642"/>
    <w:rsid w:val="004A698D"/>
    <w:rsid w:val="004A7243"/>
    <w:rsid w:val="004A7748"/>
    <w:rsid w:val="004A7858"/>
    <w:rsid w:val="004B297B"/>
    <w:rsid w:val="004B5C0B"/>
    <w:rsid w:val="004B5F5D"/>
    <w:rsid w:val="004B69CE"/>
    <w:rsid w:val="004B6F88"/>
    <w:rsid w:val="004B78BE"/>
    <w:rsid w:val="004B7B16"/>
    <w:rsid w:val="004B7D52"/>
    <w:rsid w:val="004C0452"/>
    <w:rsid w:val="004C15BA"/>
    <w:rsid w:val="004C271B"/>
    <w:rsid w:val="004C29BF"/>
    <w:rsid w:val="004C4723"/>
    <w:rsid w:val="004C4F40"/>
    <w:rsid w:val="004C6521"/>
    <w:rsid w:val="004C6BA1"/>
    <w:rsid w:val="004C6C88"/>
    <w:rsid w:val="004C719D"/>
    <w:rsid w:val="004D2C0A"/>
    <w:rsid w:val="004D43E0"/>
    <w:rsid w:val="004D50BD"/>
    <w:rsid w:val="004D70B8"/>
    <w:rsid w:val="004D747A"/>
    <w:rsid w:val="004D77EA"/>
    <w:rsid w:val="004E02AB"/>
    <w:rsid w:val="004E370C"/>
    <w:rsid w:val="004E5750"/>
    <w:rsid w:val="004E6FFE"/>
    <w:rsid w:val="004F0738"/>
    <w:rsid w:val="004F4847"/>
    <w:rsid w:val="004F4D0B"/>
    <w:rsid w:val="004F5149"/>
    <w:rsid w:val="004F74A6"/>
    <w:rsid w:val="004F78BB"/>
    <w:rsid w:val="004F7B30"/>
    <w:rsid w:val="00500C92"/>
    <w:rsid w:val="00503156"/>
    <w:rsid w:val="00503D92"/>
    <w:rsid w:val="00504BDD"/>
    <w:rsid w:val="00506F66"/>
    <w:rsid w:val="005076B4"/>
    <w:rsid w:val="00507DAC"/>
    <w:rsid w:val="005105D2"/>
    <w:rsid w:val="00510625"/>
    <w:rsid w:val="00510835"/>
    <w:rsid w:val="0051101A"/>
    <w:rsid w:val="00511D0A"/>
    <w:rsid w:val="00513614"/>
    <w:rsid w:val="00513BC0"/>
    <w:rsid w:val="005142BE"/>
    <w:rsid w:val="0051467A"/>
    <w:rsid w:val="00514B24"/>
    <w:rsid w:val="00515614"/>
    <w:rsid w:val="00516DA7"/>
    <w:rsid w:val="0051787E"/>
    <w:rsid w:val="00521861"/>
    <w:rsid w:val="00523EB7"/>
    <w:rsid w:val="005246B9"/>
    <w:rsid w:val="0052484B"/>
    <w:rsid w:val="00525966"/>
    <w:rsid w:val="005262C8"/>
    <w:rsid w:val="00527743"/>
    <w:rsid w:val="005308EA"/>
    <w:rsid w:val="00530E86"/>
    <w:rsid w:val="00531FF4"/>
    <w:rsid w:val="00533451"/>
    <w:rsid w:val="005339B9"/>
    <w:rsid w:val="005359D3"/>
    <w:rsid w:val="00535A2B"/>
    <w:rsid w:val="00536D87"/>
    <w:rsid w:val="00537710"/>
    <w:rsid w:val="00541C46"/>
    <w:rsid w:val="0054297B"/>
    <w:rsid w:val="00545157"/>
    <w:rsid w:val="005509A8"/>
    <w:rsid w:val="0055139D"/>
    <w:rsid w:val="0055169C"/>
    <w:rsid w:val="0055194E"/>
    <w:rsid w:val="0055320C"/>
    <w:rsid w:val="0055385B"/>
    <w:rsid w:val="00554736"/>
    <w:rsid w:val="005563F6"/>
    <w:rsid w:val="0055698B"/>
    <w:rsid w:val="0055785E"/>
    <w:rsid w:val="005578EC"/>
    <w:rsid w:val="005579B4"/>
    <w:rsid w:val="0056145D"/>
    <w:rsid w:val="005637E9"/>
    <w:rsid w:val="00563FBE"/>
    <w:rsid w:val="00565489"/>
    <w:rsid w:val="00566106"/>
    <w:rsid w:val="00572776"/>
    <w:rsid w:val="00572CA1"/>
    <w:rsid w:val="00574FC1"/>
    <w:rsid w:val="00575532"/>
    <w:rsid w:val="00575849"/>
    <w:rsid w:val="00577DE9"/>
    <w:rsid w:val="005808C7"/>
    <w:rsid w:val="005841B2"/>
    <w:rsid w:val="005844BC"/>
    <w:rsid w:val="005865E6"/>
    <w:rsid w:val="00587AF8"/>
    <w:rsid w:val="00587D8D"/>
    <w:rsid w:val="00590528"/>
    <w:rsid w:val="005907D4"/>
    <w:rsid w:val="005924EB"/>
    <w:rsid w:val="00592F0D"/>
    <w:rsid w:val="00592FD6"/>
    <w:rsid w:val="005932AA"/>
    <w:rsid w:val="0059377C"/>
    <w:rsid w:val="00593A3E"/>
    <w:rsid w:val="00596A77"/>
    <w:rsid w:val="00596E7D"/>
    <w:rsid w:val="005978CF"/>
    <w:rsid w:val="005A0E9D"/>
    <w:rsid w:val="005A131F"/>
    <w:rsid w:val="005A246D"/>
    <w:rsid w:val="005A28D5"/>
    <w:rsid w:val="005A30BA"/>
    <w:rsid w:val="005A391E"/>
    <w:rsid w:val="005A4D06"/>
    <w:rsid w:val="005A723B"/>
    <w:rsid w:val="005A73AA"/>
    <w:rsid w:val="005B35C0"/>
    <w:rsid w:val="005B3B32"/>
    <w:rsid w:val="005B6614"/>
    <w:rsid w:val="005B6D96"/>
    <w:rsid w:val="005B748E"/>
    <w:rsid w:val="005C02EF"/>
    <w:rsid w:val="005C4463"/>
    <w:rsid w:val="005C557D"/>
    <w:rsid w:val="005C6B32"/>
    <w:rsid w:val="005C71E6"/>
    <w:rsid w:val="005D0960"/>
    <w:rsid w:val="005D1DB8"/>
    <w:rsid w:val="005D1EE9"/>
    <w:rsid w:val="005D3759"/>
    <w:rsid w:val="005D39D0"/>
    <w:rsid w:val="005D3ECC"/>
    <w:rsid w:val="005D4307"/>
    <w:rsid w:val="005D7222"/>
    <w:rsid w:val="005D747F"/>
    <w:rsid w:val="005D769E"/>
    <w:rsid w:val="005E0C1C"/>
    <w:rsid w:val="005E2BA9"/>
    <w:rsid w:val="005E4259"/>
    <w:rsid w:val="005E759E"/>
    <w:rsid w:val="005F09E9"/>
    <w:rsid w:val="005F0A75"/>
    <w:rsid w:val="005F0EED"/>
    <w:rsid w:val="005F2A83"/>
    <w:rsid w:val="005F2BA2"/>
    <w:rsid w:val="005F4B42"/>
    <w:rsid w:val="005F5B9A"/>
    <w:rsid w:val="005F60A3"/>
    <w:rsid w:val="006032DF"/>
    <w:rsid w:val="006051C9"/>
    <w:rsid w:val="00605A2E"/>
    <w:rsid w:val="00605F8A"/>
    <w:rsid w:val="006114D0"/>
    <w:rsid w:val="00613DEC"/>
    <w:rsid w:val="0061550F"/>
    <w:rsid w:val="00616C58"/>
    <w:rsid w:val="00617802"/>
    <w:rsid w:val="00620424"/>
    <w:rsid w:val="00622E39"/>
    <w:rsid w:val="00623EB1"/>
    <w:rsid w:val="00625166"/>
    <w:rsid w:val="0063086A"/>
    <w:rsid w:val="006314EA"/>
    <w:rsid w:val="00631647"/>
    <w:rsid w:val="006320B9"/>
    <w:rsid w:val="00634348"/>
    <w:rsid w:val="006352EA"/>
    <w:rsid w:val="00636412"/>
    <w:rsid w:val="006365E9"/>
    <w:rsid w:val="00636F1E"/>
    <w:rsid w:val="00637689"/>
    <w:rsid w:val="00637E2E"/>
    <w:rsid w:val="00640CF1"/>
    <w:rsid w:val="00640E35"/>
    <w:rsid w:val="006419B1"/>
    <w:rsid w:val="00641C04"/>
    <w:rsid w:val="00643255"/>
    <w:rsid w:val="00643638"/>
    <w:rsid w:val="006447F6"/>
    <w:rsid w:val="006478BB"/>
    <w:rsid w:val="006514FE"/>
    <w:rsid w:val="00654FA2"/>
    <w:rsid w:val="00656881"/>
    <w:rsid w:val="00657A11"/>
    <w:rsid w:val="00660C91"/>
    <w:rsid w:val="00661E36"/>
    <w:rsid w:val="00663277"/>
    <w:rsid w:val="00666DA5"/>
    <w:rsid w:val="006678F2"/>
    <w:rsid w:val="00670506"/>
    <w:rsid w:val="006732A9"/>
    <w:rsid w:val="00673621"/>
    <w:rsid w:val="00673684"/>
    <w:rsid w:val="00673CD6"/>
    <w:rsid w:val="006745B4"/>
    <w:rsid w:val="00674C64"/>
    <w:rsid w:val="0067634F"/>
    <w:rsid w:val="0068054F"/>
    <w:rsid w:val="0068215D"/>
    <w:rsid w:val="00683827"/>
    <w:rsid w:val="006844B6"/>
    <w:rsid w:val="00686194"/>
    <w:rsid w:val="00687C84"/>
    <w:rsid w:val="00690BCC"/>
    <w:rsid w:val="00692517"/>
    <w:rsid w:val="006936A9"/>
    <w:rsid w:val="00694ACB"/>
    <w:rsid w:val="00696479"/>
    <w:rsid w:val="0069709F"/>
    <w:rsid w:val="00697890"/>
    <w:rsid w:val="006A0F03"/>
    <w:rsid w:val="006A1B5E"/>
    <w:rsid w:val="006A21F9"/>
    <w:rsid w:val="006A2794"/>
    <w:rsid w:val="006A5F0C"/>
    <w:rsid w:val="006A607A"/>
    <w:rsid w:val="006B1BC3"/>
    <w:rsid w:val="006B3996"/>
    <w:rsid w:val="006B3C90"/>
    <w:rsid w:val="006B4723"/>
    <w:rsid w:val="006B67CB"/>
    <w:rsid w:val="006B7462"/>
    <w:rsid w:val="006C2815"/>
    <w:rsid w:val="006C43AE"/>
    <w:rsid w:val="006C4429"/>
    <w:rsid w:val="006C45C5"/>
    <w:rsid w:val="006C6C52"/>
    <w:rsid w:val="006C7734"/>
    <w:rsid w:val="006C7C7B"/>
    <w:rsid w:val="006D03ED"/>
    <w:rsid w:val="006D0DBC"/>
    <w:rsid w:val="006D13B7"/>
    <w:rsid w:val="006D46B6"/>
    <w:rsid w:val="006D5E03"/>
    <w:rsid w:val="006D64F6"/>
    <w:rsid w:val="006D7D82"/>
    <w:rsid w:val="006E0F94"/>
    <w:rsid w:val="006E1072"/>
    <w:rsid w:val="006E11CE"/>
    <w:rsid w:val="006E6030"/>
    <w:rsid w:val="006E6159"/>
    <w:rsid w:val="006E74C8"/>
    <w:rsid w:val="006F232E"/>
    <w:rsid w:val="006F5F13"/>
    <w:rsid w:val="006F6375"/>
    <w:rsid w:val="00700B78"/>
    <w:rsid w:val="00700F5F"/>
    <w:rsid w:val="0070176F"/>
    <w:rsid w:val="00701F64"/>
    <w:rsid w:val="00702C78"/>
    <w:rsid w:val="00703667"/>
    <w:rsid w:val="00704F21"/>
    <w:rsid w:val="007055AC"/>
    <w:rsid w:val="007061A1"/>
    <w:rsid w:val="00706D42"/>
    <w:rsid w:val="00707B36"/>
    <w:rsid w:val="00710403"/>
    <w:rsid w:val="0071158C"/>
    <w:rsid w:val="00711D2F"/>
    <w:rsid w:val="007126D1"/>
    <w:rsid w:val="00712D5E"/>
    <w:rsid w:val="00717388"/>
    <w:rsid w:val="00717955"/>
    <w:rsid w:val="00717E5C"/>
    <w:rsid w:val="00721941"/>
    <w:rsid w:val="00724AA1"/>
    <w:rsid w:val="00725E04"/>
    <w:rsid w:val="007276F1"/>
    <w:rsid w:val="00732036"/>
    <w:rsid w:val="0073259B"/>
    <w:rsid w:val="0073318E"/>
    <w:rsid w:val="00733862"/>
    <w:rsid w:val="0073713D"/>
    <w:rsid w:val="007400E2"/>
    <w:rsid w:val="007406B1"/>
    <w:rsid w:val="00741CB5"/>
    <w:rsid w:val="00743B4F"/>
    <w:rsid w:val="007450F9"/>
    <w:rsid w:val="007451D1"/>
    <w:rsid w:val="00745310"/>
    <w:rsid w:val="00750948"/>
    <w:rsid w:val="007517BF"/>
    <w:rsid w:val="00757988"/>
    <w:rsid w:val="00757B70"/>
    <w:rsid w:val="007611FB"/>
    <w:rsid w:val="00762124"/>
    <w:rsid w:val="00763769"/>
    <w:rsid w:val="007638E7"/>
    <w:rsid w:val="00763E92"/>
    <w:rsid w:val="00765784"/>
    <w:rsid w:val="00765AA4"/>
    <w:rsid w:val="00766FDD"/>
    <w:rsid w:val="0076794D"/>
    <w:rsid w:val="00770000"/>
    <w:rsid w:val="007703C8"/>
    <w:rsid w:val="00770DA4"/>
    <w:rsid w:val="00772415"/>
    <w:rsid w:val="007734A5"/>
    <w:rsid w:val="007734B4"/>
    <w:rsid w:val="00773608"/>
    <w:rsid w:val="00773EC2"/>
    <w:rsid w:val="007749AC"/>
    <w:rsid w:val="00774EAC"/>
    <w:rsid w:val="00775D27"/>
    <w:rsid w:val="00775D6B"/>
    <w:rsid w:val="007771F3"/>
    <w:rsid w:val="007820AC"/>
    <w:rsid w:val="00783F06"/>
    <w:rsid w:val="0078420A"/>
    <w:rsid w:val="0078449D"/>
    <w:rsid w:val="00785C53"/>
    <w:rsid w:val="00786A60"/>
    <w:rsid w:val="00787C84"/>
    <w:rsid w:val="0079211B"/>
    <w:rsid w:val="00793876"/>
    <w:rsid w:val="00793AA7"/>
    <w:rsid w:val="0079408F"/>
    <w:rsid w:val="00794C81"/>
    <w:rsid w:val="007963DD"/>
    <w:rsid w:val="00796613"/>
    <w:rsid w:val="0079683B"/>
    <w:rsid w:val="007A059D"/>
    <w:rsid w:val="007A20BB"/>
    <w:rsid w:val="007A40AF"/>
    <w:rsid w:val="007A4334"/>
    <w:rsid w:val="007A4D89"/>
    <w:rsid w:val="007A68E8"/>
    <w:rsid w:val="007A76E8"/>
    <w:rsid w:val="007B046A"/>
    <w:rsid w:val="007B1609"/>
    <w:rsid w:val="007B6EF7"/>
    <w:rsid w:val="007B73F5"/>
    <w:rsid w:val="007B764E"/>
    <w:rsid w:val="007C0CA2"/>
    <w:rsid w:val="007C101E"/>
    <w:rsid w:val="007C1311"/>
    <w:rsid w:val="007C170A"/>
    <w:rsid w:val="007C1ADD"/>
    <w:rsid w:val="007C1DBE"/>
    <w:rsid w:val="007C2E15"/>
    <w:rsid w:val="007C4ECC"/>
    <w:rsid w:val="007C58F8"/>
    <w:rsid w:val="007C612F"/>
    <w:rsid w:val="007C62B3"/>
    <w:rsid w:val="007D210E"/>
    <w:rsid w:val="007D260E"/>
    <w:rsid w:val="007D2BE6"/>
    <w:rsid w:val="007D5379"/>
    <w:rsid w:val="007D7ED6"/>
    <w:rsid w:val="007E0B33"/>
    <w:rsid w:val="007E4217"/>
    <w:rsid w:val="007E5129"/>
    <w:rsid w:val="007F24BB"/>
    <w:rsid w:val="007F2A00"/>
    <w:rsid w:val="007F2E8F"/>
    <w:rsid w:val="007F4F01"/>
    <w:rsid w:val="007F5EFF"/>
    <w:rsid w:val="007F6011"/>
    <w:rsid w:val="007F6F73"/>
    <w:rsid w:val="007F6FEE"/>
    <w:rsid w:val="007F7980"/>
    <w:rsid w:val="007F7BAB"/>
    <w:rsid w:val="0080061E"/>
    <w:rsid w:val="00800C10"/>
    <w:rsid w:val="008020CB"/>
    <w:rsid w:val="00802508"/>
    <w:rsid w:val="00802FDA"/>
    <w:rsid w:val="00804632"/>
    <w:rsid w:val="00804B9A"/>
    <w:rsid w:val="00804D22"/>
    <w:rsid w:val="0080594B"/>
    <w:rsid w:val="00807631"/>
    <w:rsid w:val="00811858"/>
    <w:rsid w:val="00812454"/>
    <w:rsid w:val="0081339B"/>
    <w:rsid w:val="008147D7"/>
    <w:rsid w:val="008150B4"/>
    <w:rsid w:val="0082029B"/>
    <w:rsid w:val="00820906"/>
    <w:rsid w:val="00821661"/>
    <w:rsid w:val="008221DD"/>
    <w:rsid w:val="00823EDD"/>
    <w:rsid w:val="0082457F"/>
    <w:rsid w:val="00826916"/>
    <w:rsid w:val="00830A7C"/>
    <w:rsid w:val="00831D77"/>
    <w:rsid w:val="00834CF3"/>
    <w:rsid w:val="00835215"/>
    <w:rsid w:val="00835978"/>
    <w:rsid w:val="00837DBA"/>
    <w:rsid w:val="00840FC4"/>
    <w:rsid w:val="00841085"/>
    <w:rsid w:val="0084148D"/>
    <w:rsid w:val="00841928"/>
    <w:rsid w:val="00844439"/>
    <w:rsid w:val="0084452C"/>
    <w:rsid w:val="00847AB0"/>
    <w:rsid w:val="00854DF0"/>
    <w:rsid w:val="00856031"/>
    <w:rsid w:val="00856A1D"/>
    <w:rsid w:val="00856A2B"/>
    <w:rsid w:val="0085757D"/>
    <w:rsid w:val="00860056"/>
    <w:rsid w:val="0086165B"/>
    <w:rsid w:val="00861936"/>
    <w:rsid w:val="008631E9"/>
    <w:rsid w:val="00863375"/>
    <w:rsid w:val="00863CBF"/>
    <w:rsid w:val="00863D08"/>
    <w:rsid w:val="00864E5C"/>
    <w:rsid w:val="00870458"/>
    <w:rsid w:val="00870A2E"/>
    <w:rsid w:val="00870DA1"/>
    <w:rsid w:val="00874424"/>
    <w:rsid w:val="00874658"/>
    <w:rsid w:val="00874B86"/>
    <w:rsid w:val="00876EEB"/>
    <w:rsid w:val="00876F7D"/>
    <w:rsid w:val="0087766B"/>
    <w:rsid w:val="008805F6"/>
    <w:rsid w:val="00880788"/>
    <w:rsid w:val="008810A4"/>
    <w:rsid w:val="00881E49"/>
    <w:rsid w:val="008824F8"/>
    <w:rsid w:val="008832A4"/>
    <w:rsid w:val="0088428E"/>
    <w:rsid w:val="00884DE6"/>
    <w:rsid w:val="00885C4F"/>
    <w:rsid w:val="00885F3E"/>
    <w:rsid w:val="0089201C"/>
    <w:rsid w:val="0089232C"/>
    <w:rsid w:val="00892FB6"/>
    <w:rsid w:val="00895F9E"/>
    <w:rsid w:val="0089636E"/>
    <w:rsid w:val="00896638"/>
    <w:rsid w:val="00897166"/>
    <w:rsid w:val="008A07A9"/>
    <w:rsid w:val="008A0DE3"/>
    <w:rsid w:val="008A101F"/>
    <w:rsid w:val="008A1707"/>
    <w:rsid w:val="008A21BE"/>
    <w:rsid w:val="008A3161"/>
    <w:rsid w:val="008A344B"/>
    <w:rsid w:val="008A4ABF"/>
    <w:rsid w:val="008A4F78"/>
    <w:rsid w:val="008A650F"/>
    <w:rsid w:val="008B0B49"/>
    <w:rsid w:val="008B0EA6"/>
    <w:rsid w:val="008B2A52"/>
    <w:rsid w:val="008B2F2C"/>
    <w:rsid w:val="008B2FB9"/>
    <w:rsid w:val="008B3E1D"/>
    <w:rsid w:val="008B47D0"/>
    <w:rsid w:val="008B5FF1"/>
    <w:rsid w:val="008B637C"/>
    <w:rsid w:val="008B686D"/>
    <w:rsid w:val="008C2BE2"/>
    <w:rsid w:val="008C2C58"/>
    <w:rsid w:val="008C4E45"/>
    <w:rsid w:val="008D00BA"/>
    <w:rsid w:val="008D1560"/>
    <w:rsid w:val="008D15C8"/>
    <w:rsid w:val="008D3496"/>
    <w:rsid w:val="008D389D"/>
    <w:rsid w:val="008D49A8"/>
    <w:rsid w:val="008D5196"/>
    <w:rsid w:val="008D6874"/>
    <w:rsid w:val="008D6C9F"/>
    <w:rsid w:val="008D72B2"/>
    <w:rsid w:val="008D72ED"/>
    <w:rsid w:val="008E3BAC"/>
    <w:rsid w:val="008E432C"/>
    <w:rsid w:val="008E5512"/>
    <w:rsid w:val="008E55E5"/>
    <w:rsid w:val="008E5EA0"/>
    <w:rsid w:val="008E6CAC"/>
    <w:rsid w:val="008E72DC"/>
    <w:rsid w:val="008E7909"/>
    <w:rsid w:val="008F0230"/>
    <w:rsid w:val="008F031E"/>
    <w:rsid w:val="008F2C9F"/>
    <w:rsid w:val="008F380B"/>
    <w:rsid w:val="008F72DD"/>
    <w:rsid w:val="00902F83"/>
    <w:rsid w:val="0090339E"/>
    <w:rsid w:val="00904139"/>
    <w:rsid w:val="009051CF"/>
    <w:rsid w:val="00905B24"/>
    <w:rsid w:val="00905F1D"/>
    <w:rsid w:val="00907148"/>
    <w:rsid w:val="00907607"/>
    <w:rsid w:val="00910D2C"/>
    <w:rsid w:val="00911C10"/>
    <w:rsid w:val="0091204D"/>
    <w:rsid w:val="00915190"/>
    <w:rsid w:val="00916400"/>
    <w:rsid w:val="0091737B"/>
    <w:rsid w:val="00920952"/>
    <w:rsid w:val="00921D76"/>
    <w:rsid w:val="009233A8"/>
    <w:rsid w:val="00926798"/>
    <w:rsid w:val="009300BB"/>
    <w:rsid w:val="009313DC"/>
    <w:rsid w:val="009316FB"/>
    <w:rsid w:val="00932485"/>
    <w:rsid w:val="00932C32"/>
    <w:rsid w:val="00932DAF"/>
    <w:rsid w:val="009359B5"/>
    <w:rsid w:val="0093789A"/>
    <w:rsid w:val="00941C57"/>
    <w:rsid w:val="00942858"/>
    <w:rsid w:val="00943B6D"/>
    <w:rsid w:val="00944B95"/>
    <w:rsid w:val="00944C93"/>
    <w:rsid w:val="00944CF5"/>
    <w:rsid w:val="009475DC"/>
    <w:rsid w:val="00950312"/>
    <w:rsid w:val="00951B11"/>
    <w:rsid w:val="00952F0C"/>
    <w:rsid w:val="00957194"/>
    <w:rsid w:val="00961CF4"/>
    <w:rsid w:val="009672CF"/>
    <w:rsid w:val="009677A4"/>
    <w:rsid w:val="00967BCF"/>
    <w:rsid w:val="00967D90"/>
    <w:rsid w:val="00970AE4"/>
    <w:rsid w:val="00970CB5"/>
    <w:rsid w:val="00970DD8"/>
    <w:rsid w:val="00971002"/>
    <w:rsid w:val="00975A50"/>
    <w:rsid w:val="00976AF0"/>
    <w:rsid w:val="00977026"/>
    <w:rsid w:val="009772D3"/>
    <w:rsid w:val="009817FF"/>
    <w:rsid w:val="00981C5F"/>
    <w:rsid w:val="009821FA"/>
    <w:rsid w:val="009844E5"/>
    <w:rsid w:val="00985448"/>
    <w:rsid w:val="009858AC"/>
    <w:rsid w:val="009901BB"/>
    <w:rsid w:val="00990581"/>
    <w:rsid w:val="00991804"/>
    <w:rsid w:val="0099260A"/>
    <w:rsid w:val="00993D21"/>
    <w:rsid w:val="009946EE"/>
    <w:rsid w:val="00994706"/>
    <w:rsid w:val="00994EC3"/>
    <w:rsid w:val="0099502F"/>
    <w:rsid w:val="009950C9"/>
    <w:rsid w:val="00995D74"/>
    <w:rsid w:val="00996C1B"/>
    <w:rsid w:val="009A03C0"/>
    <w:rsid w:val="009A045F"/>
    <w:rsid w:val="009A20BB"/>
    <w:rsid w:val="009A4E69"/>
    <w:rsid w:val="009A5A2E"/>
    <w:rsid w:val="009A71C0"/>
    <w:rsid w:val="009B03E6"/>
    <w:rsid w:val="009B2431"/>
    <w:rsid w:val="009B2B16"/>
    <w:rsid w:val="009B2D3A"/>
    <w:rsid w:val="009B31C1"/>
    <w:rsid w:val="009B47ED"/>
    <w:rsid w:val="009B4AB2"/>
    <w:rsid w:val="009B4DD6"/>
    <w:rsid w:val="009B532E"/>
    <w:rsid w:val="009B590E"/>
    <w:rsid w:val="009B62A8"/>
    <w:rsid w:val="009C04AF"/>
    <w:rsid w:val="009C1516"/>
    <w:rsid w:val="009C1C7E"/>
    <w:rsid w:val="009C4F0D"/>
    <w:rsid w:val="009C6946"/>
    <w:rsid w:val="009C776C"/>
    <w:rsid w:val="009D0482"/>
    <w:rsid w:val="009D08E7"/>
    <w:rsid w:val="009D1226"/>
    <w:rsid w:val="009D39E2"/>
    <w:rsid w:val="009D42CE"/>
    <w:rsid w:val="009D4D61"/>
    <w:rsid w:val="009D4FD2"/>
    <w:rsid w:val="009D5718"/>
    <w:rsid w:val="009D6EC8"/>
    <w:rsid w:val="009E199C"/>
    <w:rsid w:val="009E1B1C"/>
    <w:rsid w:val="009E1C9F"/>
    <w:rsid w:val="009E20E9"/>
    <w:rsid w:val="009E2D00"/>
    <w:rsid w:val="009E39AB"/>
    <w:rsid w:val="009E532B"/>
    <w:rsid w:val="009E6CFD"/>
    <w:rsid w:val="009E78A8"/>
    <w:rsid w:val="009E7E76"/>
    <w:rsid w:val="009F1C1B"/>
    <w:rsid w:val="009F32CA"/>
    <w:rsid w:val="009F476E"/>
    <w:rsid w:val="009F578E"/>
    <w:rsid w:val="009F7B29"/>
    <w:rsid w:val="00A0239C"/>
    <w:rsid w:val="00A0242D"/>
    <w:rsid w:val="00A02D32"/>
    <w:rsid w:val="00A03245"/>
    <w:rsid w:val="00A03B9B"/>
    <w:rsid w:val="00A03F2D"/>
    <w:rsid w:val="00A04DE3"/>
    <w:rsid w:val="00A05CA0"/>
    <w:rsid w:val="00A12958"/>
    <w:rsid w:val="00A12A91"/>
    <w:rsid w:val="00A12CCA"/>
    <w:rsid w:val="00A13B3D"/>
    <w:rsid w:val="00A13C5A"/>
    <w:rsid w:val="00A1519E"/>
    <w:rsid w:val="00A214AF"/>
    <w:rsid w:val="00A2199D"/>
    <w:rsid w:val="00A21D77"/>
    <w:rsid w:val="00A2294D"/>
    <w:rsid w:val="00A22C3C"/>
    <w:rsid w:val="00A23026"/>
    <w:rsid w:val="00A23E53"/>
    <w:rsid w:val="00A249D9"/>
    <w:rsid w:val="00A2742C"/>
    <w:rsid w:val="00A27F7A"/>
    <w:rsid w:val="00A30CD7"/>
    <w:rsid w:val="00A324A6"/>
    <w:rsid w:val="00A32DBA"/>
    <w:rsid w:val="00A33DA5"/>
    <w:rsid w:val="00A34A96"/>
    <w:rsid w:val="00A35ADC"/>
    <w:rsid w:val="00A36676"/>
    <w:rsid w:val="00A37A56"/>
    <w:rsid w:val="00A37B39"/>
    <w:rsid w:val="00A41674"/>
    <w:rsid w:val="00A421E4"/>
    <w:rsid w:val="00A4343D"/>
    <w:rsid w:val="00A46FCB"/>
    <w:rsid w:val="00A477C9"/>
    <w:rsid w:val="00A51257"/>
    <w:rsid w:val="00A539E7"/>
    <w:rsid w:val="00A53BCB"/>
    <w:rsid w:val="00A5642C"/>
    <w:rsid w:val="00A56793"/>
    <w:rsid w:val="00A56C31"/>
    <w:rsid w:val="00A5782D"/>
    <w:rsid w:val="00A604C8"/>
    <w:rsid w:val="00A60994"/>
    <w:rsid w:val="00A61CBD"/>
    <w:rsid w:val="00A637D0"/>
    <w:rsid w:val="00A63914"/>
    <w:rsid w:val="00A6462B"/>
    <w:rsid w:val="00A6567F"/>
    <w:rsid w:val="00A667E6"/>
    <w:rsid w:val="00A66A80"/>
    <w:rsid w:val="00A708DE"/>
    <w:rsid w:val="00A760E5"/>
    <w:rsid w:val="00A7769E"/>
    <w:rsid w:val="00A81375"/>
    <w:rsid w:val="00A815E1"/>
    <w:rsid w:val="00A82242"/>
    <w:rsid w:val="00A836BB"/>
    <w:rsid w:val="00A8445B"/>
    <w:rsid w:val="00A8592A"/>
    <w:rsid w:val="00A86F4D"/>
    <w:rsid w:val="00A8798A"/>
    <w:rsid w:val="00A9117E"/>
    <w:rsid w:val="00A913F6"/>
    <w:rsid w:val="00A92753"/>
    <w:rsid w:val="00A95D17"/>
    <w:rsid w:val="00A962B8"/>
    <w:rsid w:val="00AA0288"/>
    <w:rsid w:val="00AA07F4"/>
    <w:rsid w:val="00AA0A75"/>
    <w:rsid w:val="00AA2564"/>
    <w:rsid w:val="00AA2D38"/>
    <w:rsid w:val="00AA3669"/>
    <w:rsid w:val="00AA489E"/>
    <w:rsid w:val="00AA59D7"/>
    <w:rsid w:val="00AA63A0"/>
    <w:rsid w:val="00AA6998"/>
    <w:rsid w:val="00AB0160"/>
    <w:rsid w:val="00AB277C"/>
    <w:rsid w:val="00AB34C6"/>
    <w:rsid w:val="00AB491C"/>
    <w:rsid w:val="00AB6D9E"/>
    <w:rsid w:val="00AB78D6"/>
    <w:rsid w:val="00AC0172"/>
    <w:rsid w:val="00AC0929"/>
    <w:rsid w:val="00AC0C1F"/>
    <w:rsid w:val="00AC1674"/>
    <w:rsid w:val="00AC28B6"/>
    <w:rsid w:val="00AC3122"/>
    <w:rsid w:val="00AC539F"/>
    <w:rsid w:val="00AC6AD2"/>
    <w:rsid w:val="00AD11E5"/>
    <w:rsid w:val="00AD12E3"/>
    <w:rsid w:val="00AD1CF2"/>
    <w:rsid w:val="00AD2418"/>
    <w:rsid w:val="00AD28DF"/>
    <w:rsid w:val="00AD544F"/>
    <w:rsid w:val="00AD60D4"/>
    <w:rsid w:val="00AD68F1"/>
    <w:rsid w:val="00AD7783"/>
    <w:rsid w:val="00AE0A50"/>
    <w:rsid w:val="00AE0A6F"/>
    <w:rsid w:val="00AE1B7B"/>
    <w:rsid w:val="00AE2545"/>
    <w:rsid w:val="00AE2EBC"/>
    <w:rsid w:val="00AE416F"/>
    <w:rsid w:val="00AE4A68"/>
    <w:rsid w:val="00AE6463"/>
    <w:rsid w:val="00AE7042"/>
    <w:rsid w:val="00AF22D0"/>
    <w:rsid w:val="00AF3109"/>
    <w:rsid w:val="00AF3186"/>
    <w:rsid w:val="00AF31BD"/>
    <w:rsid w:val="00AF449E"/>
    <w:rsid w:val="00AF506C"/>
    <w:rsid w:val="00AF64D0"/>
    <w:rsid w:val="00AF7E7A"/>
    <w:rsid w:val="00AF7F61"/>
    <w:rsid w:val="00B004E4"/>
    <w:rsid w:val="00B02446"/>
    <w:rsid w:val="00B03466"/>
    <w:rsid w:val="00B044DD"/>
    <w:rsid w:val="00B106B8"/>
    <w:rsid w:val="00B11DBE"/>
    <w:rsid w:val="00B13D15"/>
    <w:rsid w:val="00B14FFC"/>
    <w:rsid w:val="00B16AC7"/>
    <w:rsid w:val="00B1754B"/>
    <w:rsid w:val="00B2132A"/>
    <w:rsid w:val="00B21340"/>
    <w:rsid w:val="00B21398"/>
    <w:rsid w:val="00B23288"/>
    <w:rsid w:val="00B23556"/>
    <w:rsid w:val="00B24DB8"/>
    <w:rsid w:val="00B24EEF"/>
    <w:rsid w:val="00B25505"/>
    <w:rsid w:val="00B256B7"/>
    <w:rsid w:val="00B2786E"/>
    <w:rsid w:val="00B304EA"/>
    <w:rsid w:val="00B32EBC"/>
    <w:rsid w:val="00B32F71"/>
    <w:rsid w:val="00B34D63"/>
    <w:rsid w:val="00B36332"/>
    <w:rsid w:val="00B41B15"/>
    <w:rsid w:val="00B44C4B"/>
    <w:rsid w:val="00B50A35"/>
    <w:rsid w:val="00B51196"/>
    <w:rsid w:val="00B52E58"/>
    <w:rsid w:val="00B53739"/>
    <w:rsid w:val="00B53B35"/>
    <w:rsid w:val="00B543D0"/>
    <w:rsid w:val="00B5469C"/>
    <w:rsid w:val="00B56AF2"/>
    <w:rsid w:val="00B61584"/>
    <w:rsid w:val="00B64130"/>
    <w:rsid w:val="00B64C0B"/>
    <w:rsid w:val="00B658C9"/>
    <w:rsid w:val="00B66088"/>
    <w:rsid w:val="00B660B9"/>
    <w:rsid w:val="00B66829"/>
    <w:rsid w:val="00B708CA"/>
    <w:rsid w:val="00B74219"/>
    <w:rsid w:val="00B7473B"/>
    <w:rsid w:val="00B75476"/>
    <w:rsid w:val="00B75E56"/>
    <w:rsid w:val="00B761CB"/>
    <w:rsid w:val="00B8073A"/>
    <w:rsid w:val="00B808FD"/>
    <w:rsid w:val="00B91138"/>
    <w:rsid w:val="00B914C8"/>
    <w:rsid w:val="00B94A26"/>
    <w:rsid w:val="00B972B5"/>
    <w:rsid w:val="00B974CF"/>
    <w:rsid w:val="00B97EE6"/>
    <w:rsid w:val="00BA00DF"/>
    <w:rsid w:val="00BA06CC"/>
    <w:rsid w:val="00BA189C"/>
    <w:rsid w:val="00BA2BF0"/>
    <w:rsid w:val="00BA3EDA"/>
    <w:rsid w:val="00BA4B9B"/>
    <w:rsid w:val="00BA572B"/>
    <w:rsid w:val="00BA5EDE"/>
    <w:rsid w:val="00BA6931"/>
    <w:rsid w:val="00BA6CAF"/>
    <w:rsid w:val="00BB0E0B"/>
    <w:rsid w:val="00BB1ADC"/>
    <w:rsid w:val="00BB1C29"/>
    <w:rsid w:val="00BB34CC"/>
    <w:rsid w:val="00BB4772"/>
    <w:rsid w:val="00BB49A2"/>
    <w:rsid w:val="00BB7183"/>
    <w:rsid w:val="00BC0810"/>
    <w:rsid w:val="00BC265C"/>
    <w:rsid w:val="00BC3866"/>
    <w:rsid w:val="00BC53EC"/>
    <w:rsid w:val="00BC572A"/>
    <w:rsid w:val="00BC7BB4"/>
    <w:rsid w:val="00BD0C2C"/>
    <w:rsid w:val="00BD1F9C"/>
    <w:rsid w:val="00BD49BE"/>
    <w:rsid w:val="00BD6099"/>
    <w:rsid w:val="00BD67BA"/>
    <w:rsid w:val="00BE043D"/>
    <w:rsid w:val="00BE1237"/>
    <w:rsid w:val="00BE3BF6"/>
    <w:rsid w:val="00BE5146"/>
    <w:rsid w:val="00BE7F52"/>
    <w:rsid w:val="00BF345B"/>
    <w:rsid w:val="00BF35E1"/>
    <w:rsid w:val="00BF49F6"/>
    <w:rsid w:val="00BF726F"/>
    <w:rsid w:val="00BF7A47"/>
    <w:rsid w:val="00BF7C73"/>
    <w:rsid w:val="00BF7E8F"/>
    <w:rsid w:val="00C00078"/>
    <w:rsid w:val="00C01D31"/>
    <w:rsid w:val="00C02F80"/>
    <w:rsid w:val="00C036EC"/>
    <w:rsid w:val="00C03BF2"/>
    <w:rsid w:val="00C03EE7"/>
    <w:rsid w:val="00C06F43"/>
    <w:rsid w:val="00C11338"/>
    <w:rsid w:val="00C11806"/>
    <w:rsid w:val="00C11F1B"/>
    <w:rsid w:val="00C13E98"/>
    <w:rsid w:val="00C13F6C"/>
    <w:rsid w:val="00C14956"/>
    <w:rsid w:val="00C16563"/>
    <w:rsid w:val="00C17258"/>
    <w:rsid w:val="00C212B3"/>
    <w:rsid w:val="00C21EB1"/>
    <w:rsid w:val="00C2209D"/>
    <w:rsid w:val="00C227A5"/>
    <w:rsid w:val="00C22ACC"/>
    <w:rsid w:val="00C24017"/>
    <w:rsid w:val="00C27EB7"/>
    <w:rsid w:val="00C30A5E"/>
    <w:rsid w:val="00C40B29"/>
    <w:rsid w:val="00C42094"/>
    <w:rsid w:val="00C43346"/>
    <w:rsid w:val="00C44256"/>
    <w:rsid w:val="00C444F4"/>
    <w:rsid w:val="00C51198"/>
    <w:rsid w:val="00C54A6D"/>
    <w:rsid w:val="00C55A41"/>
    <w:rsid w:val="00C60E06"/>
    <w:rsid w:val="00C618F9"/>
    <w:rsid w:val="00C61A99"/>
    <w:rsid w:val="00C625E0"/>
    <w:rsid w:val="00C6319A"/>
    <w:rsid w:val="00C633C5"/>
    <w:rsid w:val="00C644DC"/>
    <w:rsid w:val="00C644EC"/>
    <w:rsid w:val="00C6499D"/>
    <w:rsid w:val="00C67CEF"/>
    <w:rsid w:val="00C7106E"/>
    <w:rsid w:val="00C72BA5"/>
    <w:rsid w:val="00C72D82"/>
    <w:rsid w:val="00C733B6"/>
    <w:rsid w:val="00C736F3"/>
    <w:rsid w:val="00C75839"/>
    <w:rsid w:val="00C80232"/>
    <w:rsid w:val="00C8088A"/>
    <w:rsid w:val="00C82408"/>
    <w:rsid w:val="00C82BC4"/>
    <w:rsid w:val="00C82C06"/>
    <w:rsid w:val="00C835AF"/>
    <w:rsid w:val="00C86737"/>
    <w:rsid w:val="00C87562"/>
    <w:rsid w:val="00C91D65"/>
    <w:rsid w:val="00C92AD3"/>
    <w:rsid w:val="00C949DA"/>
    <w:rsid w:val="00C95224"/>
    <w:rsid w:val="00C95CA4"/>
    <w:rsid w:val="00C97527"/>
    <w:rsid w:val="00C97DD1"/>
    <w:rsid w:val="00CA4614"/>
    <w:rsid w:val="00CA4A6F"/>
    <w:rsid w:val="00CA59D1"/>
    <w:rsid w:val="00CA68D7"/>
    <w:rsid w:val="00CA6E5C"/>
    <w:rsid w:val="00CA702C"/>
    <w:rsid w:val="00CA72CC"/>
    <w:rsid w:val="00CA7DDE"/>
    <w:rsid w:val="00CB0136"/>
    <w:rsid w:val="00CB0B63"/>
    <w:rsid w:val="00CB1BF8"/>
    <w:rsid w:val="00CB7C04"/>
    <w:rsid w:val="00CC0371"/>
    <w:rsid w:val="00CC0B15"/>
    <w:rsid w:val="00CC3357"/>
    <w:rsid w:val="00CC649D"/>
    <w:rsid w:val="00CC7AF4"/>
    <w:rsid w:val="00CD0138"/>
    <w:rsid w:val="00CD0C9F"/>
    <w:rsid w:val="00CD2E1A"/>
    <w:rsid w:val="00CD3750"/>
    <w:rsid w:val="00CD465F"/>
    <w:rsid w:val="00CD643F"/>
    <w:rsid w:val="00CD6B18"/>
    <w:rsid w:val="00CD6C4E"/>
    <w:rsid w:val="00CD7390"/>
    <w:rsid w:val="00CD7586"/>
    <w:rsid w:val="00CE15C5"/>
    <w:rsid w:val="00CE5ACD"/>
    <w:rsid w:val="00CE66AE"/>
    <w:rsid w:val="00CE72D2"/>
    <w:rsid w:val="00CF04A2"/>
    <w:rsid w:val="00CF0C9D"/>
    <w:rsid w:val="00CF15B9"/>
    <w:rsid w:val="00CF38F2"/>
    <w:rsid w:val="00CF43A5"/>
    <w:rsid w:val="00CF5A45"/>
    <w:rsid w:val="00CF6BD7"/>
    <w:rsid w:val="00D02B6F"/>
    <w:rsid w:val="00D02BB0"/>
    <w:rsid w:val="00D03729"/>
    <w:rsid w:val="00D03BB7"/>
    <w:rsid w:val="00D05A75"/>
    <w:rsid w:val="00D065FD"/>
    <w:rsid w:val="00D07FE3"/>
    <w:rsid w:val="00D12009"/>
    <w:rsid w:val="00D13C89"/>
    <w:rsid w:val="00D13FE1"/>
    <w:rsid w:val="00D14107"/>
    <w:rsid w:val="00D14E95"/>
    <w:rsid w:val="00D16FE4"/>
    <w:rsid w:val="00D2001D"/>
    <w:rsid w:val="00D21972"/>
    <w:rsid w:val="00D21B75"/>
    <w:rsid w:val="00D22E24"/>
    <w:rsid w:val="00D24A29"/>
    <w:rsid w:val="00D274FC"/>
    <w:rsid w:val="00D27923"/>
    <w:rsid w:val="00D30920"/>
    <w:rsid w:val="00D35AFA"/>
    <w:rsid w:val="00D4018E"/>
    <w:rsid w:val="00D41D6C"/>
    <w:rsid w:val="00D42C78"/>
    <w:rsid w:val="00D42D35"/>
    <w:rsid w:val="00D448BA"/>
    <w:rsid w:val="00D451DA"/>
    <w:rsid w:val="00D454CE"/>
    <w:rsid w:val="00D4724B"/>
    <w:rsid w:val="00D47B7A"/>
    <w:rsid w:val="00D51362"/>
    <w:rsid w:val="00D51834"/>
    <w:rsid w:val="00D53D0B"/>
    <w:rsid w:val="00D5553D"/>
    <w:rsid w:val="00D55CDB"/>
    <w:rsid w:val="00D566CA"/>
    <w:rsid w:val="00D56F00"/>
    <w:rsid w:val="00D574DA"/>
    <w:rsid w:val="00D62F53"/>
    <w:rsid w:val="00D63653"/>
    <w:rsid w:val="00D63EF9"/>
    <w:rsid w:val="00D642FA"/>
    <w:rsid w:val="00D71021"/>
    <w:rsid w:val="00D713CD"/>
    <w:rsid w:val="00D72041"/>
    <w:rsid w:val="00D72953"/>
    <w:rsid w:val="00D72DB5"/>
    <w:rsid w:val="00D7457C"/>
    <w:rsid w:val="00D752F3"/>
    <w:rsid w:val="00D77405"/>
    <w:rsid w:val="00D8070E"/>
    <w:rsid w:val="00D82574"/>
    <w:rsid w:val="00D8284A"/>
    <w:rsid w:val="00D830CE"/>
    <w:rsid w:val="00D83F6A"/>
    <w:rsid w:val="00D843FF"/>
    <w:rsid w:val="00D91DDF"/>
    <w:rsid w:val="00D92FAF"/>
    <w:rsid w:val="00D9410B"/>
    <w:rsid w:val="00D95386"/>
    <w:rsid w:val="00D96EEE"/>
    <w:rsid w:val="00D97295"/>
    <w:rsid w:val="00D97BED"/>
    <w:rsid w:val="00DA6741"/>
    <w:rsid w:val="00DA6907"/>
    <w:rsid w:val="00DA6D2B"/>
    <w:rsid w:val="00DA6FA6"/>
    <w:rsid w:val="00DB12F8"/>
    <w:rsid w:val="00DB3336"/>
    <w:rsid w:val="00DB4315"/>
    <w:rsid w:val="00DB4F8F"/>
    <w:rsid w:val="00DB6451"/>
    <w:rsid w:val="00DC0E80"/>
    <w:rsid w:val="00DC15C6"/>
    <w:rsid w:val="00DC1608"/>
    <w:rsid w:val="00DC1D13"/>
    <w:rsid w:val="00DC3515"/>
    <w:rsid w:val="00DD5473"/>
    <w:rsid w:val="00DD58EC"/>
    <w:rsid w:val="00DD6DA3"/>
    <w:rsid w:val="00DD79BA"/>
    <w:rsid w:val="00DE07A3"/>
    <w:rsid w:val="00DE24ED"/>
    <w:rsid w:val="00DE2AB4"/>
    <w:rsid w:val="00DE4D45"/>
    <w:rsid w:val="00DE58DE"/>
    <w:rsid w:val="00DE6FE5"/>
    <w:rsid w:val="00DE787A"/>
    <w:rsid w:val="00DE7BBA"/>
    <w:rsid w:val="00DF02A6"/>
    <w:rsid w:val="00DF093D"/>
    <w:rsid w:val="00DF2E8E"/>
    <w:rsid w:val="00DF597C"/>
    <w:rsid w:val="00DF6519"/>
    <w:rsid w:val="00E0114C"/>
    <w:rsid w:val="00E02CDB"/>
    <w:rsid w:val="00E03DE6"/>
    <w:rsid w:val="00E058F2"/>
    <w:rsid w:val="00E0771B"/>
    <w:rsid w:val="00E079D7"/>
    <w:rsid w:val="00E07A7D"/>
    <w:rsid w:val="00E11A2B"/>
    <w:rsid w:val="00E12050"/>
    <w:rsid w:val="00E13262"/>
    <w:rsid w:val="00E1396A"/>
    <w:rsid w:val="00E14718"/>
    <w:rsid w:val="00E15CC4"/>
    <w:rsid w:val="00E15D27"/>
    <w:rsid w:val="00E1702A"/>
    <w:rsid w:val="00E17CA9"/>
    <w:rsid w:val="00E215E8"/>
    <w:rsid w:val="00E24C07"/>
    <w:rsid w:val="00E24FC3"/>
    <w:rsid w:val="00E25DDD"/>
    <w:rsid w:val="00E260CB"/>
    <w:rsid w:val="00E26CA7"/>
    <w:rsid w:val="00E277A1"/>
    <w:rsid w:val="00E27CF8"/>
    <w:rsid w:val="00E32496"/>
    <w:rsid w:val="00E337B6"/>
    <w:rsid w:val="00E33A2D"/>
    <w:rsid w:val="00E33E1B"/>
    <w:rsid w:val="00E36237"/>
    <w:rsid w:val="00E3698C"/>
    <w:rsid w:val="00E40CD6"/>
    <w:rsid w:val="00E44030"/>
    <w:rsid w:val="00E45B3E"/>
    <w:rsid w:val="00E45E63"/>
    <w:rsid w:val="00E46535"/>
    <w:rsid w:val="00E501E3"/>
    <w:rsid w:val="00E50856"/>
    <w:rsid w:val="00E5295D"/>
    <w:rsid w:val="00E5384E"/>
    <w:rsid w:val="00E57D3C"/>
    <w:rsid w:val="00E61ED6"/>
    <w:rsid w:val="00E679F5"/>
    <w:rsid w:val="00E67C76"/>
    <w:rsid w:val="00E708D8"/>
    <w:rsid w:val="00E70E72"/>
    <w:rsid w:val="00E710F7"/>
    <w:rsid w:val="00E72BA6"/>
    <w:rsid w:val="00E73A49"/>
    <w:rsid w:val="00E8036A"/>
    <w:rsid w:val="00E8134F"/>
    <w:rsid w:val="00E81627"/>
    <w:rsid w:val="00E8228F"/>
    <w:rsid w:val="00E8285B"/>
    <w:rsid w:val="00E831FC"/>
    <w:rsid w:val="00E84171"/>
    <w:rsid w:val="00E85DCD"/>
    <w:rsid w:val="00E90703"/>
    <w:rsid w:val="00E9190D"/>
    <w:rsid w:val="00E92266"/>
    <w:rsid w:val="00E92BB5"/>
    <w:rsid w:val="00E94E64"/>
    <w:rsid w:val="00E952A0"/>
    <w:rsid w:val="00E9614E"/>
    <w:rsid w:val="00E97190"/>
    <w:rsid w:val="00E9732D"/>
    <w:rsid w:val="00E976AF"/>
    <w:rsid w:val="00EA1465"/>
    <w:rsid w:val="00EA2F9C"/>
    <w:rsid w:val="00EA30A2"/>
    <w:rsid w:val="00EA3474"/>
    <w:rsid w:val="00EA347C"/>
    <w:rsid w:val="00EA37E9"/>
    <w:rsid w:val="00EA4AD0"/>
    <w:rsid w:val="00EA669E"/>
    <w:rsid w:val="00EA748C"/>
    <w:rsid w:val="00EB01C9"/>
    <w:rsid w:val="00EB01E8"/>
    <w:rsid w:val="00EB2548"/>
    <w:rsid w:val="00EB5C92"/>
    <w:rsid w:val="00EB5DC7"/>
    <w:rsid w:val="00EB6259"/>
    <w:rsid w:val="00EB6CA0"/>
    <w:rsid w:val="00EC0E6B"/>
    <w:rsid w:val="00EC13B0"/>
    <w:rsid w:val="00EC30A8"/>
    <w:rsid w:val="00EC4808"/>
    <w:rsid w:val="00EC4FA5"/>
    <w:rsid w:val="00EC5168"/>
    <w:rsid w:val="00EC5969"/>
    <w:rsid w:val="00EC5F9B"/>
    <w:rsid w:val="00EC5FB8"/>
    <w:rsid w:val="00EC6E2F"/>
    <w:rsid w:val="00EC7822"/>
    <w:rsid w:val="00EC7D16"/>
    <w:rsid w:val="00ED00A0"/>
    <w:rsid w:val="00ED0366"/>
    <w:rsid w:val="00ED0E51"/>
    <w:rsid w:val="00ED2859"/>
    <w:rsid w:val="00ED3D08"/>
    <w:rsid w:val="00ED4B56"/>
    <w:rsid w:val="00ED4CFB"/>
    <w:rsid w:val="00ED4F81"/>
    <w:rsid w:val="00ED5411"/>
    <w:rsid w:val="00ED6ACC"/>
    <w:rsid w:val="00EE09A7"/>
    <w:rsid w:val="00EE108C"/>
    <w:rsid w:val="00EE49CD"/>
    <w:rsid w:val="00EE62B3"/>
    <w:rsid w:val="00EE7852"/>
    <w:rsid w:val="00EF0A02"/>
    <w:rsid w:val="00EF0E3D"/>
    <w:rsid w:val="00EF3485"/>
    <w:rsid w:val="00EF3DE7"/>
    <w:rsid w:val="00EF49E2"/>
    <w:rsid w:val="00EF68BC"/>
    <w:rsid w:val="00EF6D9C"/>
    <w:rsid w:val="00EF72D0"/>
    <w:rsid w:val="00EF7779"/>
    <w:rsid w:val="00F002E6"/>
    <w:rsid w:val="00F00366"/>
    <w:rsid w:val="00F004A3"/>
    <w:rsid w:val="00F016F5"/>
    <w:rsid w:val="00F025E0"/>
    <w:rsid w:val="00F0286D"/>
    <w:rsid w:val="00F03975"/>
    <w:rsid w:val="00F03B32"/>
    <w:rsid w:val="00F06733"/>
    <w:rsid w:val="00F07420"/>
    <w:rsid w:val="00F10CC1"/>
    <w:rsid w:val="00F11187"/>
    <w:rsid w:val="00F1323C"/>
    <w:rsid w:val="00F168FB"/>
    <w:rsid w:val="00F16E86"/>
    <w:rsid w:val="00F2036E"/>
    <w:rsid w:val="00F20C4A"/>
    <w:rsid w:val="00F2170E"/>
    <w:rsid w:val="00F24F81"/>
    <w:rsid w:val="00F26225"/>
    <w:rsid w:val="00F30152"/>
    <w:rsid w:val="00F31004"/>
    <w:rsid w:val="00F311C6"/>
    <w:rsid w:val="00F35496"/>
    <w:rsid w:val="00F361C1"/>
    <w:rsid w:val="00F367C2"/>
    <w:rsid w:val="00F36D17"/>
    <w:rsid w:val="00F37865"/>
    <w:rsid w:val="00F400DB"/>
    <w:rsid w:val="00F40183"/>
    <w:rsid w:val="00F40418"/>
    <w:rsid w:val="00F40958"/>
    <w:rsid w:val="00F40E23"/>
    <w:rsid w:val="00F41F48"/>
    <w:rsid w:val="00F42E9F"/>
    <w:rsid w:val="00F433E4"/>
    <w:rsid w:val="00F441A8"/>
    <w:rsid w:val="00F450B8"/>
    <w:rsid w:val="00F4543A"/>
    <w:rsid w:val="00F4615E"/>
    <w:rsid w:val="00F5012F"/>
    <w:rsid w:val="00F509D2"/>
    <w:rsid w:val="00F50A39"/>
    <w:rsid w:val="00F50E06"/>
    <w:rsid w:val="00F50FBD"/>
    <w:rsid w:val="00F51171"/>
    <w:rsid w:val="00F52169"/>
    <w:rsid w:val="00F5250C"/>
    <w:rsid w:val="00F53681"/>
    <w:rsid w:val="00F53CAD"/>
    <w:rsid w:val="00F5727C"/>
    <w:rsid w:val="00F649E4"/>
    <w:rsid w:val="00F66819"/>
    <w:rsid w:val="00F66C91"/>
    <w:rsid w:val="00F70898"/>
    <w:rsid w:val="00F70BAD"/>
    <w:rsid w:val="00F71EA6"/>
    <w:rsid w:val="00F72667"/>
    <w:rsid w:val="00F73395"/>
    <w:rsid w:val="00F74AB5"/>
    <w:rsid w:val="00F750FC"/>
    <w:rsid w:val="00F7520C"/>
    <w:rsid w:val="00F75756"/>
    <w:rsid w:val="00F75787"/>
    <w:rsid w:val="00F75B16"/>
    <w:rsid w:val="00F75D09"/>
    <w:rsid w:val="00F76544"/>
    <w:rsid w:val="00F76FD0"/>
    <w:rsid w:val="00F806AF"/>
    <w:rsid w:val="00F80C68"/>
    <w:rsid w:val="00F84219"/>
    <w:rsid w:val="00F8509C"/>
    <w:rsid w:val="00F854B9"/>
    <w:rsid w:val="00F90199"/>
    <w:rsid w:val="00F92D1A"/>
    <w:rsid w:val="00F93455"/>
    <w:rsid w:val="00F93F21"/>
    <w:rsid w:val="00F94B81"/>
    <w:rsid w:val="00F955D1"/>
    <w:rsid w:val="00F9595E"/>
    <w:rsid w:val="00F966B8"/>
    <w:rsid w:val="00F969CA"/>
    <w:rsid w:val="00F97283"/>
    <w:rsid w:val="00F97F7E"/>
    <w:rsid w:val="00FA04D7"/>
    <w:rsid w:val="00FA0BB6"/>
    <w:rsid w:val="00FA13E5"/>
    <w:rsid w:val="00FA192E"/>
    <w:rsid w:val="00FA2383"/>
    <w:rsid w:val="00FA2834"/>
    <w:rsid w:val="00FA561E"/>
    <w:rsid w:val="00FA661F"/>
    <w:rsid w:val="00FA69D1"/>
    <w:rsid w:val="00FA76CB"/>
    <w:rsid w:val="00FB0939"/>
    <w:rsid w:val="00FB203E"/>
    <w:rsid w:val="00FB27FA"/>
    <w:rsid w:val="00FB2FCD"/>
    <w:rsid w:val="00FB4D29"/>
    <w:rsid w:val="00FB5A12"/>
    <w:rsid w:val="00FB60FC"/>
    <w:rsid w:val="00FC2733"/>
    <w:rsid w:val="00FC2D5B"/>
    <w:rsid w:val="00FC348B"/>
    <w:rsid w:val="00FC48B3"/>
    <w:rsid w:val="00FC4FD8"/>
    <w:rsid w:val="00FC59ED"/>
    <w:rsid w:val="00FC68D8"/>
    <w:rsid w:val="00FD07CA"/>
    <w:rsid w:val="00FD18F6"/>
    <w:rsid w:val="00FD38BC"/>
    <w:rsid w:val="00FD69F1"/>
    <w:rsid w:val="00FD6BAD"/>
    <w:rsid w:val="00FD6EB5"/>
    <w:rsid w:val="00FD7BC2"/>
    <w:rsid w:val="00FE0246"/>
    <w:rsid w:val="00FE090C"/>
    <w:rsid w:val="00FE0D5C"/>
    <w:rsid w:val="00FE1824"/>
    <w:rsid w:val="00FE1CED"/>
    <w:rsid w:val="00FE30D8"/>
    <w:rsid w:val="00FE538E"/>
    <w:rsid w:val="00FE5D9F"/>
    <w:rsid w:val="00FE6484"/>
    <w:rsid w:val="00FE74E3"/>
    <w:rsid w:val="00FE76B8"/>
    <w:rsid w:val="00FE7736"/>
    <w:rsid w:val="00FF1A5D"/>
    <w:rsid w:val="00FF1CDF"/>
    <w:rsid w:val="00FF1DC9"/>
    <w:rsid w:val="00FF5D2E"/>
    <w:rsid w:val="00FF6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054ECC"/>
    <w:pPr>
      <w:outlineLvl w:val="0"/>
    </w:pPr>
    <w:rPr>
      <w:caps/>
      <w:szCs w:val="28"/>
      <w:u w:val="none"/>
    </w:rPr>
  </w:style>
  <w:style w:type="paragraph" w:styleId="Heading2">
    <w:name w:val="heading 2"/>
    <w:basedOn w:val="Normal"/>
    <w:next w:val="Normal"/>
    <w:qFormat/>
    <w:rsid w:val="003C4AB6"/>
    <w:pPr>
      <w:keepNext/>
      <w:spacing w:line="480" w:lineRule="auto"/>
      <w:jc w:val="center"/>
      <w:outlineLvl w:val="1"/>
    </w:pPr>
    <w:rPr>
      <w:b/>
      <w:bCs/>
      <w:iCs/>
      <w:u w:val="single"/>
    </w:rPr>
  </w:style>
  <w:style w:type="paragraph" w:styleId="Heading3">
    <w:name w:val="heading 3"/>
    <w:basedOn w:val="Heading2"/>
    <w:next w:val="Normal"/>
    <w:link w:val="Heading3Char"/>
    <w:qFormat/>
    <w:rsid w:val="003C4AB6"/>
    <w:pPr>
      <w:jc w:val="left"/>
      <w:outlineLvl w:val="2"/>
    </w:pPr>
    <w:rPr>
      <w:u w:val="none"/>
    </w:rPr>
  </w:style>
  <w:style w:type="paragraph" w:styleId="Heading6">
    <w:name w:val="heading 6"/>
    <w:basedOn w:val="Normal"/>
    <w:next w:val="Normal"/>
    <w:link w:val="Heading6Char"/>
    <w:uiPriority w:val="99"/>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uiPriority w:val="99"/>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uiPriority w:val="99"/>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styleId="ListParagraph">
    <w:name w:val="List Paragraph"/>
    <w:basedOn w:val="Normal"/>
    <w:uiPriority w:val="34"/>
    <w:qFormat/>
    <w:rsid w:val="00EC5969"/>
    <w:pPr>
      <w:ind w:left="720"/>
      <w:contextualSpacing/>
    </w:pPr>
  </w:style>
  <w:style w:type="paragraph" w:styleId="Revision">
    <w:name w:val="Revision"/>
    <w:hidden/>
    <w:uiPriority w:val="99"/>
    <w:semiHidden/>
    <w:rsid w:val="00054ECC"/>
    <w:rPr>
      <w:sz w:val="24"/>
      <w:szCs w:val="24"/>
    </w:rPr>
  </w:style>
  <w:style w:type="character" w:customStyle="1" w:styleId="Heading3Char">
    <w:name w:val="Heading 3 Char"/>
    <w:basedOn w:val="DefaultParagraphFont"/>
    <w:link w:val="Heading3"/>
    <w:rsid w:val="00895F9E"/>
    <w:rPr>
      <w:b/>
      <w:bCs/>
      <w:iCs/>
      <w:sz w:val="24"/>
      <w:szCs w:val="24"/>
    </w:rPr>
  </w:style>
  <w:style w:type="character" w:customStyle="1" w:styleId="Heading6Char">
    <w:name w:val="Heading 6 Char"/>
    <w:basedOn w:val="DefaultParagraphFont"/>
    <w:link w:val="Heading6"/>
    <w:uiPriority w:val="99"/>
    <w:rsid w:val="00921D76"/>
    <w:rPr>
      <w:b/>
      <w:bCs/>
      <w:sz w:val="22"/>
      <w:szCs w:val="2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rsid w:val="00921D76"/>
  </w:style>
  <w:style w:type="paragraph" w:styleId="TOCHeading">
    <w:name w:val="TOC Heading"/>
    <w:basedOn w:val="Heading1"/>
    <w:next w:val="Normal"/>
    <w:uiPriority w:val="39"/>
    <w:semiHidden/>
    <w:unhideWhenUsed/>
    <w:qFormat/>
    <w:rsid w:val="00DC1D13"/>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DC1D13"/>
    <w:pPr>
      <w:spacing w:after="100"/>
    </w:pPr>
  </w:style>
  <w:style w:type="paragraph" w:styleId="TOC2">
    <w:name w:val="toc 2"/>
    <w:basedOn w:val="Normal"/>
    <w:next w:val="Normal"/>
    <w:autoRedefine/>
    <w:uiPriority w:val="39"/>
    <w:unhideWhenUsed/>
    <w:rsid w:val="00DC1D13"/>
    <w:pPr>
      <w:spacing w:after="100"/>
      <w:ind w:left="240"/>
    </w:pPr>
  </w:style>
  <w:style w:type="paragraph" w:styleId="TOC3">
    <w:name w:val="toc 3"/>
    <w:basedOn w:val="Normal"/>
    <w:next w:val="Normal"/>
    <w:autoRedefine/>
    <w:uiPriority w:val="39"/>
    <w:unhideWhenUsed/>
    <w:rsid w:val="00DC1D13"/>
    <w:pPr>
      <w:spacing w:after="100"/>
      <w:ind w:left="480"/>
    </w:pPr>
  </w:style>
  <w:style w:type="character" w:styleId="Hyperlink">
    <w:name w:val="Hyperlink"/>
    <w:basedOn w:val="DefaultParagraphFont"/>
    <w:uiPriority w:val="99"/>
    <w:unhideWhenUsed/>
    <w:rsid w:val="00DC1D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054ECC"/>
    <w:pPr>
      <w:outlineLvl w:val="0"/>
    </w:pPr>
    <w:rPr>
      <w:caps/>
      <w:szCs w:val="28"/>
      <w:u w:val="none"/>
    </w:rPr>
  </w:style>
  <w:style w:type="paragraph" w:styleId="Heading2">
    <w:name w:val="heading 2"/>
    <w:basedOn w:val="Normal"/>
    <w:next w:val="Normal"/>
    <w:qFormat/>
    <w:rsid w:val="003C4AB6"/>
    <w:pPr>
      <w:keepNext/>
      <w:spacing w:line="480" w:lineRule="auto"/>
      <w:jc w:val="center"/>
      <w:outlineLvl w:val="1"/>
    </w:pPr>
    <w:rPr>
      <w:b/>
      <w:bCs/>
      <w:iCs/>
      <w:u w:val="single"/>
    </w:rPr>
  </w:style>
  <w:style w:type="paragraph" w:styleId="Heading3">
    <w:name w:val="heading 3"/>
    <w:basedOn w:val="Heading2"/>
    <w:next w:val="Normal"/>
    <w:link w:val="Heading3Char"/>
    <w:qFormat/>
    <w:rsid w:val="003C4AB6"/>
    <w:pPr>
      <w:jc w:val="left"/>
      <w:outlineLvl w:val="2"/>
    </w:pPr>
    <w:rPr>
      <w:u w:val="none"/>
    </w:rPr>
  </w:style>
  <w:style w:type="paragraph" w:styleId="Heading6">
    <w:name w:val="heading 6"/>
    <w:basedOn w:val="Normal"/>
    <w:next w:val="Normal"/>
    <w:link w:val="Heading6Char"/>
    <w:uiPriority w:val="99"/>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uiPriority w:val="99"/>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uiPriority w:val="99"/>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styleId="ListParagraph">
    <w:name w:val="List Paragraph"/>
    <w:basedOn w:val="Normal"/>
    <w:uiPriority w:val="34"/>
    <w:qFormat/>
    <w:rsid w:val="00EC5969"/>
    <w:pPr>
      <w:ind w:left="720"/>
      <w:contextualSpacing/>
    </w:pPr>
  </w:style>
  <w:style w:type="paragraph" w:styleId="Revision">
    <w:name w:val="Revision"/>
    <w:hidden/>
    <w:uiPriority w:val="99"/>
    <w:semiHidden/>
    <w:rsid w:val="00054ECC"/>
    <w:rPr>
      <w:sz w:val="24"/>
      <w:szCs w:val="24"/>
    </w:rPr>
  </w:style>
  <w:style w:type="character" w:customStyle="1" w:styleId="Heading3Char">
    <w:name w:val="Heading 3 Char"/>
    <w:basedOn w:val="DefaultParagraphFont"/>
    <w:link w:val="Heading3"/>
    <w:rsid w:val="00895F9E"/>
    <w:rPr>
      <w:b/>
      <w:bCs/>
      <w:iCs/>
      <w:sz w:val="24"/>
      <w:szCs w:val="24"/>
    </w:rPr>
  </w:style>
  <w:style w:type="character" w:customStyle="1" w:styleId="Heading6Char">
    <w:name w:val="Heading 6 Char"/>
    <w:basedOn w:val="DefaultParagraphFont"/>
    <w:link w:val="Heading6"/>
    <w:uiPriority w:val="99"/>
    <w:rsid w:val="00921D76"/>
    <w:rPr>
      <w:b/>
      <w:bCs/>
      <w:sz w:val="22"/>
      <w:szCs w:val="2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rsid w:val="00921D76"/>
  </w:style>
  <w:style w:type="paragraph" w:styleId="TOCHeading">
    <w:name w:val="TOC Heading"/>
    <w:basedOn w:val="Heading1"/>
    <w:next w:val="Normal"/>
    <w:uiPriority w:val="39"/>
    <w:semiHidden/>
    <w:unhideWhenUsed/>
    <w:qFormat/>
    <w:rsid w:val="00DC1D13"/>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DC1D13"/>
    <w:pPr>
      <w:spacing w:after="100"/>
    </w:pPr>
  </w:style>
  <w:style w:type="paragraph" w:styleId="TOC2">
    <w:name w:val="toc 2"/>
    <w:basedOn w:val="Normal"/>
    <w:next w:val="Normal"/>
    <w:autoRedefine/>
    <w:uiPriority w:val="39"/>
    <w:unhideWhenUsed/>
    <w:rsid w:val="00DC1D13"/>
    <w:pPr>
      <w:spacing w:after="100"/>
      <w:ind w:left="240"/>
    </w:pPr>
  </w:style>
  <w:style w:type="paragraph" w:styleId="TOC3">
    <w:name w:val="toc 3"/>
    <w:basedOn w:val="Normal"/>
    <w:next w:val="Normal"/>
    <w:autoRedefine/>
    <w:uiPriority w:val="39"/>
    <w:unhideWhenUsed/>
    <w:rsid w:val="00DC1D13"/>
    <w:pPr>
      <w:spacing w:after="100"/>
      <w:ind w:left="480"/>
    </w:pPr>
  </w:style>
  <w:style w:type="character" w:styleId="Hyperlink">
    <w:name w:val="Hyperlink"/>
    <w:basedOn w:val="DefaultParagraphFont"/>
    <w:uiPriority w:val="99"/>
    <w:unhideWhenUsed/>
    <w:rsid w:val="00DC1D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41983945">
      <w:bodyDiv w:val="1"/>
      <w:marLeft w:val="0"/>
      <w:marRight w:val="0"/>
      <w:marTop w:val="0"/>
      <w:marBottom w:val="0"/>
      <w:divBdr>
        <w:top w:val="none" w:sz="0" w:space="0" w:color="auto"/>
        <w:left w:val="none" w:sz="0" w:space="0" w:color="auto"/>
        <w:bottom w:val="none" w:sz="0" w:space="0" w:color="auto"/>
        <w:right w:val="none" w:sz="0" w:space="0" w:color="auto"/>
      </w:divBdr>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B3729B-B09F-4E6F-9B12-D91957727806}"/>
</file>

<file path=customXml/itemProps2.xml><?xml version="1.0" encoding="utf-8"?>
<ds:datastoreItem xmlns:ds="http://schemas.openxmlformats.org/officeDocument/2006/customXml" ds:itemID="{0234C2E7-3C81-4D5A-9380-E91D77F863AB}"/>
</file>

<file path=customXml/itemProps3.xml><?xml version="1.0" encoding="utf-8"?>
<ds:datastoreItem xmlns:ds="http://schemas.openxmlformats.org/officeDocument/2006/customXml" ds:itemID="{A299783A-088D-4E38-AF90-6AAF322E3654}"/>
</file>

<file path=customXml/itemProps4.xml><?xml version="1.0" encoding="utf-8"?>
<ds:datastoreItem xmlns:ds="http://schemas.openxmlformats.org/officeDocument/2006/customXml" ds:itemID="{C3B0009C-DA5D-4BD6-8BC9-78892BA76B40}"/>
</file>

<file path=docProps/app.xml><?xml version="1.0" encoding="utf-8"?>
<Properties xmlns="http://schemas.openxmlformats.org/officeDocument/2006/extended-properties" xmlns:vt="http://schemas.openxmlformats.org/officeDocument/2006/docPropsVTypes">
  <Template>Normal.dotm</Template>
  <TotalTime>0</TotalTime>
  <Pages>30</Pages>
  <Words>5965</Words>
  <Characters>36016</Characters>
  <Application>Microsoft Office Word</Application>
  <DocSecurity>0</DocSecurity>
  <Lines>300</Lines>
  <Paragraphs>83</Paragraphs>
  <ScaleCrop>false</ScaleCrop>
  <Company/>
  <LinksUpToDate>false</LinksUpToDate>
  <CharactersWithSpaces>41898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2013-07-31T19:45:00Z</dcterms:created>
  <dcterms:modified xsi:type="dcterms:W3CDTF">2013-07-31T19:45:00Z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