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2A" w:rsidRDefault="0057792A" w:rsidP="0057792A">
      <w:pPr>
        <w:jc w:val="both"/>
      </w:pPr>
      <w:r w:rsidRPr="0057792A">
        <w:rPr>
          <w:noProof/>
        </w:rPr>
        <w:drawing>
          <wp:anchor distT="0" distB="0" distL="114300" distR="114300" simplePos="0" relativeHeight="251659264" behindDoc="0" locked="0" layoutInCell="1" allowOverlap="1">
            <wp:simplePos x="0" y="0"/>
            <wp:positionH relativeFrom="column">
              <wp:posOffset>-895350</wp:posOffset>
            </wp:positionH>
            <wp:positionV relativeFrom="paragraph">
              <wp:posOffset>-1133475</wp:posOffset>
            </wp:positionV>
            <wp:extent cx="77343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57792A" w:rsidRDefault="0057792A" w:rsidP="0057792A">
      <w:pPr>
        <w:jc w:val="both"/>
      </w:pPr>
    </w:p>
    <w:p w:rsidR="0057792A" w:rsidRDefault="0057792A" w:rsidP="0057792A">
      <w:pPr>
        <w:jc w:val="both"/>
      </w:pPr>
    </w:p>
    <w:tbl>
      <w:tblPr>
        <w:tblW w:w="0" w:type="auto"/>
        <w:tblBorders>
          <w:insideH w:val="single" w:sz="4" w:space="0" w:color="auto"/>
        </w:tblBorders>
        <w:tblLayout w:type="fixed"/>
        <w:tblLook w:val="0000"/>
      </w:tblPr>
      <w:tblGrid>
        <w:gridCol w:w="4788"/>
        <w:gridCol w:w="4788"/>
      </w:tblGrid>
      <w:tr w:rsidR="0057792A" w:rsidTr="00D1774B">
        <w:tc>
          <w:tcPr>
            <w:tcW w:w="4788" w:type="dxa"/>
          </w:tcPr>
          <w:p w:rsidR="0057792A" w:rsidRDefault="0057792A" w:rsidP="00D1774B">
            <w:pPr>
              <w:pStyle w:val="Header"/>
              <w:rPr>
                <w:rFonts w:ascii="Arial" w:hAnsi="Arial" w:cs="Arial"/>
                <w:b/>
                <w:bCs/>
                <w:sz w:val="18"/>
                <w:szCs w:val="18"/>
              </w:rPr>
            </w:pPr>
            <w:r>
              <w:rPr>
                <w:rFonts w:ascii="Arial" w:hAnsi="Arial" w:cs="Arial"/>
                <w:b/>
                <w:bCs/>
                <w:sz w:val="18"/>
                <w:szCs w:val="18"/>
              </w:rPr>
              <w:t>Avista Corp.</w:t>
            </w:r>
          </w:p>
          <w:p w:rsidR="0057792A" w:rsidRDefault="0057792A" w:rsidP="00D1774B">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57792A" w:rsidRDefault="0057792A" w:rsidP="00D1774B">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57792A" w:rsidRDefault="0057792A" w:rsidP="00D1774B">
            <w:pPr>
              <w:pStyle w:val="Header"/>
              <w:rPr>
                <w:rFonts w:ascii="Arial" w:hAnsi="Arial" w:cs="Arial"/>
                <w:sz w:val="18"/>
                <w:szCs w:val="18"/>
              </w:rPr>
            </w:pPr>
            <w:r>
              <w:rPr>
                <w:rFonts w:ascii="Arial" w:hAnsi="Arial" w:cs="Arial"/>
                <w:sz w:val="18"/>
                <w:szCs w:val="18"/>
              </w:rPr>
              <w:t>Telephone 509-489-0500</w:t>
            </w:r>
          </w:p>
          <w:p w:rsidR="0057792A" w:rsidRDefault="0057792A" w:rsidP="00D1774B">
            <w:pPr>
              <w:pStyle w:val="Header"/>
              <w:rPr>
                <w:sz w:val="18"/>
                <w:szCs w:val="18"/>
              </w:rPr>
            </w:pPr>
            <w:r>
              <w:rPr>
                <w:rFonts w:ascii="Arial" w:hAnsi="Arial" w:cs="Arial"/>
                <w:sz w:val="18"/>
                <w:szCs w:val="18"/>
              </w:rPr>
              <w:t>Toll Free   800-727-9170</w:t>
            </w:r>
          </w:p>
          <w:p w:rsidR="0057792A" w:rsidRDefault="0057792A" w:rsidP="00D1774B">
            <w:pPr>
              <w:pStyle w:val="Header"/>
              <w:rPr>
                <w:rFonts w:ascii="Arial" w:hAnsi="Arial" w:cs="Arial"/>
                <w:b/>
                <w:bCs/>
                <w:sz w:val="18"/>
                <w:szCs w:val="18"/>
              </w:rPr>
            </w:pPr>
          </w:p>
        </w:tc>
        <w:tc>
          <w:tcPr>
            <w:tcW w:w="4788" w:type="dxa"/>
          </w:tcPr>
          <w:p w:rsidR="0057792A" w:rsidRDefault="0057792A" w:rsidP="00D1774B">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57792A" w:rsidRPr="004572DA" w:rsidRDefault="0057792A" w:rsidP="0057792A">
      <w:pPr>
        <w:jc w:val="both"/>
        <w:rPr>
          <w:b/>
          <w:i/>
        </w:rPr>
      </w:pPr>
      <w:r w:rsidRPr="004572DA">
        <w:rPr>
          <w:b/>
          <w:i/>
        </w:rPr>
        <w:t>VIA – Electronic Mail</w:t>
      </w:r>
    </w:p>
    <w:p w:rsidR="0057792A" w:rsidRDefault="0057792A" w:rsidP="0057792A">
      <w:pPr>
        <w:jc w:val="both"/>
      </w:pPr>
    </w:p>
    <w:p w:rsidR="0057792A" w:rsidRDefault="0057792A" w:rsidP="0057792A">
      <w:pPr>
        <w:jc w:val="both"/>
      </w:pPr>
    </w:p>
    <w:p w:rsidR="0057792A" w:rsidRDefault="009B266B" w:rsidP="0057792A">
      <w:pPr>
        <w:jc w:val="both"/>
      </w:pPr>
      <w:r>
        <w:t>June 15</w:t>
      </w:r>
      <w:r w:rsidR="003348BA">
        <w:t>, 2011</w:t>
      </w:r>
    </w:p>
    <w:p w:rsidR="0057792A" w:rsidRDefault="0057792A" w:rsidP="0057792A">
      <w:pPr>
        <w:jc w:val="both"/>
      </w:pPr>
    </w:p>
    <w:p w:rsidR="0057792A" w:rsidRDefault="0057792A" w:rsidP="0057792A">
      <w:pPr>
        <w:pStyle w:val="BodyTextIndent"/>
        <w:widowControl w:val="0"/>
        <w:tabs>
          <w:tab w:val="clear" w:pos="1440"/>
        </w:tabs>
        <w:ind w:firstLine="0"/>
        <w:jc w:val="left"/>
        <w:outlineLvl w:val="0"/>
      </w:pPr>
      <w:r>
        <w:t>Dave Danner</w:t>
      </w:r>
    </w:p>
    <w:p w:rsidR="0057792A" w:rsidRDefault="0057792A" w:rsidP="0057792A">
      <w:pPr>
        <w:pStyle w:val="BodyTextIndent"/>
        <w:widowControl w:val="0"/>
        <w:tabs>
          <w:tab w:val="clear" w:pos="1440"/>
        </w:tabs>
        <w:ind w:firstLine="0"/>
        <w:jc w:val="left"/>
        <w:outlineLvl w:val="0"/>
      </w:pPr>
      <w:r>
        <w:t>Executive Director and Secretary</w:t>
      </w:r>
    </w:p>
    <w:p w:rsidR="0057792A" w:rsidRDefault="0057792A" w:rsidP="0057792A">
      <w:pPr>
        <w:pStyle w:val="BodyTextIndent"/>
        <w:widowControl w:val="0"/>
        <w:tabs>
          <w:tab w:val="clear" w:pos="1440"/>
        </w:tabs>
        <w:ind w:firstLine="0"/>
        <w:jc w:val="left"/>
        <w:outlineLvl w:val="0"/>
      </w:pPr>
      <w:smartTag w:uri="urn:schemas-microsoft-com:office:smarttags" w:element="State">
        <w:smartTag w:uri="urn:schemas-microsoft-com:office:smarttags" w:element="place">
          <w:r>
            <w:t>Washington</w:t>
          </w:r>
        </w:smartTag>
      </w:smartTag>
      <w:r>
        <w:t xml:space="preserve"> Utilities and Transportation Commission</w:t>
      </w:r>
    </w:p>
    <w:p w:rsidR="0057792A" w:rsidRDefault="0057792A" w:rsidP="0057792A">
      <w:pPr>
        <w:pStyle w:val="BodyTextIndent"/>
        <w:widowControl w:val="0"/>
        <w:tabs>
          <w:tab w:val="clear" w:pos="1440"/>
        </w:tabs>
        <w:ind w:firstLine="0"/>
        <w:jc w:val="left"/>
        <w:outlineLvl w:val="0"/>
      </w:pPr>
      <w:smartTag w:uri="urn:schemas-microsoft-com:office:smarttags" w:element="address">
        <w:smartTag w:uri="urn:schemas-microsoft-com:office:smarttags" w:element="Street">
          <w:r>
            <w:t>PO Box</w:t>
          </w:r>
        </w:smartTag>
        <w:r>
          <w:t xml:space="preserve"> 47250</w:t>
        </w:r>
      </w:smartTag>
    </w:p>
    <w:p w:rsidR="0057792A" w:rsidRDefault="0057792A" w:rsidP="0057792A">
      <w:pPr>
        <w:pStyle w:val="BodyTextIndent"/>
        <w:widowControl w:val="0"/>
        <w:tabs>
          <w:tab w:val="clear" w:pos="1440"/>
        </w:tabs>
        <w:ind w:firstLine="0"/>
        <w:jc w:val="left"/>
        <w:outlineLvl w:val="0"/>
      </w:pPr>
      <w:smartTag w:uri="urn:schemas-microsoft-com:office:smarttags" w:element="Street">
        <w:smartTag w:uri="urn:schemas-microsoft-com:office:smarttags" w:element="address">
          <w:r>
            <w:t>1300 S. Evergreen Park Drive SW</w:t>
          </w:r>
        </w:smartTag>
      </w:smartTag>
    </w:p>
    <w:p w:rsidR="0057792A" w:rsidRDefault="0057792A" w:rsidP="0057792A">
      <w:pPr>
        <w:pStyle w:val="Heading1"/>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57792A" w:rsidRDefault="0057792A" w:rsidP="0057792A">
      <w:pPr>
        <w:jc w:val="both"/>
      </w:pPr>
    </w:p>
    <w:p w:rsidR="0057792A" w:rsidRDefault="0057792A" w:rsidP="0057792A">
      <w:pPr>
        <w:jc w:val="both"/>
      </w:pPr>
      <w:r>
        <w:t>Dear Mr. Danner:</w:t>
      </w:r>
    </w:p>
    <w:p w:rsidR="0057792A" w:rsidRDefault="0057792A" w:rsidP="0057792A">
      <w:pPr>
        <w:jc w:val="both"/>
      </w:pPr>
    </w:p>
    <w:p w:rsidR="0057792A" w:rsidRDefault="0057792A" w:rsidP="0057792A">
      <w:pPr>
        <w:jc w:val="both"/>
      </w:pPr>
      <w:r>
        <w:t>Re: AVU-UE-100176</w:t>
      </w:r>
    </w:p>
    <w:p w:rsidR="0057792A" w:rsidRDefault="0057792A" w:rsidP="0057792A">
      <w:pPr>
        <w:jc w:val="both"/>
      </w:pPr>
    </w:p>
    <w:p w:rsidR="0057792A" w:rsidRDefault="0057792A" w:rsidP="00D1774B">
      <w:pPr>
        <w:pStyle w:val="BodyText2"/>
      </w:pPr>
      <w:r>
        <w:t xml:space="preserve">In compliance with </w:t>
      </w:r>
      <w:r>
        <w:rPr>
          <w:szCs w:val="24"/>
        </w:rPr>
        <w:t xml:space="preserve">Commission Order No. 01 in the above referenced Docket, Avista Utilities respectfully submits for electronic filing </w:t>
      </w:r>
      <w:proofErr w:type="gramStart"/>
      <w:r>
        <w:rPr>
          <w:szCs w:val="24"/>
        </w:rPr>
        <w:t>its</w:t>
      </w:r>
      <w:proofErr w:type="gramEnd"/>
      <w:r>
        <w:t xml:space="preserve"> “</w:t>
      </w:r>
      <w:r w:rsidR="009B266B">
        <w:t>Updated 2011 Demand Side Management (DSM) Business Plan</w:t>
      </w:r>
      <w:r>
        <w:t>.”</w:t>
      </w:r>
    </w:p>
    <w:p w:rsidR="0057792A" w:rsidRDefault="0057792A" w:rsidP="00D1774B">
      <w:pPr>
        <w:jc w:val="both"/>
      </w:pPr>
    </w:p>
    <w:p w:rsidR="0057792A" w:rsidRPr="00C1662F" w:rsidRDefault="00D1774B" w:rsidP="00D1774B">
      <w:pPr>
        <w:jc w:val="both"/>
      </w:pPr>
      <w:r>
        <w:t>Specifically</w:t>
      </w:r>
      <w:r w:rsidR="0057792A">
        <w:t xml:space="preserve"> Order No. 01 </w:t>
      </w:r>
      <w:r w:rsidR="0057792A" w:rsidRPr="002120E8">
        <w:t xml:space="preserve">Paragraph 63, section 7(a) </w:t>
      </w:r>
      <w:r w:rsidR="0057792A">
        <w:t>in Docket</w:t>
      </w:r>
      <w:r w:rsidR="0057792A" w:rsidRPr="002120E8">
        <w:t xml:space="preserve"> UE-100176</w:t>
      </w:r>
      <w:r w:rsidR="0057792A">
        <w:t xml:space="preserve"> regarding the following regulatory requirement:</w:t>
      </w:r>
    </w:p>
    <w:p w:rsidR="0057792A" w:rsidRPr="00C1662F" w:rsidRDefault="0057792A" w:rsidP="00D1774B">
      <w:pPr>
        <w:jc w:val="both"/>
      </w:pPr>
    </w:p>
    <w:p w:rsidR="0057792A" w:rsidRPr="00C1662F" w:rsidRDefault="0057792A" w:rsidP="00D1774B">
      <w:pPr>
        <w:ind w:left="360"/>
        <w:jc w:val="both"/>
      </w:pPr>
      <w:r>
        <w:t xml:space="preserve">“Modifications to the programs must be filed with the Commission as revisions to tariffs or as revisions to Avista’s DSM Business Plan, as appropriate”.  </w:t>
      </w:r>
    </w:p>
    <w:p w:rsidR="0057792A" w:rsidRPr="00C1662F" w:rsidRDefault="0057792A" w:rsidP="00D1774B">
      <w:pPr>
        <w:jc w:val="both"/>
      </w:pPr>
    </w:p>
    <w:p w:rsidR="0057792A" w:rsidRDefault="0057792A" w:rsidP="00D1774B">
      <w:pPr>
        <w:jc w:val="both"/>
      </w:pPr>
      <w:r>
        <w:t xml:space="preserve">Pursuant to meeting this requirement, Avista is hereby providing an update to the 2011 </w:t>
      </w:r>
      <w:r w:rsidR="00D1774B">
        <w:t>Demand Side Management (</w:t>
      </w:r>
      <w:r>
        <w:t>DSM</w:t>
      </w:r>
      <w:r w:rsidR="00D1774B">
        <w:t>)</w:t>
      </w:r>
      <w:r>
        <w:t xml:space="preserve"> Business Plan in regards to changes in the eligibility of efficiency measures, customer classes or technology applications</w:t>
      </w:r>
      <w:r w:rsidRPr="002120E8">
        <w:t xml:space="preserve"> qualifying for meeting the acquisition target established within </w:t>
      </w:r>
      <w:r>
        <w:t xml:space="preserve">Docket </w:t>
      </w:r>
      <w:r w:rsidRPr="002120E8">
        <w:t>UE-100176 as well as changes to incentives, additions or terminations of programs applicable towards the acquisition target.</w:t>
      </w:r>
    </w:p>
    <w:p w:rsidR="00A83136" w:rsidRDefault="00A83136" w:rsidP="00D1774B">
      <w:pPr>
        <w:jc w:val="both"/>
        <w:rPr>
          <w:b/>
          <w:u w:val="single"/>
        </w:rPr>
      </w:pPr>
    </w:p>
    <w:p w:rsidR="0057792A" w:rsidRDefault="0057792A" w:rsidP="00D1774B">
      <w:pPr>
        <w:jc w:val="both"/>
        <w:rPr>
          <w:b/>
          <w:u w:val="single"/>
        </w:rPr>
      </w:pPr>
    </w:p>
    <w:p w:rsidR="00880C2E" w:rsidRPr="002565CB" w:rsidRDefault="00880C2E" w:rsidP="00A83136">
      <w:pPr>
        <w:jc w:val="center"/>
        <w:rPr>
          <w:b/>
          <w:u w:val="single"/>
        </w:rPr>
      </w:pPr>
      <w:r w:rsidRPr="002565CB">
        <w:rPr>
          <w:b/>
          <w:u w:val="single"/>
        </w:rPr>
        <w:t>Background</w:t>
      </w:r>
    </w:p>
    <w:p w:rsidR="00880C2E" w:rsidRDefault="00880C2E"/>
    <w:p w:rsidR="00880C2E" w:rsidRPr="00C1662F" w:rsidRDefault="002120E8" w:rsidP="00F5645C">
      <w:pPr>
        <w:jc w:val="both"/>
      </w:pPr>
      <w:r w:rsidRPr="002120E8">
        <w:t>The previously filed Business Plan was developed during the fall 2010 time period to meet the required November 1</w:t>
      </w:r>
      <w:r w:rsidRPr="002120E8">
        <w:rPr>
          <w:vertAlign w:val="superscript"/>
        </w:rPr>
        <w:t>st</w:t>
      </w:r>
      <w:r w:rsidRPr="002120E8">
        <w:t>, 2010 filing date.  This update to that Plan was developed in consultation with the Company’s Advisory Group and the ongoing adaptive management strategies have involved stakeholders to the extent possible given the requirements for timeliness and detail.</w:t>
      </w:r>
    </w:p>
    <w:p w:rsidR="00880C2E" w:rsidRPr="00C1662F" w:rsidRDefault="00880C2E" w:rsidP="00F5645C">
      <w:pPr>
        <w:jc w:val="both"/>
      </w:pPr>
    </w:p>
    <w:p w:rsidR="00880C2E" w:rsidRPr="00C1662F" w:rsidRDefault="00880C2E" w:rsidP="00F5645C">
      <w:pPr>
        <w:jc w:val="both"/>
      </w:pPr>
    </w:p>
    <w:p w:rsidR="00880C2E" w:rsidRPr="00C1662F" w:rsidRDefault="002120E8" w:rsidP="00A83136">
      <w:pPr>
        <w:jc w:val="center"/>
        <w:rPr>
          <w:b/>
          <w:u w:val="single"/>
        </w:rPr>
      </w:pPr>
      <w:r w:rsidRPr="002120E8">
        <w:rPr>
          <w:b/>
          <w:u w:val="single"/>
        </w:rPr>
        <w:t>Summary of program modifications</w:t>
      </w:r>
    </w:p>
    <w:p w:rsidR="00880C2E" w:rsidRPr="00C1662F" w:rsidRDefault="00880C2E" w:rsidP="00F5645C">
      <w:pPr>
        <w:jc w:val="both"/>
      </w:pPr>
    </w:p>
    <w:p w:rsidR="00880C2E" w:rsidRPr="00C1662F" w:rsidRDefault="002120E8" w:rsidP="00F5645C">
      <w:pPr>
        <w:jc w:val="both"/>
        <w:rPr>
          <w:u w:val="single"/>
        </w:rPr>
      </w:pPr>
      <w:r w:rsidRPr="002120E8">
        <w:rPr>
          <w:u w:val="single"/>
        </w:rPr>
        <w:t>Program terminations</w:t>
      </w:r>
    </w:p>
    <w:p w:rsidR="00880C2E" w:rsidRPr="00C1662F" w:rsidRDefault="00880C2E" w:rsidP="00F5645C">
      <w:pPr>
        <w:jc w:val="both"/>
      </w:pPr>
    </w:p>
    <w:p w:rsidR="00880C2E" w:rsidRPr="00C1662F" w:rsidRDefault="002120E8" w:rsidP="00F5645C">
      <w:pPr>
        <w:jc w:val="both"/>
        <w:rPr>
          <w:u w:val="single"/>
        </w:rPr>
      </w:pPr>
      <w:r w:rsidRPr="002120E8">
        <w:tab/>
      </w:r>
      <w:r w:rsidRPr="002120E8">
        <w:rPr>
          <w:u w:val="single"/>
        </w:rPr>
        <w:t>Residential windows</w:t>
      </w:r>
    </w:p>
    <w:p w:rsidR="002565CB" w:rsidRPr="00C1662F" w:rsidRDefault="002120E8" w:rsidP="00F5645C">
      <w:pPr>
        <w:ind w:left="720"/>
        <w:jc w:val="both"/>
      </w:pPr>
      <w:r w:rsidRPr="002120E8">
        <w:t>Impact evaluations completed during 2010 using statistical billing analysis on 2008 participants indicated that the estimated realized energy savings were substantially less than anticipated in the original development of the program.  Cost-effectiveness analysis performed based upon updated estimates of the energy savings indicated that the program failed to meet total resource cost-effectiveness criteria.  The Company was unsuccessful in identifying any revisions to the program design that would materially improve total resource cost-effectiveness.  Consequently the Company has chosen to terminate both the electric and natural gas residential window program.</w:t>
      </w:r>
    </w:p>
    <w:p w:rsidR="002565CB" w:rsidRPr="00C1662F" w:rsidRDefault="002565CB" w:rsidP="00F5645C">
      <w:pPr>
        <w:ind w:left="720"/>
        <w:jc w:val="both"/>
      </w:pPr>
    </w:p>
    <w:p w:rsidR="002565CB" w:rsidRPr="00C1662F" w:rsidRDefault="002120E8" w:rsidP="00F5645C">
      <w:pPr>
        <w:ind w:left="720"/>
        <w:jc w:val="both"/>
      </w:pPr>
      <w:r w:rsidRPr="002120E8">
        <w:t>Avista is implementing an approach to the program termination that balances the need for the timely termination of the program with the need to equitably treat customers and trade allies who may have been in the process of participating in the incentive program.  As of June 30th, 2011 the Company will no longer accept applications for incentives under this program.</w:t>
      </w:r>
    </w:p>
    <w:p w:rsidR="002565CB" w:rsidRPr="00C1662F" w:rsidRDefault="002565CB" w:rsidP="00F5645C">
      <w:pPr>
        <w:ind w:left="720"/>
        <w:jc w:val="both"/>
      </w:pPr>
    </w:p>
    <w:p w:rsidR="006C0D1B" w:rsidRPr="00C1662F" w:rsidRDefault="002120E8" w:rsidP="00F5645C">
      <w:pPr>
        <w:ind w:left="720"/>
        <w:jc w:val="both"/>
        <w:rPr>
          <w:u w:val="single"/>
        </w:rPr>
      </w:pPr>
      <w:r w:rsidRPr="002120E8">
        <w:rPr>
          <w:u w:val="single"/>
        </w:rPr>
        <w:t xml:space="preserve">Prescriptive LED traffic lights </w:t>
      </w:r>
    </w:p>
    <w:p w:rsidR="006C0D1B" w:rsidRDefault="002120E8" w:rsidP="00F5645C">
      <w:pPr>
        <w:ind w:left="720"/>
        <w:jc w:val="both"/>
      </w:pPr>
      <w:r w:rsidRPr="002120E8">
        <w:t>The Company will no longer accept applications for prescriptive LED traffic lights installed after September 15</w:t>
      </w:r>
      <w:r w:rsidRPr="002120E8">
        <w:rPr>
          <w:vertAlign w:val="superscript"/>
        </w:rPr>
        <w:t>th</w:t>
      </w:r>
      <w:r w:rsidRPr="002120E8">
        <w:t xml:space="preserve">, 2011 and </w:t>
      </w:r>
      <w:r w:rsidR="0087781E">
        <w:t xml:space="preserve">received </w:t>
      </w:r>
      <w:r w:rsidR="00405665">
        <w:t xml:space="preserve">by December 15, 2011.  This measure will be </w:t>
      </w:r>
      <w:r w:rsidR="00891050">
        <w:t>in</w:t>
      </w:r>
      <w:r w:rsidR="00405665">
        <w:t xml:space="preserve">eligible for </w:t>
      </w:r>
      <w:r w:rsidR="00264468">
        <w:t>incentives under the</w:t>
      </w:r>
      <w:r w:rsidR="00405665">
        <w:t xml:space="preserve"> </w:t>
      </w:r>
      <w:r w:rsidR="00FD0C22">
        <w:t>site-specific program</w:t>
      </w:r>
      <w:r w:rsidR="00B81FF5">
        <w:t xml:space="preserve"> </w:t>
      </w:r>
      <w:r w:rsidR="009829AC">
        <w:t>after that date</w:t>
      </w:r>
      <w:r w:rsidR="00B81FF5">
        <w:t xml:space="preserve">.  This program is being terminated based upon </w:t>
      </w:r>
      <w:r w:rsidR="00264468">
        <w:t xml:space="preserve">revised baseline estimates given </w:t>
      </w:r>
      <w:r w:rsidR="00B81FF5">
        <w:t xml:space="preserve">the successful saturation of a significant portion of the market and coverage of the key jurisdictions within the </w:t>
      </w:r>
      <w:r w:rsidR="00C1662F">
        <w:t xml:space="preserve">Avista </w:t>
      </w:r>
      <w:r w:rsidR="00B81FF5">
        <w:t>service territory</w:t>
      </w:r>
      <w:r w:rsidR="00C1662F">
        <w:t xml:space="preserve"> as well as regional markets</w:t>
      </w:r>
      <w:r w:rsidR="00B81FF5">
        <w:t>.</w:t>
      </w:r>
    </w:p>
    <w:p w:rsidR="006C0D1B" w:rsidRDefault="006C0D1B" w:rsidP="00F5645C">
      <w:pPr>
        <w:ind w:left="720"/>
        <w:jc w:val="both"/>
      </w:pPr>
    </w:p>
    <w:p w:rsidR="009829AC" w:rsidRPr="009829AC" w:rsidRDefault="009829AC" w:rsidP="00F5645C">
      <w:pPr>
        <w:ind w:left="720"/>
        <w:jc w:val="both"/>
        <w:rPr>
          <w:u w:val="single"/>
        </w:rPr>
      </w:pPr>
      <w:r w:rsidRPr="009829AC">
        <w:rPr>
          <w:u w:val="single"/>
        </w:rPr>
        <w:t>Prescriptive lighting</w:t>
      </w:r>
    </w:p>
    <w:p w:rsidR="009829AC" w:rsidRDefault="009829AC" w:rsidP="00F5645C">
      <w:pPr>
        <w:ind w:left="720"/>
        <w:jc w:val="both"/>
      </w:pPr>
      <w:r>
        <w:t xml:space="preserve">Three prescriptive lighting measures have been discontinued based upon updated analysis indicating that the measures were no longer </w:t>
      </w:r>
      <w:r w:rsidR="00264468">
        <w:t xml:space="preserve">total resource </w:t>
      </w:r>
      <w:r>
        <w:t xml:space="preserve">cost-effective.  These measures are </w:t>
      </w:r>
    </w:p>
    <w:p w:rsidR="009829AC" w:rsidRPr="00891050" w:rsidRDefault="009829AC" w:rsidP="00F5645C">
      <w:pPr>
        <w:ind w:left="720"/>
        <w:jc w:val="both"/>
      </w:pPr>
    </w:p>
    <w:p w:rsidR="009829AC" w:rsidRPr="00891050" w:rsidRDefault="002120E8" w:rsidP="00F5645C">
      <w:pPr>
        <w:pStyle w:val="ListParagraph"/>
        <w:numPr>
          <w:ilvl w:val="0"/>
          <w:numId w:val="7"/>
        </w:numPr>
        <w:jc w:val="both"/>
        <w:rPr>
          <w:rFonts w:ascii="Times New Roman" w:hAnsi="Times New Roman"/>
          <w:sz w:val="24"/>
          <w:szCs w:val="24"/>
        </w:rPr>
      </w:pPr>
      <w:r w:rsidRPr="002120E8">
        <w:rPr>
          <w:rFonts w:ascii="Times New Roman" w:hAnsi="Times New Roman"/>
          <w:sz w:val="24"/>
          <w:szCs w:val="24"/>
        </w:rPr>
        <w:t>the replacement of 400 watt HID fixtures with 6-lamp T5 High-Output fixtures</w:t>
      </w:r>
    </w:p>
    <w:p w:rsidR="009829AC" w:rsidRPr="00891050" w:rsidRDefault="002120E8" w:rsidP="00F5645C">
      <w:pPr>
        <w:pStyle w:val="ListParagraph"/>
        <w:numPr>
          <w:ilvl w:val="0"/>
          <w:numId w:val="7"/>
        </w:numPr>
        <w:jc w:val="both"/>
        <w:rPr>
          <w:rFonts w:ascii="Times New Roman" w:hAnsi="Times New Roman"/>
          <w:sz w:val="24"/>
          <w:szCs w:val="24"/>
        </w:rPr>
      </w:pPr>
      <w:r w:rsidRPr="002120E8">
        <w:rPr>
          <w:rFonts w:ascii="Times New Roman" w:hAnsi="Times New Roman"/>
          <w:sz w:val="24"/>
          <w:szCs w:val="24"/>
        </w:rPr>
        <w:t>the replacement of 1000 watt HID fixtures with two 6-lamp T5 High-Output fixtures</w:t>
      </w:r>
    </w:p>
    <w:p w:rsidR="009829AC" w:rsidRPr="00891050" w:rsidRDefault="002120E8" w:rsidP="00F5645C">
      <w:pPr>
        <w:pStyle w:val="ListParagraph"/>
        <w:numPr>
          <w:ilvl w:val="0"/>
          <w:numId w:val="7"/>
        </w:numPr>
        <w:jc w:val="both"/>
        <w:rPr>
          <w:rFonts w:ascii="Times New Roman" w:hAnsi="Times New Roman"/>
          <w:sz w:val="24"/>
          <w:szCs w:val="24"/>
        </w:rPr>
      </w:pPr>
      <w:r w:rsidRPr="002120E8">
        <w:rPr>
          <w:rFonts w:ascii="Times New Roman" w:hAnsi="Times New Roman"/>
          <w:sz w:val="24"/>
          <w:szCs w:val="24"/>
        </w:rPr>
        <w:t>the installation of occupancy sensor controlled wall switches</w:t>
      </w:r>
    </w:p>
    <w:p w:rsidR="009829AC" w:rsidRDefault="003E17DD" w:rsidP="00F5645C">
      <w:pPr>
        <w:ind w:left="720"/>
        <w:jc w:val="both"/>
      </w:pPr>
      <w:r>
        <w:t xml:space="preserve">These measures </w:t>
      </w:r>
      <w:r w:rsidR="00C1662F">
        <w:t xml:space="preserve">continue to be </w:t>
      </w:r>
      <w:r>
        <w:t>eligible for the site-specific program to the extent that they can demonstrate an energy simple payback of eight years or less consistent with the Company’s tariffs.</w:t>
      </w:r>
    </w:p>
    <w:p w:rsidR="00A83136" w:rsidRDefault="00A83136" w:rsidP="00F5645C">
      <w:pPr>
        <w:ind w:left="720"/>
        <w:jc w:val="both"/>
      </w:pPr>
    </w:p>
    <w:p w:rsidR="00A83136" w:rsidRDefault="00A83136" w:rsidP="00F5645C">
      <w:pPr>
        <w:ind w:left="720"/>
        <w:jc w:val="both"/>
      </w:pPr>
    </w:p>
    <w:p w:rsidR="00A83136" w:rsidRDefault="00A83136" w:rsidP="00F5645C">
      <w:pPr>
        <w:ind w:left="720"/>
        <w:jc w:val="both"/>
      </w:pPr>
    </w:p>
    <w:p w:rsidR="003E17DD" w:rsidRDefault="003E17DD" w:rsidP="00F5645C">
      <w:pPr>
        <w:ind w:left="720"/>
        <w:jc w:val="both"/>
      </w:pPr>
    </w:p>
    <w:p w:rsidR="005D0A88" w:rsidRDefault="005D0A88" w:rsidP="00F5645C">
      <w:pPr>
        <w:jc w:val="both"/>
        <w:rPr>
          <w:u w:val="single"/>
        </w:rPr>
      </w:pPr>
      <w:r>
        <w:rPr>
          <w:u w:val="single"/>
        </w:rPr>
        <w:t xml:space="preserve">Program </w:t>
      </w:r>
      <w:r w:rsidR="00891050">
        <w:rPr>
          <w:u w:val="single"/>
        </w:rPr>
        <w:t>additions</w:t>
      </w:r>
    </w:p>
    <w:p w:rsidR="005D0A88" w:rsidRDefault="005D0A88" w:rsidP="00F5645C">
      <w:pPr>
        <w:jc w:val="both"/>
        <w:rPr>
          <w:u w:val="single"/>
        </w:rPr>
      </w:pPr>
    </w:p>
    <w:p w:rsidR="006C0D1B" w:rsidRDefault="006C0D1B" w:rsidP="00F5645C">
      <w:pPr>
        <w:ind w:left="720"/>
        <w:jc w:val="both"/>
        <w:rPr>
          <w:u w:val="single"/>
        </w:rPr>
      </w:pPr>
      <w:r>
        <w:rPr>
          <w:u w:val="single"/>
        </w:rPr>
        <w:t xml:space="preserve">Compact </w:t>
      </w:r>
      <w:r w:rsidR="00891050">
        <w:rPr>
          <w:u w:val="single"/>
        </w:rPr>
        <w:t xml:space="preserve">Fluorescent Lamp </w:t>
      </w:r>
      <w:r>
        <w:rPr>
          <w:u w:val="single"/>
        </w:rPr>
        <w:t>(CFL) contingency program</w:t>
      </w:r>
    </w:p>
    <w:p w:rsidR="00A4317F" w:rsidRDefault="00A4317F" w:rsidP="00F5645C">
      <w:pPr>
        <w:ind w:left="720"/>
        <w:jc w:val="both"/>
      </w:pPr>
      <w:r>
        <w:t xml:space="preserve">The Company’s 2010-2011 DSM Business Plan recognized that the estimate of acquisition qualifying towards meeting the Company’s 2010-2011 I-937 goal was subject to significant uncertainty.  A CFL contingency program was </w:t>
      </w:r>
      <w:r w:rsidR="009535C2">
        <w:t>determined to be the most promising means of meeting the potential acquisition shortfall for the following reasons:</w:t>
      </w:r>
    </w:p>
    <w:p w:rsidR="009535C2" w:rsidRDefault="009535C2" w:rsidP="00F5645C">
      <w:pPr>
        <w:ind w:left="720"/>
        <w:jc w:val="both"/>
      </w:pP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 xml:space="preserve">The energy savings would be based upon </w:t>
      </w:r>
      <w:r w:rsidR="00905EB5">
        <w:rPr>
          <w:rFonts w:ascii="Times New Roman" w:hAnsi="Times New Roman"/>
          <w:sz w:val="24"/>
          <w:szCs w:val="24"/>
        </w:rPr>
        <w:t>regionally accepted savings estimates</w:t>
      </w:r>
      <w:r w:rsidRPr="002120E8">
        <w:rPr>
          <w:rFonts w:ascii="Times New Roman" w:hAnsi="Times New Roman"/>
          <w:sz w:val="24"/>
          <w:szCs w:val="24"/>
        </w:rPr>
        <w:t xml:space="preserve"> which w</w:t>
      </w:r>
      <w:r w:rsidR="00905EB5">
        <w:rPr>
          <w:rFonts w:ascii="Times New Roman" w:hAnsi="Times New Roman"/>
          <w:sz w:val="24"/>
          <w:szCs w:val="24"/>
        </w:rPr>
        <w:t>ere</w:t>
      </w:r>
      <w:r w:rsidRPr="002120E8">
        <w:rPr>
          <w:rFonts w:ascii="Times New Roman" w:hAnsi="Times New Roman"/>
          <w:sz w:val="24"/>
          <w:szCs w:val="24"/>
        </w:rPr>
        <w:t xml:space="preserve"> established within the Northwest Power and Conservation Council’s 6</w:t>
      </w:r>
      <w:r w:rsidRPr="002120E8">
        <w:rPr>
          <w:rFonts w:ascii="Times New Roman" w:hAnsi="Times New Roman"/>
          <w:sz w:val="24"/>
          <w:szCs w:val="24"/>
          <w:vertAlign w:val="superscript"/>
        </w:rPr>
        <w:t>th</w:t>
      </w:r>
      <w:r w:rsidRPr="002120E8">
        <w:rPr>
          <w:rFonts w:ascii="Times New Roman" w:hAnsi="Times New Roman"/>
          <w:sz w:val="24"/>
          <w:szCs w:val="24"/>
        </w:rPr>
        <w:t xml:space="preserve"> Power Plan.  (Avista relied upon the 6</w:t>
      </w:r>
      <w:r w:rsidRPr="002120E8">
        <w:rPr>
          <w:rFonts w:ascii="Times New Roman" w:hAnsi="Times New Roman"/>
          <w:sz w:val="24"/>
          <w:szCs w:val="24"/>
          <w:vertAlign w:val="superscript"/>
        </w:rPr>
        <w:t>th</w:t>
      </w:r>
      <w:r w:rsidRPr="002120E8">
        <w:rPr>
          <w:rFonts w:ascii="Times New Roman" w:hAnsi="Times New Roman"/>
          <w:sz w:val="24"/>
          <w:szCs w:val="24"/>
        </w:rPr>
        <w:t xml:space="preserve"> Power Plan to establish the 2010-2011 I-937 acquisition </w:t>
      </w:r>
      <w:proofErr w:type="gramStart"/>
      <w:r w:rsidRPr="002120E8">
        <w:rPr>
          <w:rFonts w:ascii="Times New Roman" w:hAnsi="Times New Roman"/>
          <w:sz w:val="24"/>
          <w:szCs w:val="24"/>
        </w:rPr>
        <w:t>target</w:t>
      </w:r>
      <w:proofErr w:type="gramEnd"/>
      <w:r w:rsidRPr="002120E8">
        <w:rPr>
          <w:rFonts w:ascii="Times New Roman" w:hAnsi="Times New Roman"/>
          <w:sz w:val="24"/>
          <w:szCs w:val="24"/>
        </w:rPr>
        <w:t>).</w:t>
      </w: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The measure substantially exceeds total resource cost-effective requirements as well as having an attractive utility cost per unit of qualifying first-year energy savings.</w:t>
      </w: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The program is scalable and thus can be sized</w:t>
      </w:r>
      <w:r w:rsidR="00C1662F">
        <w:rPr>
          <w:rFonts w:ascii="Times New Roman" w:hAnsi="Times New Roman"/>
          <w:sz w:val="24"/>
          <w:szCs w:val="24"/>
        </w:rPr>
        <w:t>, within a reasonable degree,</w:t>
      </w:r>
      <w:r w:rsidRPr="002120E8">
        <w:rPr>
          <w:rFonts w:ascii="Times New Roman" w:hAnsi="Times New Roman"/>
          <w:sz w:val="24"/>
          <w:szCs w:val="24"/>
        </w:rPr>
        <w:t xml:space="preserve"> to meet updated estimates of acquisition deficiency.</w:t>
      </w: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 xml:space="preserve">There remains a significant cost-effective resource potential for this measure.  The Company’s most recent estimate of that potential is based upon the Conservation Potential Assessment completed by Global Consulting and indicates that approximately 75% of the technical potential for CFL’s is unrealized. </w:t>
      </w: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The launch of the program could be timed so as to make use of updated information regarding the magnitude of the potential resource acquisition shortfall.</w:t>
      </w:r>
    </w:p>
    <w:p w:rsidR="002120E8" w:rsidRPr="002120E8" w:rsidRDefault="002120E8" w:rsidP="00F5645C">
      <w:pPr>
        <w:pStyle w:val="ListParagraph"/>
        <w:numPr>
          <w:ilvl w:val="0"/>
          <w:numId w:val="4"/>
        </w:numPr>
        <w:spacing w:after="0"/>
        <w:jc w:val="both"/>
        <w:rPr>
          <w:rFonts w:ascii="Times New Roman" w:hAnsi="Times New Roman"/>
          <w:sz w:val="24"/>
          <w:szCs w:val="24"/>
        </w:rPr>
      </w:pPr>
      <w:r w:rsidRPr="002120E8">
        <w:rPr>
          <w:rFonts w:ascii="Times New Roman" w:hAnsi="Times New Roman"/>
          <w:sz w:val="24"/>
          <w:szCs w:val="24"/>
        </w:rPr>
        <w:t>Avista’s three other programs for residential CFL distribution were projected to amount to a distribution of only 103,500 CFL’s for the combined Washington and Idaho service territory.</w:t>
      </w:r>
    </w:p>
    <w:p w:rsidR="009535C2" w:rsidRPr="00905EB5" w:rsidRDefault="002120E8" w:rsidP="00F5645C">
      <w:pPr>
        <w:pStyle w:val="ListParagraph"/>
        <w:numPr>
          <w:ilvl w:val="1"/>
          <w:numId w:val="4"/>
        </w:numPr>
        <w:jc w:val="both"/>
        <w:rPr>
          <w:rFonts w:ascii="Times New Roman" w:hAnsi="Times New Roman"/>
          <w:sz w:val="24"/>
          <w:szCs w:val="24"/>
        </w:rPr>
      </w:pPr>
      <w:r w:rsidRPr="002120E8">
        <w:rPr>
          <w:rFonts w:ascii="Times New Roman" w:hAnsi="Times New Roman"/>
          <w:sz w:val="24"/>
          <w:szCs w:val="24"/>
        </w:rPr>
        <w:t>(One of these CFL distribution programs, Avista’s participation in the regional “Simple Steps, Smart Savings” program has significantly exceeded expectations.  It is estimated that a total of 425,000 CFL’s will be distributed through the Company’s Washington/Idaho CFL programs during calendar year 2011).</w:t>
      </w:r>
    </w:p>
    <w:p w:rsidR="009535C2" w:rsidRDefault="009535C2" w:rsidP="00F5645C">
      <w:pPr>
        <w:ind w:left="720"/>
        <w:jc w:val="both"/>
      </w:pPr>
      <w:r>
        <w:t xml:space="preserve">The CFL contingency program was incorporated </w:t>
      </w:r>
      <w:r w:rsidR="00264468">
        <w:t>within</w:t>
      </w:r>
      <w:r>
        <w:t xml:space="preserve"> the 2011 DSM Business Plan, but the quantity of distributions, the budget and the program planning details were intentionally deferred to a later date to allow the Company to take advantage of updated information regarding estimated 2010-2011 resource acquisition.  It was expected that the final program planning effort would occur in mid-2011 in anticipation of a fall program launch.</w:t>
      </w:r>
    </w:p>
    <w:p w:rsidR="009535C2" w:rsidRDefault="009535C2" w:rsidP="00F5645C">
      <w:pPr>
        <w:ind w:left="720"/>
        <w:jc w:val="both"/>
      </w:pPr>
    </w:p>
    <w:p w:rsidR="005D0A88" w:rsidRDefault="009535C2" w:rsidP="00F5645C">
      <w:pPr>
        <w:ind w:left="720"/>
        <w:jc w:val="both"/>
      </w:pPr>
      <w:r>
        <w:t xml:space="preserve">Detailed development of the CFL contingency program began in </w:t>
      </w:r>
      <w:r w:rsidR="00905EB5">
        <w:t xml:space="preserve">April </w:t>
      </w:r>
      <w:r>
        <w:t xml:space="preserve">of 2011 with the expectation that the first distributions would </w:t>
      </w:r>
      <w:r w:rsidR="00FB3753">
        <w:t xml:space="preserve">possibly </w:t>
      </w:r>
      <w:r>
        <w:t xml:space="preserve">occur in July or August.  </w:t>
      </w:r>
      <w:r w:rsidR="00CF4DFA">
        <w:t>A</w:t>
      </w:r>
      <w:r w:rsidR="00264468">
        <w:t xml:space="preserve">t the </w:t>
      </w:r>
      <w:r w:rsidR="00264468">
        <w:lastRenderedPageBreak/>
        <w:t xml:space="preserve">time of this </w:t>
      </w:r>
      <w:r w:rsidR="00CF4DFA">
        <w:t>update, the anticipated Washington budget for a distribution of 225,000 kits containing eight CFL lamps of mixed wattages (1.8 million CFLs in total) is $4.7 million.  The program design is now nearing completion, but additional changes before the program launch remain a possibility.</w:t>
      </w:r>
    </w:p>
    <w:p w:rsidR="00C1662F" w:rsidRDefault="00C1662F" w:rsidP="00F5645C">
      <w:pPr>
        <w:ind w:left="720"/>
        <w:jc w:val="both"/>
      </w:pPr>
    </w:p>
    <w:p w:rsidR="00C1662F" w:rsidRDefault="00C1662F" w:rsidP="00F5645C">
      <w:pPr>
        <w:ind w:left="720"/>
        <w:jc w:val="both"/>
      </w:pPr>
      <w:r w:rsidRPr="00C7086B">
        <w:t>An updated program plan for the CFL contingency program has been attached to this 2011 DSM Business Plan Update.</w:t>
      </w:r>
    </w:p>
    <w:p w:rsidR="00B81FF5" w:rsidRDefault="00B81FF5" w:rsidP="00F5645C">
      <w:pPr>
        <w:ind w:left="720"/>
        <w:jc w:val="both"/>
      </w:pPr>
    </w:p>
    <w:p w:rsidR="005D0A88" w:rsidRDefault="005D0A88" w:rsidP="00F5645C">
      <w:pPr>
        <w:jc w:val="both"/>
        <w:rPr>
          <w:u w:val="single"/>
        </w:rPr>
      </w:pPr>
    </w:p>
    <w:p w:rsidR="005D0A88" w:rsidRPr="005D0A88" w:rsidRDefault="005D0A88" w:rsidP="00F5645C">
      <w:pPr>
        <w:jc w:val="both"/>
        <w:rPr>
          <w:u w:val="single"/>
        </w:rPr>
      </w:pPr>
      <w:r w:rsidRPr="005D0A88">
        <w:rPr>
          <w:u w:val="single"/>
        </w:rPr>
        <w:t xml:space="preserve">Program </w:t>
      </w:r>
      <w:r w:rsidR="00EC3A97">
        <w:rPr>
          <w:u w:val="single"/>
        </w:rPr>
        <w:t>eligibility modifications</w:t>
      </w:r>
    </w:p>
    <w:p w:rsidR="005D0A88" w:rsidRDefault="005D0A88" w:rsidP="00F5645C">
      <w:pPr>
        <w:ind w:left="720"/>
        <w:jc w:val="both"/>
      </w:pPr>
    </w:p>
    <w:p w:rsidR="002565CB" w:rsidRPr="002565CB" w:rsidRDefault="002565CB" w:rsidP="00F5645C">
      <w:pPr>
        <w:ind w:left="720"/>
        <w:jc w:val="both"/>
        <w:rPr>
          <w:u w:val="single"/>
        </w:rPr>
      </w:pPr>
      <w:r w:rsidRPr="002565CB">
        <w:rPr>
          <w:u w:val="single"/>
        </w:rPr>
        <w:t>Residential insulation and windows</w:t>
      </w:r>
      <w:r w:rsidR="003A46C6">
        <w:rPr>
          <w:u w:val="single"/>
        </w:rPr>
        <w:t xml:space="preserve"> – “do-it-yourself” installation eligibility</w:t>
      </w:r>
    </w:p>
    <w:p w:rsidR="005D0A88" w:rsidRDefault="00264468" w:rsidP="00F5645C">
      <w:pPr>
        <w:ind w:left="720"/>
        <w:jc w:val="both"/>
      </w:pPr>
      <w:r>
        <w:t xml:space="preserve">Previous program design permitted incentives to be provided for </w:t>
      </w:r>
      <w:r w:rsidR="005D0A88">
        <w:t xml:space="preserve">“do-it-yourself” (homeowner completed) installations of residential insulation and efficient </w:t>
      </w:r>
      <w:r>
        <w:t>windows</w:t>
      </w:r>
      <w:r w:rsidR="005D0A88">
        <w:t xml:space="preserve">.  </w:t>
      </w:r>
      <w:r w:rsidR="002565CB">
        <w:t>Impact ev</w:t>
      </w:r>
      <w:r w:rsidR="003A46C6">
        <w:t>aluations performed in 2010</w:t>
      </w:r>
      <w:r w:rsidR="00FB3753">
        <w:t xml:space="preserve"> on statistical billing analysis of 2008 participants using</w:t>
      </w:r>
      <w:r w:rsidR="003A46C6">
        <w:t xml:space="preserve"> </w:t>
      </w:r>
      <w:r w:rsidR="005D0A88">
        <w:t>both contractor and homeowner installations did not indicate any statistically significant difference between the energy savings potential of the two approaches.  However, process evaluations indicated that there was a likelihood of a lower quality of installation and consequently less energy savings</w:t>
      </w:r>
      <w:r>
        <w:t xml:space="preserve"> for homeowner installations</w:t>
      </w:r>
      <w:r w:rsidR="005D0A88">
        <w:t xml:space="preserve">. </w:t>
      </w:r>
    </w:p>
    <w:p w:rsidR="005D0A88" w:rsidRDefault="005D0A88" w:rsidP="00F5645C">
      <w:pPr>
        <w:ind w:left="720"/>
        <w:jc w:val="both"/>
      </w:pPr>
    </w:p>
    <w:p w:rsidR="002565CB" w:rsidRDefault="00CC7044" w:rsidP="00F5645C">
      <w:pPr>
        <w:ind w:left="720"/>
        <w:jc w:val="both"/>
      </w:pPr>
      <w:r>
        <w:t xml:space="preserve">Based upon those findings, </w:t>
      </w:r>
      <w:r w:rsidR="005D0A88">
        <w:t xml:space="preserve">the eligibility of these homeowner installed measures </w:t>
      </w:r>
      <w:r w:rsidR="00FB3753">
        <w:t>w</w:t>
      </w:r>
      <w:r w:rsidR="00AB6DF6">
        <w:t>as</w:t>
      </w:r>
      <w:r w:rsidR="00FB3753">
        <w:t xml:space="preserve"> </w:t>
      </w:r>
      <w:r w:rsidR="005D0A88">
        <w:t xml:space="preserve">terminated as of </w:t>
      </w:r>
      <w:r w:rsidR="00AB6DF6">
        <w:t>April 1, 2011</w:t>
      </w:r>
      <w:r w:rsidR="005D0A88">
        <w:t>.  This is in addition to the termination of the residential window program explained elsewhere within this update.</w:t>
      </w:r>
    </w:p>
    <w:p w:rsidR="005D0A88" w:rsidRDefault="005D0A88" w:rsidP="00F5645C">
      <w:pPr>
        <w:ind w:left="720"/>
        <w:jc w:val="both"/>
      </w:pPr>
    </w:p>
    <w:p w:rsidR="003E17DD" w:rsidRDefault="003E17DD" w:rsidP="00F5645C">
      <w:pPr>
        <w:ind w:left="720"/>
        <w:jc w:val="both"/>
      </w:pPr>
    </w:p>
    <w:p w:rsidR="005D0A88" w:rsidRDefault="005D0A88" w:rsidP="00F5645C">
      <w:pPr>
        <w:jc w:val="both"/>
      </w:pPr>
      <w:r w:rsidRPr="005D0A88">
        <w:rPr>
          <w:u w:val="single"/>
        </w:rPr>
        <w:t xml:space="preserve">Program </w:t>
      </w:r>
      <w:r w:rsidR="00EC3A97">
        <w:rPr>
          <w:u w:val="single"/>
        </w:rPr>
        <w:t>incentive modifications</w:t>
      </w:r>
    </w:p>
    <w:p w:rsidR="00DB15E9" w:rsidRDefault="00DB15E9" w:rsidP="00F5645C">
      <w:pPr>
        <w:jc w:val="both"/>
      </w:pPr>
    </w:p>
    <w:p w:rsidR="00DB15E9" w:rsidRPr="006C0D1B" w:rsidRDefault="006C0D1B" w:rsidP="00F5645C">
      <w:pPr>
        <w:ind w:left="360"/>
        <w:jc w:val="both"/>
        <w:rPr>
          <w:u w:val="single"/>
        </w:rPr>
      </w:pPr>
      <w:r w:rsidRPr="006C0D1B">
        <w:rPr>
          <w:u w:val="single"/>
        </w:rPr>
        <w:t>Residential electric-to-natural gas water heater conversions</w:t>
      </w:r>
    </w:p>
    <w:p w:rsidR="006C0D1B" w:rsidRDefault="00B81FF5" w:rsidP="00F5645C">
      <w:pPr>
        <w:ind w:left="360"/>
        <w:jc w:val="both"/>
      </w:pPr>
      <w:r>
        <w:t>Based upon revised information regarding the cost of the base case electric water heating system vs. the natural gas water heater alternative</w:t>
      </w:r>
      <w:r w:rsidR="00264468">
        <w:t xml:space="preserve"> and the resulting energy savings</w:t>
      </w:r>
      <w:r>
        <w:t xml:space="preserve">, the incentive for this program has been </w:t>
      </w:r>
      <w:r w:rsidR="00264468">
        <w:t>reduced</w:t>
      </w:r>
      <w:r>
        <w:t xml:space="preserve"> from $</w:t>
      </w:r>
      <w:r w:rsidR="003E17DD">
        <w:t>250</w:t>
      </w:r>
      <w:r>
        <w:t xml:space="preserve"> to $</w:t>
      </w:r>
      <w:r w:rsidR="003E17DD">
        <w:t>200</w:t>
      </w:r>
      <w:r>
        <w:t xml:space="preserve"> for all rebate applications received after </w:t>
      </w:r>
      <w:r w:rsidR="00AB6DF6">
        <w:t>June 30</w:t>
      </w:r>
      <w:r w:rsidR="002120E8" w:rsidRPr="002120E8">
        <w:rPr>
          <w:vertAlign w:val="superscript"/>
        </w:rPr>
        <w:t>th</w:t>
      </w:r>
      <w:r w:rsidR="00AB6DF6">
        <w:t xml:space="preserve">, </w:t>
      </w:r>
      <w:r>
        <w:t>2011.</w:t>
      </w:r>
    </w:p>
    <w:p w:rsidR="00A4317F" w:rsidRDefault="00A4317F" w:rsidP="00F5645C">
      <w:pPr>
        <w:ind w:left="360"/>
        <w:jc w:val="both"/>
      </w:pPr>
    </w:p>
    <w:p w:rsidR="005D0A88" w:rsidRPr="00AB6DF6" w:rsidRDefault="002120E8" w:rsidP="00F5645C">
      <w:pPr>
        <w:ind w:left="360"/>
        <w:jc w:val="both"/>
        <w:rPr>
          <w:u w:val="single"/>
        </w:rPr>
      </w:pPr>
      <w:r w:rsidRPr="002120E8">
        <w:rPr>
          <w:u w:val="single"/>
        </w:rPr>
        <w:t>Home Energy Audit</w:t>
      </w:r>
    </w:p>
    <w:p w:rsidR="00A4317F" w:rsidRDefault="002120E8" w:rsidP="00F5645C">
      <w:pPr>
        <w:ind w:left="360"/>
        <w:jc w:val="both"/>
      </w:pPr>
      <w:r w:rsidRPr="002120E8">
        <w:t>The customer cost of the Home Energy Audit program (as low as $49) will be fully offset with an Avista shareholder contribution for income-qualifying customers working through any of the Community Action Programs supported under Avista’s low-income portfolio.</w:t>
      </w:r>
      <w:r w:rsidR="00A40FFB">
        <w:t xml:space="preserve">    </w:t>
      </w:r>
      <w:r w:rsidR="00B81FF5">
        <w:t xml:space="preserve">  </w:t>
      </w:r>
    </w:p>
    <w:p w:rsidR="005D0A88" w:rsidRDefault="005D0A88" w:rsidP="00F5645C">
      <w:pPr>
        <w:ind w:left="360"/>
        <w:jc w:val="both"/>
      </w:pPr>
    </w:p>
    <w:p w:rsidR="00B81FF5" w:rsidRPr="00B81FF5" w:rsidRDefault="00B81FF5" w:rsidP="00F5645C">
      <w:pPr>
        <w:ind w:left="360"/>
        <w:jc w:val="both"/>
        <w:rPr>
          <w:u w:val="single"/>
        </w:rPr>
      </w:pPr>
      <w:r w:rsidRPr="00B81FF5">
        <w:rPr>
          <w:u w:val="single"/>
        </w:rPr>
        <w:t>Prescriptive Premium Efficiency Motor program</w:t>
      </w:r>
    </w:p>
    <w:p w:rsidR="009829AC" w:rsidRDefault="00B81FF5" w:rsidP="00F5645C">
      <w:pPr>
        <w:ind w:left="360"/>
        <w:jc w:val="both"/>
      </w:pPr>
      <w:r>
        <w:t>Updat</w:t>
      </w:r>
      <w:r w:rsidR="009829AC">
        <w:t>ed analysis based upon recent changes in</w:t>
      </w:r>
      <w:r>
        <w:t xml:space="preserve"> </w:t>
      </w:r>
      <w:r w:rsidR="009829AC">
        <w:t xml:space="preserve">NEMA premium motor standards </w:t>
      </w:r>
      <w:r>
        <w:t xml:space="preserve">has resulted in a revision </w:t>
      </w:r>
      <w:r w:rsidR="00264468">
        <w:t>of</w:t>
      </w:r>
      <w:r>
        <w:t xml:space="preserve"> i</w:t>
      </w:r>
      <w:r w:rsidR="00FD0C22">
        <w:t>ncentives for th</w:t>
      </w:r>
      <w:r w:rsidR="009829AC">
        <w:t>e prescriptive motor pro</w:t>
      </w:r>
      <w:r w:rsidR="00FD0C22">
        <w:t xml:space="preserve">gram.  Based upon the </w:t>
      </w:r>
      <w:r w:rsidR="00264468">
        <w:t>higher efficiency</w:t>
      </w:r>
      <w:r w:rsidR="00FD0C22">
        <w:t xml:space="preserve"> baseline the incentives for high efficiency motors will decrease.  </w:t>
      </w:r>
      <w:r w:rsidR="00017150">
        <w:t xml:space="preserve">Only motors on the CEE premium efficiency motor list are eligible for incentives.  </w:t>
      </w:r>
      <w:r w:rsidR="00264468">
        <w:t xml:space="preserve">Within some motor sizes there are no motors meeting the required efficiency criteria currently available in the market.  </w:t>
      </w:r>
    </w:p>
    <w:p w:rsidR="00017150" w:rsidRDefault="00017150" w:rsidP="00F5645C">
      <w:pPr>
        <w:ind w:left="360"/>
        <w:jc w:val="both"/>
      </w:pPr>
    </w:p>
    <w:p w:rsidR="009829AC" w:rsidRPr="00AB6DF6" w:rsidRDefault="009829AC" w:rsidP="00F5645C">
      <w:pPr>
        <w:ind w:left="360"/>
        <w:jc w:val="both"/>
      </w:pPr>
      <w:r>
        <w:lastRenderedPageBreak/>
        <w:t xml:space="preserve">Motors in excess of 200 horsepower will continue to be processed through the site-specific program </w:t>
      </w:r>
      <w:r w:rsidR="002120E8" w:rsidRPr="002120E8">
        <w:t>rather than the prescriptive motor program.</w:t>
      </w:r>
    </w:p>
    <w:p w:rsidR="00FD0C22" w:rsidRPr="00AB6DF6" w:rsidRDefault="00FD0C22" w:rsidP="00F5645C">
      <w:pPr>
        <w:jc w:val="both"/>
      </w:pPr>
    </w:p>
    <w:p w:rsidR="00FD0C22" w:rsidRDefault="002120E8" w:rsidP="00F5645C">
      <w:pPr>
        <w:ind w:left="360"/>
        <w:jc w:val="both"/>
      </w:pPr>
      <w:r w:rsidRPr="002120E8">
        <w:t>The revised incentives will become effective for rebate applications received after June 1st, 2011.</w:t>
      </w:r>
    </w:p>
    <w:p w:rsidR="009829AC" w:rsidRDefault="009829AC" w:rsidP="00F5645C">
      <w:pPr>
        <w:ind w:left="360"/>
        <w:jc w:val="both"/>
      </w:pPr>
    </w:p>
    <w:p w:rsidR="009829AC" w:rsidRPr="009829AC" w:rsidRDefault="009829AC" w:rsidP="00F5645C">
      <w:pPr>
        <w:ind w:left="360"/>
        <w:jc w:val="both"/>
        <w:rPr>
          <w:u w:val="single"/>
        </w:rPr>
      </w:pPr>
      <w:r w:rsidRPr="009829AC">
        <w:rPr>
          <w:u w:val="single"/>
        </w:rPr>
        <w:t>Commercial prescriptive HVAC variable frequency drive program</w:t>
      </w:r>
    </w:p>
    <w:p w:rsidR="00FD0C22" w:rsidRDefault="009829AC" w:rsidP="00F5645C">
      <w:pPr>
        <w:ind w:left="360"/>
        <w:jc w:val="both"/>
      </w:pPr>
      <w:r>
        <w:t xml:space="preserve">Due to baseline changes caused by the adoption of </w:t>
      </w:r>
      <w:r w:rsidR="00017150">
        <w:t xml:space="preserve">improved codes for new construction, effective April 2011 only </w:t>
      </w:r>
      <w:r w:rsidR="003E17DD">
        <w:t xml:space="preserve">retrofit installations are eligible for this program.  </w:t>
      </w:r>
    </w:p>
    <w:p w:rsidR="00017150" w:rsidRDefault="00017150" w:rsidP="00F5645C">
      <w:pPr>
        <w:ind w:left="360"/>
        <w:jc w:val="both"/>
      </w:pPr>
    </w:p>
    <w:p w:rsidR="00017150" w:rsidRDefault="00017150" w:rsidP="00F5645C">
      <w:pPr>
        <w:ind w:left="360"/>
        <w:jc w:val="both"/>
      </w:pPr>
    </w:p>
    <w:p w:rsidR="005D0A88" w:rsidRPr="00FD0C22" w:rsidRDefault="00EC3A97" w:rsidP="00F5645C">
      <w:pPr>
        <w:jc w:val="both"/>
        <w:rPr>
          <w:u w:val="single"/>
        </w:rPr>
      </w:pPr>
      <w:r>
        <w:rPr>
          <w:u w:val="single"/>
        </w:rPr>
        <w:t xml:space="preserve">Non-residential prescriptive / site-specific program </w:t>
      </w:r>
      <w:r w:rsidR="003E17DD">
        <w:rPr>
          <w:u w:val="single"/>
        </w:rPr>
        <w:t>revisions</w:t>
      </w:r>
    </w:p>
    <w:p w:rsidR="00FD0C22" w:rsidRDefault="00FD0C22" w:rsidP="00F5645C">
      <w:pPr>
        <w:ind w:left="360"/>
        <w:jc w:val="both"/>
      </w:pPr>
    </w:p>
    <w:p w:rsidR="00FD0C22" w:rsidRPr="00B81FF5" w:rsidRDefault="00FD0C22" w:rsidP="00F5645C">
      <w:pPr>
        <w:ind w:left="720"/>
        <w:jc w:val="both"/>
        <w:rPr>
          <w:u w:val="single"/>
        </w:rPr>
      </w:pPr>
      <w:r w:rsidRPr="00B81FF5">
        <w:rPr>
          <w:u w:val="single"/>
        </w:rPr>
        <w:t xml:space="preserve">Standby </w:t>
      </w:r>
      <w:r w:rsidR="00A40FFB" w:rsidRPr="00B81FF5">
        <w:rPr>
          <w:u w:val="single"/>
        </w:rPr>
        <w:t>generat</w:t>
      </w:r>
      <w:r w:rsidR="00A40FFB">
        <w:rPr>
          <w:u w:val="single"/>
        </w:rPr>
        <w:t>or</w:t>
      </w:r>
      <w:r w:rsidR="00A40FFB" w:rsidRPr="00B81FF5">
        <w:rPr>
          <w:u w:val="single"/>
        </w:rPr>
        <w:t xml:space="preserve"> </w:t>
      </w:r>
      <w:r w:rsidRPr="00B81FF5">
        <w:rPr>
          <w:u w:val="single"/>
        </w:rPr>
        <w:t>block heater program</w:t>
      </w:r>
    </w:p>
    <w:p w:rsidR="00EC3A97" w:rsidRDefault="00FD0C22" w:rsidP="00F5645C">
      <w:pPr>
        <w:ind w:left="720"/>
        <w:jc w:val="both"/>
      </w:pPr>
      <w:r>
        <w:t xml:space="preserve">A prescriptive program for the installation of heaters for standby </w:t>
      </w:r>
      <w:r w:rsidR="00017150">
        <w:t xml:space="preserve">electrical </w:t>
      </w:r>
      <w:r>
        <w:t xml:space="preserve">generation units was launched </w:t>
      </w:r>
      <w:r w:rsidR="00EC3A97">
        <w:t>in April</w:t>
      </w:r>
      <w:r>
        <w:t xml:space="preserve">, 2011.  </w:t>
      </w:r>
      <w:r w:rsidR="00EC3A97">
        <w:t xml:space="preserve">Eligible systems are stationary standby </w:t>
      </w:r>
      <w:r w:rsidR="00A40FFB">
        <w:t xml:space="preserve">generators </w:t>
      </w:r>
      <w:r w:rsidR="00EC3A97">
        <w:t>with engine block temperatures regulated to meet NFPA 110 standards</w:t>
      </w:r>
      <w:r w:rsidR="00017150">
        <w:t xml:space="preserve"> </w:t>
      </w:r>
      <w:proofErr w:type="gramStart"/>
      <w:r w:rsidR="00017150">
        <w:t>on a</w:t>
      </w:r>
      <w:proofErr w:type="gramEnd"/>
      <w:r w:rsidR="00EC3A97">
        <w:t xml:space="preserve"> 24 hours a day, 365 days per year</w:t>
      </w:r>
      <w:r w:rsidR="00017150">
        <w:t xml:space="preserve"> basis</w:t>
      </w:r>
      <w:r w:rsidR="00EC3A97">
        <w:t xml:space="preserve">.  A rebate of $400 per unit is available.  </w:t>
      </w:r>
    </w:p>
    <w:p w:rsidR="00EC3A97" w:rsidRDefault="00EC3A97" w:rsidP="00F5645C">
      <w:pPr>
        <w:ind w:left="720"/>
        <w:jc w:val="both"/>
      </w:pPr>
    </w:p>
    <w:p w:rsidR="00FD0C22" w:rsidRDefault="00FD0C22" w:rsidP="00F5645C">
      <w:pPr>
        <w:ind w:left="720"/>
        <w:jc w:val="both"/>
      </w:pPr>
      <w:r>
        <w:t>Prior to the development of this prescriptive program, this measure was available to customers through the site-specific program only.</w:t>
      </w:r>
      <w:r w:rsidR="00EC3A97">
        <w:t xml:space="preserve">  </w:t>
      </w:r>
    </w:p>
    <w:p w:rsidR="00FD0C22" w:rsidRDefault="00FD0C22" w:rsidP="00F5645C">
      <w:pPr>
        <w:ind w:left="720"/>
        <w:jc w:val="both"/>
      </w:pPr>
    </w:p>
    <w:p w:rsidR="00FD0C22" w:rsidRPr="00FD0C22" w:rsidRDefault="00FD0C22" w:rsidP="00F5645C">
      <w:pPr>
        <w:ind w:left="720"/>
        <w:jc w:val="both"/>
        <w:rPr>
          <w:u w:val="single"/>
        </w:rPr>
      </w:pPr>
      <w:r w:rsidRPr="00FD0C22">
        <w:rPr>
          <w:u w:val="single"/>
        </w:rPr>
        <w:t xml:space="preserve">Commercial </w:t>
      </w:r>
      <w:r w:rsidR="00EC3A97">
        <w:rPr>
          <w:u w:val="single"/>
        </w:rPr>
        <w:t xml:space="preserve">prescriptive </w:t>
      </w:r>
      <w:r w:rsidRPr="00FD0C22">
        <w:rPr>
          <w:u w:val="single"/>
        </w:rPr>
        <w:t>insulation</w:t>
      </w:r>
      <w:r w:rsidR="00EC3A97">
        <w:rPr>
          <w:u w:val="single"/>
        </w:rPr>
        <w:t xml:space="preserve"> program</w:t>
      </w:r>
    </w:p>
    <w:p w:rsidR="00EC3A97" w:rsidRDefault="00FD0C22" w:rsidP="00F5645C">
      <w:pPr>
        <w:ind w:left="720"/>
        <w:jc w:val="both"/>
      </w:pPr>
      <w:r>
        <w:t xml:space="preserve">The Company has had significant </w:t>
      </w:r>
      <w:r w:rsidR="00EC3A97">
        <w:t xml:space="preserve">past </w:t>
      </w:r>
      <w:r>
        <w:t xml:space="preserve">experience with </w:t>
      </w:r>
      <w:r w:rsidR="00EC3A97">
        <w:t xml:space="preserve">this category of </w:t>
      </w:r>
      <w:r>
        <w:t>measure</w:t>
      </w:r>
      <w:r w:rsidR="00EC3A97">
        <w:t>s</w:t>
      </w:r>
      <w:r>
        <w:t xml:space="preserve"> through the site-specific program.  Based upon that analysis the Company has found the measure to be sufficiently popular and uniform to warrant the development of a prescriptive program.  </w:t>
      </w:r>
      <w:r w:rsidR="00EC3A97">
        <w:t>Projects eligible for the prescriptive program are those</w:t>
      </w:r>
    </w:p>
    <w:p w:rsidR="00EC3A97" w:rsidRDefault="00EC3A97" w:rsidP="00F5645C">
      <w:pPr>
        <w:jc w:val="both"/>
      </w:pPr>
    </w:p>
    <w:p w:rsidR="00EC3A97" w:rsidRPr="00A40FFB" w:rsidRDefault="002120E8" w:rsidP="00F5645C">
      <w:pPr>
        <w:pStyle w:val="ListParagraph"/>
        <w:numPr>
          <w:ilvl w:val="0"/>
          <w:numId w:val="5"/>
        </w:numPr>
        <w:jc w:val="both"/>
        <w:rPr>
          <w:rFonts w:ascii="Times New Roman" w:hAnsi="Times New Roman"/>
          <w:sz w:val="24"/>
          <w:szCs w:val="24"/>
        </w:rPr>
      </w:pPr>
      <w:r w:rsidRPr="002120E8">
        <w:rPr>
          <w:rFonts w:ascii="Times New Roman" w:hAnsi="Times New Roman"/>
          <w:sz w:val="24"/>
          <w:szCs w:val="24"/>
        </w:rPr>
        <w:t>with pre-existing wall insulation levels of less than R4 being improved to R11 but less than R19</w:t>
      </w:r>
    </w:p>
    <w:p w:rsidR="00EC3A97" w:rsidRPr="00A40FFB" w:rsidRDefault="002120E8" w:rsidP="00F5645C">
      <w:pPr>
        <w:pStyle w:val="ListParagraph"/>
        <w:numPr>
          <w:ilvl w:val="0"/>
          <w:numId w:val="5"/>
        </w:numPr>
        <w:jc w:val="both"/>
        <w:rPr>
          <w:rFonts w:ascii="Times New Roman" w:hAnsi="Times New Roman"/>
          <w:sz w:val="24"/>
          <w:szCs w:val="24"/>
        </w:rPr>
      </w:pPr>
      <w:r w:rsidRPr="002120E8">
        <w:rPr>
          <w:rFonts w:ascii="Times New Roman" w:hAnsi="Times New Roman"/>
          <w:sz w:val="24"/>
          <w:szCs w:val="24"/>
        </w:rPr>
        <w:t>with pre-existing wall insulation levels of less than R4 being improved to R19 or better</w:t>
      </w:r>
    </w:p>
    <w:p w:rsidR="00EC3A97" w:rsidRPr="00A40FFB" w:rsidRDefault="002120E8" w:rsidP="00F5645C">
      <w:pPr>
        <w:pStyle w:val="ListParagraph"/>
        <w:numPr>
          <w:ilvl w:val="0"/>
          <w:numId w:val="5"/>
        </w:numPr>
        <w:jc w:val="both"/>
        <w:rPr>
          <w:rFonts w:ascii="Times New Roman" w:hAnsi="Times New Roman"/>
          <w:sz w:val="24"/>
          <w:szCs w:val="24"/>
        </w:rPr>
      </w:pPr>
      <w:r w:rsidRPr="002120E8">
        <w:rPr>
          <w:rFonts w:ascii="Times New Roman" w:hAnsi="Times New Roman"/>
          <w:sz w:val="24"/>
          <w:szCs w:val="24"/>
        </w:rPr>
        <w:t>with pre-existing attic insulation of less than R11 being improved to R30 but less than R45</w:t>
      </w:r>
    </w:p>
    <w:p w:rsidR="00EC3A97" w:rsidRPr="00A40FFB" w:rsidRDefault="002120E8" w:rsidP="00F5645C">
      <w:pPr>
        <w:pStyle w:val="ListParagraph"/>
        <w:numPr>
          <w:ilvl w:val="0"/>
          <w:numId w:val="5"/>
        </w:numPr>
        <w:jc w:val="both"/>
        <w:rPr>
          <w:rFonts w:ascii="Times New Roman" w:hAnsi="Times New Roman"/>
          <w:sz w:val="24"/>
          <w:szCs w:val="24"/>
        </w:rPr>
      </w:pPr>
      <w:r w:rsidRPr="002120E8">
        <w:rPr>
          <w:rFonts w:ascii="Times New Roman" w:hAnsi="Times New Roman"/>
          <w:sz w:val="24"/>
          <w:szCs w:val="24"/>
        </w:rPr>
        <w:t>with pre-existing attic insulation of less than R11 being improved to R45 or better</w:t>
      </w:r>
    </w:p>
    <w:p w:rsidR="00EC3A97" w:rsidRPr="00A40FFB" w:rsidRDefault="002120E8" w:rsidP="00F5645C">
      <w:pPr>
        <w:pStyle w:val="ListParagraph"/>
        <w:numPr>
          <w:ilvl w:val="0"/>
          <w:numId w:val="5"/>
        </w:numPr>
        <w:jc w:val="both"/>
        <w:rPr>
          <w:rFonts w:ascii="Times New Roman" w:hAnsi="Times New Roman"/>
          <w:sz w:val="24"/>
          <w:szCs w:val="24"/>
        </w:rPr>
      </w:pPr>
      <w:proofErr w:type="gramStart"/>
      <w:r w:rsidRPr="002120E8">
        <w:rPr>
          <w:rFonts w:ascii="Times New Roman" w:hAnsi="Times New Roman"/>
          <w:sz w:val="24"/>
          <w:szCs w:val="24"/>
        </w:rPr>
        <w:t>with</w:t>
      </w:r>
      <w:proofErr w:type="gramEnd"/>
      <w:r w:rsidRPr="002120E8">
        <w:rPr>
          <w:rFonts w:ascii="Times New Roman" w:hAnsi="Times New Roman"/>
          <w:sz w:val="24"/>
          <w:szCs w:val="24"/>
        </w:rPr>
        <w:t xml:space="preserve"> pre-existing roof insulation of less than R11 being improved to R30 or better.</w:t>
      </w:r>
    </w:p>
    <w:p w:rsidR="00EC3A97" w:rsidRDefault="00A40FFB" w:rsidP="00F5645C">
      <w:pPr>
        <w:ind w:left="720"/>
        <w:jc w:val="both"/>
      </w:pPr>
      <w:r>
        <w:t xml:space="preserve">Beginning </w:t>
      </w:r>
      <w:r w:rsidR="00EC3A97">
        <w:t>in January 2011</w:t>
      </w:r>
      <w:r>
        <w:t>, rebates received</w:t>
      </w:r>
      <w:r w:rsidR="00EC3A97">
        <w:t xml:space="preserve"> were processed through the prescriptive program.</w:t>
      </w:r>
    </w:p>
    <w:p w:rsidR="00EC3A97" w:rsidRDefault="00EC3A97" w:rsidP="00F5645C">
      <w:pPr>
        <w:ind w:left="720"/>
        <w:jc w:val="both"/>
      </w:pPr>
    </w:p>
    <w:p w:rsidR="00EC3A97" w:rsidRPr="00EC3A97" w:rsidRDefault="00EC3A97" w:rsidP="00F5645C">
      <w:pPr>
        <w:ind w:left="720"/>
        <w:jc w:val="both"/>
        <w:rPr>
          <w:u w:val="single"/>
        </w:rPr>
      </w:pPr>
      <w:r w:rsidRPr="00EC3A97">
        <w:rPr>
          <w:u w:val="single"/>
        </w:rPr>
        <w:t>Commercial prescriptive windows program</w:t>
      </w:r>
    </w:p>
    <w:p w:rsidR="00EC3A97" w:rsidRDefault="00EC3A97" w:rsidP="00F5645C">
      <w:pPr>
        <w:ind w:left="720"/>
        <w:jc w:val="both"/>
      </w:pPr>
      <w:r>
        <w:t>The Company also has significant experience with processing the installation of efficient windows in commercial applications through the site-specific program.  This measure has also been determined to be sufficiently popular and uniform to warrant transitioning from the site-specific program to a prescriptive program.</w:t>
      </w:r>
      <w:r w:rsidR="00405665">
        <w:t xml:space="preserve">  Installations qualifying under the </w:t>
      </w:r>
      <w:r w:rsidR="00405665">
        <w:lastRenderedPageBreak/>
        <w:t xml:space="preserve">prescriptive program are those with U-values of </w:t>
      </w:r>
      <w:r w:rsidR="00955A09">
        <w:t>0.30 or lower with a shading factor of 0.35 or better</w:t>
      </w:r>
      <w:r w:rsidR="00405665">
        <w:t>.</w:t>
      </w:r>
    </w:p>
    <w:p w:rsidR="00EC3A97" w:rsidRDefault="00EC3A97" w:rsidP="00F5645C">
      <w:pPr>
        <w:ind w:left="720"/>
        <w:jc w:val="both"/>
      </w:pPr>
    </w:p>
    <w:p w:rsidR="00405665" w:rsidRDefault="00A40FFB" w:rsidP="00F5645C">
      <w:pPr>
        <w:ind w:left="720"/>
        <w:jc w:val="both"/>
      </w:pPr>
      <w:r>
        <w:t xml:space="preserve">Beginning </w:t>
      </w:r>
      <w:r w:rsidR="00405665">
        <w:t>in January 2011</w:t>
      </w:r>
      <w:r>
        <w:t>, rebates received</w:t>
      </w:r>
      <w:r w:rsidR="00405665">
        <w:t xml:space="preserve"> were processed through the prescriptive program.</w:t>
      </w:r>
    </w:p>
    <w:p w:rsidR="00405665" w:rsidRDefault="00405665" w:rsidP="00F5645C">
      <w:pPr>
        <w:ind w:left="720"/>
        <w:jc w:val="both"/>
      </w:pPr>
    </w:p>
    <w:p w:rsidR="00405665" w:rsidRPr="00405665" w:rsidRDefault="00405665" w:rsidP="00F5645C">
      <w:pPr>
        <w:ind w:left="720"/>
        <w:jc w:val="both"/>
        <w:rPr>
          <w:u w:val="single"/>
        </w:rPr>
      </w:pPr>
      <w:r w:rsidRPr="00405665">
        <w:rPr>
          <w:u w:val="single"/>
        </w:rPr>
        <w:t>Small commercial prescriptive HVAC program</w:t>
      </w:r>
    </w:p>
    <w:p w:rsidR="00405665" w:rsidRDefault="00405665" w:rsidP="00F5645C">
      <w:pPr>
        <w:ind w:left="720"/>
        <w:jc w:val="both"/>
      </w:pPr>
      <w:r>
        <w:t>Beginning in January 2011 the installation of efficient HVAC systems ha</w:t>
      </w:r>
      <w:r w:rsidR="00017150">
        <w:t>ve</w:t>
      </w:r>
      <w:r>
        <w:t xml:space="preserve"> been processed through a prescriptive program rather than through the site-specific program.  Measures eligible for the prescriptive program are limited to installations of</w:t>
      </w:r>
    </w:p>
    <w:p w:rsidR="00405665" w:rsidRDefault="00405665" w:rsidP="00F5645C">
      <w:pPr>
        <w:ind w:left="720"/>
        <w:jc w:val="both"/>
      </w:pPr>
    </w:p>
    <w:p w:rsidR="00405665" w:rsidRPr="004274DE" w:rsidRDefault="002120E8" w:rsidP="00F5645C">
      <w:pPr>
        <w:pStyle w:val="ListParagraph"/>
        <w:numPr>
          <w:ilvl w:val="0"/>
          <w:numId w:val="6"/>
        </w:numPr>
        <w:jc w:val="both"/>
        <w:rPr>
          <w:rFonts w:ascii="Times New Roman" w:hAnsi="Times New Roman"/>
          <w:sz w:val="24"/>
          <w:szCs w:val="24"/>
        </w:rPr>
      </w:pPr>
      <w:r w:rsidRPr="002120E8">
        <w:rPr>
          <w:rFonts w:ascii="Times New Roman" w:hAnsi="Times New Roman"/>
          <w:sz w:val="24"/>
          <w:szCs w:val="24"/>
        </w:rPr>
        <w:t xml:space="preserve">furnaces under 225 </w:t>
      </w:r>
      <w:proofErr w:type="spellStart"/>
      <w:r w:rsidRPr="002120E8">
        <w:rPr>
          <w:rFonts w:ascii="Times New Roman" w:hAnsi="Times New Roman"/>
          <w:sz w:val="24"/>
          <w:szCs w:val="24"/>
        </w:rPr>
        <w:t>kBTU</w:t>
      </w:r>
      <w:proofErr w:type="spellEnd"/>
      <w:r w:rsidRPr="002120E8">
        <w:rPr>
          <w:rFonts w:ascii="Times New Roman" w:hAnsi="Times New Roman"/>
          <w:sz w:val="24"/>
          <w:szCs w:val="24"/>
        </w:rPr>
        <w:t xml:space="preserve"> </w:t>
      </w:r>
    </w:p>
    <w:p w:rsidR="00405665" w:rsidRPr="004274DE" w:rsidRDefault="002120E8" w:rsidP="00F5645C">
      <w:pPr>
        <w:pStyle w:val="ListParagraph"/>
        <w:numPr>
          <w:ilvl w:val="1"/>
          <w:numId w:val="6"/>
        </w:numPr>
        <w:jc w:val="both"/>
        <w:rPr>
          <w:rFonts w:ascii="Times New Roman" w:hAnsi="Times New Roman"/>
          <w:sz w:val="24"/>
          <w:szCs w:val="24"/>
        </w:rPr>
      </w:pPr>
      <w:r w:rsidRPr="002120E8">
        <w:rPr>
          <w:rFonts w:ascii="Times New Roman" w:hAnsi="Times New Roman"/>
          <w:sz w:val="24"/>
          <w:szCs w:val="24"/>
        </w:rPr>
        <w:t>with an efficiency greater than 90% AFUE but less than 94% AFUE</w:t>
      </w:r>
    </w:p>
    <w:p w:rsidR="00405665" w:rsidRPr="004274DE" w:rsidRDefault="002120E8" w:rsidP="00F5645C">
      <w:pPr>
        <w:pStyle w:val="ListParagraph"/>
        <w:numPr>
          <w:ilvl w:val="1"/>
          <w:numId w:val="6"/>
        </w:numPr>
        <w:jc w:val="both"/>
        <w:rPr>
          <w:rFonts w:ascii="Times New Roman" w:hAnsi="Times New Roman"/>
          <w:sz w:val="24"/>
          <w:szCs w:val="24"/>
        </w:rPr>
      </w:pPr>
      <w:r w:rsidRPr="002120E8">
        <w:rPr>
          <w:rFonts w:ascii="Times New Roman" w:hAnsi="Times New Roman"/>
          <w:sz w:val="24"/>
          <w:szCs w:val="24"/>
        </w:rPr>
        <w:t>with an efficiency greater than 94% AFUE</w:t>
      </w:r>
    </w:p>
    <w:p w:rsidR="00405665" w:rsidRPr="004274DE" w:rsidRDefault="002120E8" w:rsidP="00F5645C">
      <w:pPr>
        <w:pStyle w:val="ListParagraph"/>
        <w:numPr>
          <w:ilvl w:val="0"/>
          <w:numId w:val="6"/>
        </w:numPr>
        <w:jc w:val="both"/>
        <w:rPr>
          <w:rFonts w:ascii="Times New Roman" w:hAnsi="Times New Roman"/>
          <w:sz w:val="24"/>
          <w:szCs w:val="24"/>
        </w:rPr>
      </w:pPr>
      <w:r w:rsidRPr="002120E8">
        <w:rPr>
          <w:rFonts w:ascii="Times New Roman" w:hAnsi="Times New Roman"/>
          <w:sz w:val="24"/>
          <w:szCs w:val="24"/>
        </w:rPr>
        <w:t xml:space="preserve">furnaces between 225 </w:t>
      </w:r>
      <w:proofErr w:type="spellStart"/>
      <w:r w:rsidRPr="002120E8">
        <w:rPr>
          <w:rFonts w:ascii="Times New Roman" w:hAnsi="Times New Roman"/>
          <w:sz w:val="24"/>
          <w:szCs w:val="24"/>
        </w:rPr>
        <w:t>kBTU</w:t>
      </w:r>
      <w:proofErr w:type="spellEnd"/>
      <w:r w:rsidRPr="002120E8">
        <w:rPr>
          <w:rFonts w:ascii="Times New Roman" w:hAnsi="Times New Roman"/>
          <w:sz w:val="24"/>
          <w:szCs w:val="24"/>
        </w:rPr>
        <w:t xml:space="preserve"> and 300 </w:t>
      </w:r>
      <w:proofErr w:type="spellStart"/>
      <w:r w:rsidRPr="002120E8">
        <w:rPr>
          <w:rFonts w:ascii="Times New Roman" w:hAnsi="Times New Roman"/>
          <w:sz w:val="24"/>
          <w:szCs w:val="24"/>
        </w:rPr>
        <w:t>kBTU</w:t>
      </w:r>
      <w:proofErr w:type="spellEnd"/>
    </w:p>
    <w:p w:rsidR="00405665" w:rsidRPr="004274DE" w:rsidRDefault="002120E8" w:rsidP="00F5645C">
      <w:pPr>
        <w:pStyle w:val="ListParagraph"/>
        <w:numPr>
          <w:ilvl w:val="1"/>
          <w:numId w:val="6"/>
        </w:numPr>
        <w:jc w:val="both"/>
        <w:rPr>
          <w:rFonts w:ascii="Times New Roman" w:hAnsi="Times New Roman"/>
          <w:sz w:val="24"/>
          <w:szCs w:val="24"/>
        </w:rPr>
      </w:pPr>
      <w:r w:rsidRPr="002120E8">
        <w:rPr>
          <w:rFonts w:ascii="Times New Roman" w:hAnsi="Times New Roman"/>
          <w:sz w:val="24"/>
          <w:szCs w:val="24"/>
        </w:rPr>
        <w:t>with an efficiency greater than 85% AFUE but less than 90% AFUE</w:t>
      </w:r>
    </w:p>
    <w:p w:rsidR="00405665" w:rsidRPr="004274DE" w:rsidRDefault="002120E8" w:rsidP="00F5645C">
      <w:pPr>
        <w:pStyle w:val="ListParagraph"/>
        <w:numPr>
          <w:ilvl w:val="1"/>
          <w:numId w:val="6"/>
        </w:numPr>
        <w:jc w:val="both"/>
        <w:rPr>
          <w:rFonts w:ascii="Times New Roman" w:hAnsi="Times New Roman"/>
          <w:sz w:val="24"/>
          <w:szCs w:val="24"/>
        </w:rPr>
      </w:pPr>
      <w:proofErr w:type="gramStart"/>
      <w:r w:rsidRPr="002120E8">
        <w:rPr>
          <w:rFonts w:ascii="Times New Roman" w:hAnsi="Times New Roman"/>
          <w:sz w:val="24"/>
          <w:szCs w:val="24"/>
        </w:rPr>
        <w:t>with</w:t>
      </w:r>
      <w:proofErr w:type="gramEnd"/>
      <w:r w:rsidRPr="002120E8">
        <w:rPr>
          <w:rFonts w:ascii="Times New Roman" w:hAnsi="Times New Roman"/>
          <w:sz w:val="24"/>
          <w:szCs w:val="24"/>
        </w:rPr>
        <w:t xml:space="preserve"> an efficiency greater than 90% AFUE.</w:t>
      </w:r>
    </w:p>
    <w:p w:rsidR="00405665" w:rsidRDefault="00405665" w:rsidP="00F5645C">
      <w:pPr>
        <w:ind w:left="720"/>
        <w:jc w:val="both"/>
      </w:pPr>
      <w:r>
        <w:t xml:space="preserve">Rebates are paid on a per </w:t>
      </w:r>
      <w:proofErr w:type="spellStart"/>
      <w:r>
        <w:t>kBTU</w:t>
      </w:r>
      <w:proofErr w:type="spellEnd"/>
      <w:r>
        <w:t xml:space="preserve"> basis to recognize the difference in energy saved.  All applications received on or after January 2011 that are eligible under this criteria will be processed through the prescriptive program.</w:t>
      </w:r>
    </w:p>
    <w:p w:rsidR="00405665" w:rsidRDefault="00405665" w:rsidP="00405665"/>
    <w:p w:rsidR="00D1774B" w:rsidRDefault="00D1774B" w:rsidP="00D1774B">
      <w:pPr>
        <w:jc w:val="both"/>
      </w:pPr>
    </w:p>
    <w:p w:rsidR="00D1774B" w:rsidRPr="002E4C90" w:rsidRDefault="00D1774B" w:rsidP="00D1774B">
      <w:pPr>
        <w:jc w:val="both"/>
      </w:pPr>
      <w:r w:rsidRPr="002E4C90">
        <w:t xml:space="preserve">Please direct any questions on this matter to </w:t>
      </w:r>
      <w:r>
        <w:t xml:space="preserve">Bruce Folsom, Sr. Manager, </w:t>
      </w:r>
      <w:proofErr w:type="gramStart"/>
      <w:r>
        <w:t>Demand</w:t>
      </w:r>
      <w:proofErr w:type="gramEnd"/>
      <w:r>
        <w:t xml:space="preserve"> Side Management</w:t>
      </w:r>
      <w:r w:rsidRPr="002E4C90">
        <w:t xml:space="preserve"> at (509) 495-</w:t>
      </w:r>
      <w:r>
        <w:t xml:space="preserve">8706 </w:t>
      </w:r>
      <w:r w:rsidRPr="002E4C90">
        <w:t>or myself at (509) 495-</w:t>
      </w:r>
      <w:r>
        <w:t>4975</w:t>
      </w:r>
      <w:r w:rsidRPr="002E4C90">
        <w:t>.</w:t>
      </w:r>
    </w:p>
    <w:p w:rsidR="00D1774B" w:rsidRDefault="00D1774B" w:rsidP="00D1774B">
      <w:pPr>
        <w:jc w:val="both"/>
      </w:pPr>
    </w:p>
    <w:p w:rsidR="00595251" w:rsidRPr="002E4C90" w:rsidRDefault="00595251" w:rsidP="00D1774B">
      <w:pPr>
        <w:jc w:val="both"/>
      </w:pPr>
    </w:p>
    <w:p w:rsidR="00D1774B" w:rsidRPr="002E4C90" w:rsidRDefault="00D1774B" w:rsidP="00D1774B">
      <w:pPr>
        <w:jc w:val="both"/>
      </w:pPr>
      <w:r w:rsidRPr="002E4C90">
        <w:t>Sincerely,</w:t>
      </w:r>
    </w:p>
    <w:p w:rsidR="00D1774B" w:rsidRPr="002E4C90" w:rsidRDefault="00D1774B" w:rsidP="00D1774B">
      <w:pPr>
        <w:jc w:val="both"/>
      </w:pPr>
    </w:p>
    <w:p w:rsidR="00D1774B" w:rsidRPr="00625F42" w:rsidRDefault="00D1774B" w:rsidP="00D1774B">
      <w:pPr>
        <w:jc w:val="both"/>
        <w:rPr>
          <w:rFonts w:ascii="Lucida Handwriting" w:hAnsi="Lucida Handwriting"/>
        </w:rPr>
      </w:pPr>
      <w:r w:rsidRPr="00625F42">
        <w:rPr>
          <w:rFonts w:ascii="Lucida Handwriting" w:hAnsi="Lucida Handwriting"/>
        </w:rPr>
        <w:t>Linda Gervais</w:t>
      </w:r>
    </w:p>
    <w:p w:rsidR="00D1774B" w:rsidRDefault="00D1774B" w:rsidP="00D1774B">
      <w:pPr>
        <w:jc w:val="both"/>
      </w:pPr>
      <w:r w:rsidRPr="002E4C90">
        <w:t>Manager,</w:t>
      </w:r>
      <w:r>
        <w:t xml:space="preserve"> Regulatory </w:t>
      </w:r>
      <w:smartTag w:uri="urn:schemas-microsoft-com:office:smarttags" w:element="place">
        <w:r>
          <w:t>Po</w:t>
        </w:r>
      </w:smartTag>
      <w:r>
        <w:t>licy</w:t>
      </w:r>
    </w:p>
    <w:p w:rsidR="00D1774B" w:rsidRPr="002E4C90" w:rsidRDefault="00D1774B" w:rsidP="00D1774B">
      <w:pPr>
        <w:jc w:val="both"/>
      </w:pPr>
      <w:r>
        <w:t>State and Federal Regulation</w:t>
      </w:r>
    </w:p>
    <w:p w:rsidR="00D1774B" w:rsidRPr="00625F42" w:rsidRDefault="00D1774B" w:rsidP="00D1774B">
      <w:pPr>
        <w:jc w:val="both"/>
      </w:pPr>
      <w:r w:rsidRPr="00625F42">
        <w:t>Avista Utilities</w:t>
      </w:r>
    </w:p>
    <w:p w:rsidR="00D1774B" w:rsidRPr="009F3585" w:rsidRDefault="00D1774B" w:rsidP="00D1774B">
      <w:pPr>
        <w:jc w:val="both"/>
        <w:rPr>
          <w:lang w:val="fr-FR"/>
        </w:rPr>
      </w:pPr>
      <w:r w:rsidRPr="009F3585">
        <w:rPr>
          <w:lang w:val="fr-FR"/>
        </w:rPr>
        <w:t>linda.gervais@avistacorp.com</w:t>
      </w:r>
    </w:p>
    <w:p w:rsidR="00D1774B" w:rsidRDefault="00D1774B" w:rsidP="00D1774B">
      <w:pPr>
        <w:jc w:val="both"/>
        <w:rPr>
          <w:lang w:val="fr-FR"/>
        </w:rPr>
      </w:pPr>
      <w:r>
        <w:rPr>
          <w:lang w:val="fr-FR"/>
        </w:rPr>
        <w:t>509-495-4975</w:t>
      </w:r>
    </w:p>
    <w:p w:rsidR="00D1774B" w:rsidRDefault="00D1774B" w:rsidP="00D1774B">
      <w:pPr>
        <w:jc w:val="both"/>
        <w:rPr>
          <w:lang w:val="fr-FR"/>
        </w:rPr>
      </w:pPr>
    </w:p>
    <w:p w:rsidR="00D1774B" w:rsidRPr="00625F42" w:rsidRDefault="00D1774B" w:rsidP="00D1774B">
      <w:pPr>
        <w:jc w:val="both"/>
        <w:rPr>
          <w:lang w:val="fr-FR"/>
        </w:rPr>
      </w:pPr>
      <w:proofErr w:type="spellStart"/>
      <w:r>
        <w:rPr>
          <w:lang w:val="fr-FR"/>
        </w:rPr>
        <w:t>Attachments</w:t>
      </w:r>
      <w:proofErr w:type="spellEnd"/>
    </w:p>
    <w:p w:rsidR="002120E8" w:rsidRDefault="002120E8" w:rsidP="002120E8">
      <w:pPr>
        <w:ind w:left="360"/>
      </w:pPr>
    </w:p>
    <w:sectPr w:rsidR="002120E8" w:rsidSect="003348B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1A" w:rsidRDefault="00BF2E1A" w:rsidP="003348BA">
      <w:r>
        <w:separator/>
      </w:r>
    </w:p>
  </w:endnote>
  <w:endnote w:type="continuationSeparator" w:id="0">
    <w:p w:rsidR="00BF2E1A" w:rsidRDefault="00BF2E1A" w:rsidP="00334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1079"/>
      <w:docPartObj>
        <w:docPartGallery w:val="Page Numbers (Bottom of Page)"/>
        <w:docPartUnique/>
      </w:docPartObj>
    </w:sdtPr>
    <w:sdtEndPr>
      <w:rPr>
        <w:color w:val="7F7F7F" w:themeColor="background1" w:themeShade="7F"/>
        <w:spacing w:val="60"/>
      </w:rPr>
    </w:sdtEndPr>
    <w:sdtContent>
      <w:p w:rsidR="008C61F0" w:rsidRDefault="006F20EC">
        <w:pPr>
          <w:pStyle w:val="Footer"/>
          <w:pBdr>
            <w:top w:val="single" w:sz="4" w:space="1" w:color="D9D9D9" w:themeColor="background1" w:themeShade="D9"/>
          </w:pBdr>
          <w:jc w:val="right"/>
        </w:pPr>
        <w:fldSimple w:instr=" PAGE   \* MERGEFORMAT ">
          <w:r w:rsidR="009B266B">
            <w:rPr>
              <w:noProof/>
            </w:rPr>
            <w:t>2</w:t>
          </w:r>
        </w:fldSimple>
        <w:r w:rsidR="008C61F0">
          <w:t xml:space="preserve"> | </w:t>
        </w:r>
        <w:r w:rsidR="008C61F0">
          <w:rPr>
            <w:color w:val="7F7F7F" w:themeColor="background1" w:themeShade="7F"/>
            <w:spacing w:val="60"/>
          </w:rPr>
          <w:t>Page</w:t>
        </w:r>
      </w:p>
    </w:sdtContent>
  </w:sdt>
  <w:p w:rsidR="008C61F0" w:rsidRDefault="008C6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1A" w:rsidRDefault="00BF2E1A" w:rsidP="003348BA">
      <w:r>
        <w:separator/>
      </w:r>
    </w:p>
  </w:footnote>
  <w:footnote w:type="continuationSeparator" w:id="0">
    <w:p w:rsidR="00BF2E1A" w:rsidRDefault="00BF2E1A" w:rsidP="00334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3007"/>
    <w:multiLevelType w:val="hybridMultilevel"/>
    <w:tmpl w:val="950A4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093DCC"/>
    <w:multiLevelType w:val="hybridMultilevel"/>
    <w:tmpl w:val="C8169644"/>
    <w:lvl w:ilvl="0" w:tplc="35323966">
      <w:numFmt w:val="bullet"/>
      <w:lvlText w:val=""/>
      <w:lvlJc w:val="left"/>
      <w:pPr>
        <w:ind w:left="720" w:hanging="7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DA551D0"/>
    <w:multiLevelType w:val="hybridMultilevel"/>
    <w:tmpl w:val="A3649CA8"/>
    <w:lvl w:ilvl="0" w:tplc="91A6F1A6">
      <w:start w:val="1"/>
      <w:numFmt w:val="decimal"/>
      <w:lvlText w:val="%1"/>
      <w:lvlJc w:val="left"/>
      <w:pPr>
        <w:tabs>
          <w:tab w:val="num" w:pos="720"/>
        </w:tabs>
        <w:ind w:left="720" w:hanging="720"/>
      </w:pPr>
      <w:rPr>
        <w:rFonts w:ascii="Palatino Linotype" w:hAnsi="Palatino Linotype" w:hint="default"/>
        <w:b w:val="0"/>
        <w:i/>
        <w:sz w:val="20"/>
        <w:szCs w:val="20"/>
      </w:rPr>
    </w:lvl>
    <w:lvl w:ilvl="1" w:tplc="0A6AFE10">
      <w:start w:val="1"/>
      <w:numFmt w:val="lowerLetter"/>
      <w:lvlText w:val="%2."/>
      <w:lvlJc w:val="left"/>
      <w:pPr>
        <w:tabs>
          <w:tab w:val="num" w:pos="2160"/>
        </w:tabs>
        <w:ind w:left="2160" w:hanging="360"/>
      </w:pPr>
    </w:lvl>
    <w:lvl w:ilvl="2" w:tplc="3FAC19E6" w:tentative="1">
      <w:start w:val="1"/>
      <w:numFmt w:val="lowerRoman"/>
      <w:lvlText w:val="%3."/>
      <w:lvlJc w:val="right"/>
      <w:pPr>
        <w:tabs>
          <w:tab w:val="num" w:pos="2880"/>
        </w:tabs>
        <w:ind w:left="2880" w:hanging="180"/>
      </w:pPr>
    </w:lvl>
    <w:lvl w:ilvl="3" w:tplc="FCB67996" w:tentative="1">
      <w:start w:val="1"/>
      <w:numFmt w:val="decimal"/>
      <w:lvlText w:val="%4."/>
      <w:lvlJc w:val="left"/>
      <w:pPr>
        <w:tabs>
          <w:tab w:val="num" w:pos="3600"/>
        </w:tabs>
        <w:ind w:left="3600" w:hanging="360"/>
      </w:pPr>
    </w:lvl>
    <w:lvl w:ilvl="4" w:tplc="E438BDF0" w:tentative="1">
      <w:start w:val="1"/>
      <w:numFmt w:val="lowerLetter"/>
      <w:lvlText w:val="%5."/>
      <w:lvlJc w:val="left"/>
      <w:pPr>
        <w:tabs>
          <w:tab w:val="num" w:pos="4320"/>
        </w:tabs>
        <w:ind w:left="4320" w:hanging="360"/>
      </w:pPr>
    </w:lvl>
    <w:lvl w:ilvl="5" w:tplc="4910663C" w:tentative="1">
      <w:start w:val="1"/>
      <w:numFmt w:val="lowerRoman"/>
      <w:lvlText w:val="%6."/>
      <w:lvlJc w:val="right"/>
      <w:pPr>
        <w:tabs>
          <w:tab w:val="num" w:pos="5040"/>
        </w:tabs>
        <w:ind w:left="5040" w:hanging="180"/>
      </w:pPr>
    </w:lvl>
    <w:lvl w:ilvl="6" w:tplc="64E636E6" w:tentative="1">
      <w:start w:val="1"/>
      <w:numFmt w:val="decimal"/>
      <w:lvlText w:val="%7."/>
      <w:lvlJc w:val="left"/>
      <w:pPr>
        <w:tabs>
          <w:tab w:val="num" w:pos="5760"/>
        </w:tabs>
        <w:ind w:left="5760" w:hanging="360"/>
      </w:pPr>
    </w:lvl>
    <w:lvl w:ilvl="7" w:tplc="81D2E0A2" w:tentative="1">
      <w:start w:val="1"/>
      <w:numFmt w:val="lowerLetter"/>
      <w:lvlText w:val="%8."/>
      <w:lvlJc w:val="left"/>
      <w:pPr>
        <w:tabs>
          <w:tab w:val="num" w:pos="6480"/>
        </w:tabs>
        <w:ind w:left="6480" w:hanging="360"/>
      </w:pPr>
    </w:lvl>
    <w:lvl w:ilvl="8" w:tplc="6C627BF2" w:tentative="1">
      <w:start w:val="1"/>
      <w:numFmt w:val="lowerRoman"/>
      <w:lvlText w:val="%9."/>
      <w:lvlJc w:val="right"/>
      <w:pPr>
        <w:tabs>
          <w:tab w:val="num" w:pos="7200"/>
        </w:tabs>
        <w:ind w:left="7200" w:hanging="180"/>
      </w:pPr>
    </w:lvl>
  </w:abstractNum>
  <w:abstractNum w:abstractNumId="3">
    <w:nsid w:val="60B548A5"/>
    <w:multiLevelType w:val="hybridMultilevel"/>
    <w:tmpl w:val="A9CC7630"/>
    <w:lvl w:ilvl="0" w:tplc="7F8448BC">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221AB"/>
    <w:multiLevelType w:val="hybridMultilevel"/>
    <w:tmpl w:val="9DECF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2B6D18"/>
    <w:multiLevelType w:val="hybridMultilevel"/>
    <w:tmpl w:val="1CE28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E46C9F"/>
    <w:multiLevelType w:val="hybridMultilevel"/>
    <w:tmpl w:val="CB8C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B15E9"/>
    <w:rsid w:val="00017150"/>
    <w:rsid w:val="001A6BE1"/>
    <w:rsid w:val="001B6F67"/>
    <w:rsid w:val="001C781B"/>
    <w:rsid w:val="002120E8"/>
    <w:rsid w:val="002565CB"/>
    <w:rsid w:val="00264468"/>
    <w:rsid w:val="003348BA"/>
    <w:rsid w:val="003A46C6"/>
    <w:rsid w:val="003E17DD"/>
    <w:rsid w:val="00405665"/>
    <w:rsid w:val="004274DE"/>
    <w:rsid w:val="00432CA7"/>
    <w:rsid w:val="004A75DC"/>
    <w:rsid w:val="00507391"/>
    <w:rsid w:val="005304F0"/>
    <w:rsid w:val="005732DB"/>
    <w:rsid w:val="0057792A"/>
    <w:rsid w:val="00595251"/>
    <w:rsid w:val="005B36D1"/>
    <w:rsid w:val="005D0A88"/>
    <w:rsid w:val="006C0D1B"/>
    <w:rsid w:val="006C1F39"/>
    <w:rsid w:val="006C4D8A"/>
    <w:rsid w:val="006F20EC"/>
    <w:rsid w:val="007114D6"/>
    <w:rsid w:val="0087781E"/>
    <w:rsid w:val="00880C2E"/>
    <w:rsid w:val="00891050"/>
    <w:rsid w:val="008C61F0"/>
    <w:rsid w:val="00905EB5"/>
    <w:rsid w:val="009535C2"/>
    <w:rsid w:val="00955A09"/>
    <w:rsid w:val="009829AC"/>
    <w:rsid w:val="009B266B"/>
    <w:rsid w:val="00A14291"/>
    <w:rsid w:val="00A40FFB"/>
    <w:rsid w:val="00A4317F"/>
    <w:rsid w:val="00A83136"/>
    <w:rsid w:val="00AB6DF6"/>
    <w:rsid w:val="00B078A9"/>
    <w:rsid w:val="00B81FF5"/>
    <w:rsid w:val="00BF2E1A"/>
    <w:rsid w:val="00C1662F"/>
    <w:rsid w:val="00C22C63"/>
    <w:rsid w:val="00C7086B"/>
    <w:rsid w:val="00CC7044"/>
    <w:rsid w:val="00CF4DFA"/>
    <w:rsid w:val="00D1774B"/>
    <w:rsid w:val="00DB15E9"/>
    <w:rsid w:val="00EC3A97"/>
    <w:rsid w:val="00F5645C"/>
    <w:rsid w:val="00FB3753"/>
    <w:rsid w:val="00FD0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792A"/>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E9"/>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91050"/>
    <w:rPr>
      <w:sz w:val="16"/>
      <w:szCs w:val="16"/>
    </w:rPr>
  </w:style>
  <w:style w:type="paragraph" w:styleId="CommentText">
    <w:name w:val="annotation text"/>
    <w:basedOn w:val="Normal"/>
    <w:link w:val="CommentTextChar"/>
    <w:uiPriority w:val="99"/>
    <w:semiHidden/>
    <w:unhideWhenUsed/>
    <w:rsid w:val="00891050"/>
    <w:rPr>
      <w:sz w:val="20"/>
      <w:szCs w:val="20"/>
    </w:rPr>
  </w:style>
  <w:style w:type="character" w:customStyle="1" w:styleId="CommentTextChar">
    <w:name w:val="Comment Text Char"/>
    <w:basedOn w:val="DefaultParagraphFont"/>
    <w:link w:val="CommentText"/>
    <w:uiPriority w:val="99"/>
    <w:semiHidden/>
    <w:rsid w:val="00891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050"/>
    <w:rPr>
      <w:b/>
      <w:bCs/>
    </w:rPr>
  </w:style>
  <w:style w:type="character" w:customStyle="1" w:styleId="CommentSubjectChar">
    <w:name w:val="Comment Subject Char"/>
    <w:basedOn w:val="CommentTextChar"/>
    <w:link w:val="CommentSubject"/>
    <w:uiPriority w:val="99"/>
    <w:semiHidden/>
    <w:rsid w:val="00891050"/>
    <w:rPr>
      <w:b/>
      <w:bCs/>
    </w:rPr>
  </w:style>
  <w:style w:type="paragraph" w:styleId="BalloonText">
    <w:name w:val="Balloon Text"/>
    <w:basedOn w:val="Normal"/>
    <w:link w:val="BalloonTextChar"/>
    <w:uiPriority w:val="99"/>
    <w:semiHidden/>
    <w:unhideWhenUsed/>
    <w:rsid w:val="00891050"/>
    <w:rPr>
      <w:rFonts w:ascii="Tahoma" w:hAnsi="Tahoma" w:cs="Tahoma"/>
      <w:sz w:val="16"/>
      <w:szCs w:val="16"/>
    </w:rPr>
  </w:style>
  <w:style w:type="character" w:customStyle="1" w:styleId="BalloonTextChar">
    <w:name w:val="Balloon Text Char"/>
    <w:basedOn w:val="DefaultParagraphFont"/>
    <w:link w:val="BalloonText"/>
    <w:uiPriority w:val="99"/>
    <w:semiHidden/>
    <w:rsid w:val="00891050"/>
    <w:rPr>
      <w:rFonts w:ascii="Tahoma" w:eastAsia="Times New Roman" w:hAnsi="Tahoma" w:cs="Tahoma"/>
      <w:sz w:val="16"/>
      <w:szCs w:val="16"/>
    </w:rPr>
  </w:style>
  <w:style w:type="paragraph" w:styleId="Header">
    <w:name w:val="header"/>
    <w:basedOn w:val="Normal"/>
    <w:link w:val="HeaderChar"/>
    <w:rsid w:val="0057792A"/>
    <w:pPr>
      <w:tabs>
        <w:tab w:val="center" w:pos="4320"/>
        <w:tab w:val="right" w:pos="8640"/>
      </w:tabs>
    </w:pPr>
    <w:rPr>
      <w:sz w:val="20"/>
      <w:szCs w:val="20"/>
    </w:rPr>
  </w:style>
  <w:style w:type="character" w:customStyle="1" w:styleId="HeaderChar">
    <w:name w:val="Header Char"/>
    <w:basedOn w:val="DefaultParagraphFont"/>
    <w:link w:val="Header"/>
    <w:rsid w:val="0057792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7792A"/>
    <w:rPr>
      <w:rFonts w:ascii="Times New Roman" w:eastAsia="Times New Roman" w:hAnsi="Times New Roman" w:cs="Times New Roman"/>
      <w:sz w:val="24"/>
      <w:szCs w:val="20"/>
    </w:rPr>
  </w:style>
  <w:style w:type="paragraph" w:styleId="BodyText2">
    <w:name w:val="Body Text 2"/>
    <w:basedOn w:val="Normal"/>
    <w:link w:val="BodyText2Char"/>
    <w:rsid w:val="0057792A"/>
    <w:pPr>
      <w:jc w:val="both"/>
    </w:pPr>
    <w:rPr>
      <w:szCs w:val="20"/>
    </w:rPr>
  </w:style>
  <w:style w:type="character" w:customStyle="1" w:styleId="BodyText2Char">
    <w:name w:val="Body Text 2 Char"/>
    <w:basedOn w:val="DefaultParagraphFont"/>
    <w:link w:val="BodyText2"/>
    <w:rsid w:val="0057792A"/>
    <w:rPr>
      <w:rFonts w:ascii="Times New Roman" w:eastAsia="Times New Roman" w:hAnsi="Times New Roman" w:cs="Times New Roman"/>
      <w:sz w:val="24"/>
      <w:szCs w:val="20"/>
    </w:rPr>
  </w:style>
  <w:style w:type="paragraph" w:styleId="BodyTextIndent">
    <w:name w:val="Body Text Indent"/>
    <w:basedOn w:val="Normal"/>
    <w:link w:val="BodyTextIndentChar"/>
    <w:rsid w:val="0057792A"/>
    <w:pPr>
      <w:tabs>
        <w:tab w:val="left" w:pos="1440"/>
      </w:tabs>
      <w:ind w:firstLine="720"/>
      <w:jc w:val="both"/>
    </w:pPr>
    <w:rPr>
      <w:szCs w:val="20"/>
    </w:rPr>
  </w:style>
  <w:style w:type="character" w:customStyle="1" w:styleId="BodyTextIndentChar">
    <w:name w:val="Body Text Indent Char"/>
    <w:basedOn w:val="DefaultParagraphFont"/>
    <w:link w:val="BodyTextIndent"/>
    <w:rsid w:val="005779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48BA"/>
    <w:pPr>
      <w:tabs>
        <w:tab w:val="center" w:pos="4680"/>
        <w:tab w:val="right" w:pos="9360"/>
      </w:tabs>
    </w:pPr>
  </w:style>
  <w:style w:type="character" w:customStyle="1" w:styleId="FooterChar">
    <w:name w:val="Footer Char"/>
    <w:basedOn w:val="DefaultParagraphFont"/>
    <w:link w:val="Footer"/>
    <w:uiPriority w:val="99"/>
    <w:rsid w:val="003348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2011-06-15T07:00:00+00:00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60B3-4405-464B-865B-345FDD2B7618}"/>
</file>

<file path=customXml/itemProps2.xml><?xml version="1.0" encoding="utf-8"?>
<ds:datastoreItem xmlns:ds="http://schemas.openxmlformats.org/officeDocument/2006/customXml" ds:itemID="{3CFC896B-88D3-4147-8AAA-B76C36AD0638}"/>
</file>

<file path=customXml/itemProps3.xml><?xml version="1.0" encoding="utf-8"?>
<ds:datastoreItem xmlns:ds="http://schemas.openxmlformats.org/officeDocument/2006/customXml" ds:itemID="{96BACFA6-7E1D-46F1-8015-F51B20759AC7}"/>
</file>

<file path=customXml/itemProps4.xml><?xml version="1.0" encoding="utf-8"?>
<ds:datastoreItem xmlns:ds="http://schemas.openxmlformats.org/officeDocument/2006/customXml" ds:itemID="{0124B769-FC88-4081-B88E-ECE47B328AFC}"/>
</file>

<file path=customXml/itemProps5.xml><?xml version="1.0" encoding="utf-8"?>
<ds:datastoreItem xmlns:ds="http://schemas.openxmlformats.org/officeDocument/2006/customXml" ds:itemID="{490F82B9-B0D7-4F1D-A1DF-183FA0BE4E57}"/>
</file>

<file path=docProps/app.xml><?xml version="1.0" encoding="utf-8"?>
<Properties xmlns="http://schemas.openxmlformats.org/officeDocument/2006/extended-properties" xmlns:vt="http://schemas.openxmlformats.org/officeDocument/2006/docPropsVTypes">
  <Template>Normal.dotm</Template>
  <TotalTime>2</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jp4047</dc:creator>
  <cp:keywords/>
  <dc:description/>
  <cp:lastModifiedBy>Paul W. Kimball</cp:lastModifiedBy>
  <cp:revision>2</cp:revision>
  <cp:lastPrinted>2011-06-03T20:18:00Z</cp:lastPrinted>
  <dcterms:created xsi:type="dcterms:W3CDTF">2011-06-15T18:26:00Z</dcterms:created>
  <dcterms:modified xsi:type="dcterms:W3CDTF">2011-06-15T18:26:00Z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