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A1BFC" w14:textId="77777777" w:rsidR="00FD536A" w:rsidRDefault="00FD536A" w:rsidP="00DD59A0">
      <w:pPr>
        <w:ind w:right="162"/>
        <w:jc w:val="center"/>
        <w:rPr>
          <w:b/>
          <w:bCs/>
          <w:sz w:val="24"/>
          <w:szCs w:val="24"/>
        </w:rPr>
      </w:pPr>
      <w:r>
        <w:rPr>
          <w:b/>
          <w:bCs/>
          <w:sz w:val="24"/>
          <w:szCs w:val="24"/>
        </w:rPr>
        <w:t>AVISTA CORP.</w:t>
      </w:r>
    </w:p>
    <w:p w14:paraId="7EF07466" w14:textId="77777777" w:rsidR="00FD536A" w:rsidRDefault="00FD536A">
      <w:pPr>
        <w:pStyle w:val="Heading3"/>
      </w:pPr>
      <w:r>
        <w:t>RESPONSE TO REQUEST FOR INFORMATION</w:t>
      </w:r>
    </w:p>
    <w:p w14:paraId="69AE75CC" w14:textId="77777777" w:rsidR="00FD536A" w:rsidRDefault="00FD536A">
      <w:pPr>
        <w:jc w:val="center"/>
        <w:rPr>
          <w:b/>
          <w:bCs/>
          <w:sz w:val="24"/>
          <w:szCs w:val="24"/>
        </w:rPr>
      </w:pPr>
    </w:p>
    <w:p w14:paraId="64E9FFFA" w14:textId="0E84B834"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0E5BEB">
        <w:t>5</w:t>
      </w:r>
      <w:r w:rsidR="00A43B06">
        <w:t>/</w:t>
      </w:r>
      <w:r w:rsidR="00767D78">
        <w:t>31</w:t>
      </w:r>
      <w:r w:rsidR="00A43B06">
        <w:t>/201</w:t>
      </w:r>
      <w:r w:rsidR="004B7780">
        <w:t>6</w:t>
      </w:r>
    </w:p>
    <w:p w14:paraId="000E171B" w14:textId="77777777"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14:paraId="37990EE5" w14:textId="74DFE3D7" w:rsidR="001004DE" w:rsidRDefault="00C73FA6" w:rsidP="00DD59A0">
      <w:pPr>
        <w:pStyle w:val="Heading1"/>
        <w:tabs>
          <w:tab w:val="clear" w:pos="4320"/>
          <w:tab w:val="left" w:pos="5040"/>
        </w:tabs>
        <w:ind w:right="-738"/>
      </w:pPr>
      <w:r>
        <w:t>REQUESTER:</w:t>
      </w:r>
      <w:r>
        <w:tab/>
      </w:r>
      <w:r w:rsidR="00022230">
        <w:t>Public Counsel</w:t>
      </w:r>
      <w:r w:rsidR="0040408A">
        <w:t>/Energy Project</w:t>
      </w:r>
      <w:r w:rsidR="00FD536A">
        <w:tab/>
        <w:t>RESPONDER:</w:t>
      </w:r>
      <w:r w:rsidR="00FD536A">
        <w:tab/>
      </w:r>
      <w:r w:rsidR="002B7C3C" w:rsidRPr="00767D78">
        <w:t xml:space="preserve">Leona </w:t>
      </w:r>
      <w:proofErr w:type="spellStart"/>
      <w:r w:rsidR="002B7C3C" w:rsidRPr="00767D78">
        <w:t>Doege</w:t>
      </w:r>
      <w:proofErr w:type="spellEnd"/>
      <w:r w:rsidR="000E5BEB" w:rsidRPr="00C030AD">
        <w:rPr>
          <w:color w:val="FF0000"/>
        </w:rPr>
        <w:t xml:space="preserve"> </w:t>
      </w:r>
      <w:r w:rsidR="004D58B3">
        <w:t>/</w:t>
      </w:r>
      <w:r w:rsidR="00D13C3A">
        <w:t xml:space="preserve"> </w:t>
      </w:r>
      <w:r w:rsidR="004D58B3">
        <w:t xml:space="preserve">L. </w:t>
      </w:r>
      <w:r w:rsidR="00FB5ABF">
        <w:t>La Bolle</w:t>
      </w:r>
    </w:p>
    <w:p w14:paraId="05DD47DB" w14:textId="77777777" w:rsidR="001004DE" w:rsidRDefault="00FD536A" w:rsidP="00DD59A0">
      <w:pPr>
        <w:pStyle w:val="Heading1"/>
        <w:tabs>
          <w:tab w:val="clear" w:pos="4320"/>
          <w:tab w:val="left" w:pos="5040"/>
        </w:tabs>
        <w:ind w:right="-828"/>
      </w:pPr>
      <w:r>
        <w:t>TYPE:</w:t>
      </w:r>
      <w:r>
        <w:tab/>
        <w:t>Data Request</w:t>
      </w:r>
      <w:r>
        <w:tab/>
        <w:t>DEPT:</w:t>
      </w:r>
      <w:r>
        <w:tab/>
      </w:r>
      <w:r w:rsidR="00941853">
        <w:tab/>
      </w:r>
      <w:r w:rsidR="00941853">
        <w:tab/>
      </w:r>
      <w:r w:rsidR="00FB5ABF">
        <w:t>State &amp; Federal Regulation</w:t>
      </w:r>
    </w:p>
    <w:p w14:paraId="151A4373" w14:textId="7FAB1294"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0E745C">
        <w:t>50</w:t>
      </w:r>
      <w:r w:rsidR="004A7704">
        <w:tab/>
      </w:r>
      <w:r w:rsidR="00FD536A">
        <w:t>TELEPHONE:</w:t>
      </w:r>
      <w:r w:rsidR="00FD536A">
        <w:tab/>
        <w:t>(509) 495-</w:t>
      </w:r>
      <w:r w:rsidR="00FB5ABF">
        <w:t>4710</w:t>
      </w:r>
    </w:p>
    <w:p w14:paraId="2B9A50AB" w14:textId="77777777" w:rsidR="00FD536A" w:rsidRDefault="00AA791F" w:rsidP="00DD59A0">
      <w:pPr>
        <w:tabs>
          <w:tab w:val="left" w:pos="1890"/>
          <w:tab w:val="left" w:pos="5040"/>
          <w:tab w:val="left" w:pos="6480"/>
        </w:tabs>
        <w:ind w:right="-118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5A158B4F" w14:textId="77777777" w:rsidR="000E629D" w:rsidRDefault="000E629D">
      <w:pPr>
        <w:tabs>
          <w:tab w:val="left" w:pos="1890"/>
          <w:tab w:val="left" w:pos="4320"/>
          <w:tab w:val="left" w:pos="6480"/>
        </w:tabs>
        <w:rPr>
          <w:sz w:val="24"/>
          <w:szCs w:val="24"/>
        </w:rPr>
      </w:pPr>
    </w:p>
    <w:p w14:paraId="078E31B7" w14:textId="77777777" w:rsidR="003E2A56" w:rsidRPr="00EA2661" w:rsidRDefault="00FD536A" w:rsidP="00555801">
      <w:pPr>
        <w:ind w:left="1440" w:hanging="1440"/>
        <w:rPr>
          <w:sz w:val="24"/>
        </w:rPr>
      </w:pPr>
      <w:r>
        <w:rPr>
          <w:b/>
          <w:bCs/>
          <w:sz w:val="24"/>
          <w:szCs w:val="24"/>
        </w:rPr>
        <w:t>REQUEST:</w:t>
      </w:r>
      <w:r w:rsidR="005C2774" w:rsidRPr="005C2774">
        <w:rPr>
          <w:b/>
        </w:rPr>
        <w:t xml:space="preserve"> </w:t>
      </w:r>
      <w:r w:rsidR="00B131FC">
        <w:t xml:space="preserve"> </w:t>
      </w:r>
    </w:p>
    <w:p w14:paraId="47930426" w14:textId="77777777" w:rsidR="00AD4851" w:rsidRDefault="00AD4851" w:rsidP="004D58B3">
      <w:pPr>
        <w:pStyle w:val="ListParagraph"/>
        <w:ind w:left="0"/>
        <w:contextualSpacing w:val="0"/>
      </w:pPr>
    </w:p>
    <w:p w14:paraId="7C040B45" w14:textId="77777777" w:rsidR="000E745C" w:rsidRDefault="000E745C" w:rsidP="00AD4851">
      <w:pPr>
        <w:pStyle w:val="ListParagraph"/>
        <w:ind w:left="0"/>
        <w:contextualSpacing w:val="0"/>
        <w:jc w:val="both"/>
      </w:pPr>
      <w:r w:rsidRPr="00352122">
        <w:t xml:space="preserve">Please provide a copy of the reports and documents identified </w:t>
      </w:r>
      <w:r>
        <w:t xml:space="preserve">in Avista’s response to </w:t>
      </w:r>
      <w:r w:rsidRPr="00352122">
        <w:t>P</w:t>
      </w:r>
      <w:r>
        <w:t xml:space="preserve">ublic Counsel and The Energy Project Joint Data Request No. </w:t>
      </w:r>
      <w:r w:rsidRPr="00352122">
        <w:t xml:space="preserve">29 as the basis for </w:t>
      </w:r>
      <w:r>
        <w:t>Avista’s</w:t>
      </w:r>
      <w:r w:rsidRPr="00352122">
        <w:t xml:space="preserve"> assumption about customer conservation actions associated with Avista’s web portal that will include interval usage data derived from the AMI meters.</w:t>
      </w:r>
    </w:p>
    <w:p w14:paraId="6580C10D" w14:textId="77777777" w:rsidR="006045D3" w:rsidRDefault="006045D3" w:rsidP="00A43B06">
      <w:pPr>
        <w:tabs>
          <w:tab w:val="left" w:pos="1890"/>
          <w:tab w:val="left" w:pos="4320"/>
          <w:tab w:val="left" w:pos="6480"/>
        </w:tabs>
        <w:jc w:val="both"/>
        <w:rPr>
          <w:b/>
          <w:sz w:val="24"/>
          <w:szCs w:val="24"/>
        </w:rPr>
      </w:pPr>
    </w:p>
    <w:p w14:paraId="49F03518" w14:textId="77777777" w:rsidR="00DD59A0" w:rsidRPr="00A43B06" w:rsidRDefault="00DD59A0" w:rsidP="00A43B06">
      <w:pPr>
        <w:tabs>
          <w:tab w:val="left" w:pos="1890"/>
          <w:tab w:val="left" w:pos="4320"/>
          <w:tab w:val="left" w:pos="6480"/>
        </w:tabs>
        <w:jc w:val="both"/>
        <w:rPr>
          <w:b/>
          <w:sz w:val="24"/>
          <w:szCs w:val="24"/>
        </w:rPr>
      </w:pPr>
      <w:bookmarkStart w:id="0" w:name="_GoBack"/>
      <w:bookmarkEnd w:id="0"/>
    </w:p>
    <w:p w14:paraId="177B0F54"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6707C9CD" w14:textId="77777777" w:rsidR="00417AA4" w:rsidRDefault="00417AA4" w:rsidP="00555801">
      <w:pPr>
        <w:autoSpaceDE/>
        <w:autoSpaceDN/>
        <w:jc w:val="both"/>
        <w:rPr>
          <w:sz w:val="24"/>
          <w:szCs w:val="24"/>
        </w:rPr>
      </w:pPr>
    </w:p>
    <w:p w14:paraId="16507B96" w14:textId="1DE5CD0F" w:rsidR="005860D8" w:rsidRPr="00BA222E" w:rsidRDefault="005860D8" w:rsidP="005860D8">
      <w:pPr>
        <w:tabs>
          <w:tab w:val="left" w:pos="1890"/>
          <w:tab w:val="left" w:pos="4320"/>
          <w:tab w:val="left" w:pos="6480"/>
        </w:tabs>
        <w:jc w:val="both"/>
        <w:rPr>
          <w:sz w:val="24"/>
          <w:szCs w:val="24"/>
        </w:rPr>
      </w:pPr>
      <w:r w:rsidRPr="000C718C">
        <w:rPr>
          <w:sz w:val="24"/>
          <w:szCs w:val="24"/>
        </w:rPr>
        <w:t>A</w:t>
      </w:r>
      <w:r>
        <w:rPr>
          <w:sz w:val="24"/>
          <w:szCs w:val="24"/>
        </w:rPr>
        <w:t>s noted in PC/EP DR-029, A</w:t>
      </w:r>
      <w:r w:rsidRPr="000C718C">
        <w:rPr>
          <w:sz w:val="24"/>
          <w:szCs w:val="24"/>
        </w:rPr>
        <w:t xml:space="preserve">vista reviewed </w:t>
      </w:r>
      <w:r>
        <w:rPr>
          <w:sz w:val="24"/>
          <w:szCs w:val="24"/>
        </w:rPr>
        <w:t>relevant industry information</w:t>
      </w:r>
      <w:r w:rsidRPr="000C718C">
        <w:rPr>
          <w:sz w:val="24"/>
          <w:szCs w:val="24"/>
        </w:rPr>
        <w:t xml:space="preserve"> </w:t>
      </w:r>
      <w:r w:rsidRPr="005860D8">
        <w:rPr>
          <w:sz w:val="24"/>
          <w:szCs w:val="24"/>
          <w:u w:val="single"/>
        </w:rPr>
        <w:t>as part of its process</w:t>
      </w:r>
      <w:r>
        <w:rPr>
          <w:sz w:val="24"/>
          <w:szCs w:val="24"/>
        </w:rPr>
        <w:t xml:space="preserve"> of </w:t>
      </w:r>
      <w:r w:rsidRPr="000C718C">
        <w:rPr>
          <w:sz w:val="24"/>
          <w:szCs w:val="24"/>
        </w:rPr>
        <w:t xml:space="preserve">developing </w:t>
      </w:r>
      <w:r>
        <w:rPr>
          <w:sz w:val="24"/>
          <w:szCs w:val="24"/>
        </w:rPr>
        <w:t xml:space="preserve">initial </w:t>
      </w:r>
      <w:r w:rsidRPr="000C718C">
        <w:rPr>
          <w:sz w:val="24"/>
          <w:szCs w:val="24"/>
        </w:rPr>
        <w:t xml:space="preserve">estimates </w:t>
      </w:r>
      <w:r>
        <w:rPr>
          <w:sz w:val="24"/>
          <w:szCs w:val="24"/>
        </w:rPr>
        <w:t xml:space="preserve">of the potential </w:t>
      </w:r>
      <w:r w:rsidRPr="00BE4639">
        <w:rPr>
          <w:sz w:val="24"/>
          <w:szCs w:val="24"/>
        </w:rPr>
        <w:t xml:space="preserve">reduction </w:t>
      </w:r>
      <w:r>
        <w:rPr>
          <w:sz w:val="24"/>
          <w:szCs w:val="24"/>
        </w:rPr>
        <w:t>in our customers’ energy use as a result of having</w:t>
      </w:r>
      <w:r w:rsidRPr="00BE4639">
        <w:rPr>
          <w:sz w:val="24"/>
          <w:szCs w:val="24"/>
        </w:rPr>
        <w:t xml:space="preserve"> access </w:t>
      </w:r>
      <w:r>
        <w:rPr>
          <w:sz w:val="24"/>
          <w:szCs w:val="24"/>
        </w:rPr>
        <w:t xml:space="preserve">to </w:t>
      </w:r>
      <w:r w:rsidRPr="00BE4639">
        <w:rPr>
          <w:sz w:val="24"/>
          <w:szCs w:val="24"/>
        </w:rPr>
        <w:t xml:space="preserve">detailed interval usage data on </w:t>
      </w:r>
      <w:r>
        <w:rPr>
          <w:sz w:val="24"/>
          <w:szCs w:val="24"/>
        </w:rPr>
        <w:t>the Company’s new</w:t>
      </w:r>
      <w:r w:rsidRPr="00BE4639">
        <w:rPr>
          <w:sz w:val="24"/>
          <w:szCs w:val="24"/>
        </w:rPr>
        <w:t xml:space="preserve"> web portal.</w:t>
      </w:r>
      <w:r>
        <w:rPr>
          <w:sz w:val="24"/>
          <w:szCs w:val="24"/>
        </w:rPr>
        <w:t xml:space="preserve"> </w:t>
      </w:r>
      <w:r w:rsidRPr="00477311">
        <w:rPr>
          <w:sz w:val="24"/>
          <w:szCs w:val="24"/>
          <w:u w:val="single"/>
        </w:rPr>
        <w:t>With this information as background</w:t>
      </w:r>
      <w:r w:rsidRPr="00BA222E">
        <w:rPr>
          <w:sz w:val="24"/>
          <w:szCs w:val="24"/>
        </w:rPr>
        <w:t xml:space="preserve">, Avista considered its own information </w:t>
      </w:r>
      <w:r>
        <w:rPr>
          <w:sz w:val="24"/>
          <w:szCs w:val="24"/>
        </w:rPr>
        <w:t xml:space="preserve">and experience </w:t>
      </w:r>
      <w:r w:rsidRPr="00BA222E">
        <w:rPr>
          <w:sz w:val="24"/>
          <w:szCs w:val="24"/>
        </w:rPr>
        <w:t>related to the conservation potential in its service area, customer participation rates in conservation programs, and savings experienced by our customers who have taken actions to reduce their energy consumption.</w:t>
      </w:r>
      <w:r>
        <w:rPr>
          <w:sz w:val="24"/>
          <w:szCs w:val="24"/>
        </w:rPr>
        <w:t xml:space="preserve"> </w:t>
      </w:r>
      <w:r w:rsidRPr="00BA222E">
        <w:rPr>
          <w:sz w:val="24"/>
          <w:szCs w:val="24"/>
        </w:rPr>
        <w:t>The Company used study results from a survey of the conservation potential of its customers to help inform its assumed average participation rate of three percent (i.e. we assumed that three percent of customers who were provided access to interval energy data, would be prompted to make energy efficiency investments based on that information, coupled with our ongoing energy efficiency com</w:t>
      </w:r>
      <w:r>
        <w:rPr>
          <w:sz w:val="24"/>
          <w:szCs w:val="24"/>
        </w:rPr>
        <w:t xml:space="preserve">munications). </w:t>
      </w:r>
      <w:r w:rsidRPr="00BA222E">
        <w:rPr>
          <w:sz w:val="24"/>
          <w:szCs w:val="24"/>
        </w:rPr>
        <w:t xml:space="preserve">Avista also used results of its customers’ energy savings as measured through its behavioral program, coupled with its experience with customers who participate in the Company’s conservation programs, to </w:t>
      </w:r>
      <w:r>
        <w:rPr>
          <w:sz w:val="24"/>
          <w:szCs w:val="24"/>
        </w:rPr>
        <w:t>determine an</w:t>
      </w:r>
      <w:r w:rsidRPr="00BA222E">
        <w:rPr>
          <w:sz w:val="24"/>
          <w:szCs w:val="24"/>
        </w:rPr>
        <w:t xml:space="preserve"> average rate of savings of three percent </w:t>
      </w:r>
      <w:r>
        <w:rPr>
          <w:sz w:val="24"/>
          <w:szCs w:val="24"/>
        </w:rPr>
        <w:t xml:space="preserve">as a reasonable initial estimate </w:t>
      </w:r>
      <w:r w:rsidRPr="00BA222E">
        <w:rPr>
          <w:sz w:val="24"/>
          <w:szCs w:val="24"/>
        </w:rPr>
        <w:t xml:space="preserve">(i.e. for those customers who do reduce their energy consumption as a result of having access to better information on their energy use, their average savings will </w:t>
      </w:r>
      <w:r>
        <w:rPr>
          <w:sz w:val="24"/>
          <w:szCs w:val="24"/>
        </w:rPr>
        <w:t>be three percent). These estimates are in the lower end of the</w:t>
      </w:r>
      <w:r w:rsidRPr="00BA222E">
        <w:rPr>
          <w:sz w:val="24"/>
          <w:szCs w:val="24"/>
        </w:rPr>
        <w:t xml:space="preserve"> range of the </w:t>
      </w:r>
      <w:r w:rsidR="004A70BA">
        <w:rPr>
          <w:sz w:val="24"/>
          <w:szCs w:val="24"/>
        </w:rPr>
        <w:t xml:space="preserve">subject </w:t>
      </w:r>
      <w:r w:rsidRPr="00BA222E">
        <w:rPr>
          <w:sz w:val="24"/>
          <w:szCs w:val="24"/>
        </w:rPr>
        <w:t>industry-reporte</w:t>
      </w:r>
      <w:r w:rsidR="004A70BA">
        <w:rPr>
          <w:sz w:val="24"/>
          <w:szCs w:val="24"/>
        </w:rPr>
        <w:t>d results</w:t>
      </w:r>
      <w:r w:rsidRPr="00BA222E">
        <w:rPr>
          <w:sz w:val="24"/>
          <w:szCs w:val="24"/>
        </w:rPr>
        <w:t xml:space="preserve"> </w:t>
      </w:r>
      <w:r w:rsidR="004A70BA">
        <w:rPr>
          <w:sz w:val="24"/>
          <w:szCs w:val="24"/>
        </w:rPr>
        <w:t>and w</w:t>
      </w:r>
      <w:r>
        <w:rPr>
          <w:sz w:val="24"/>
          <w:szCs w:val="24"/>
        </w:rPr>
        <w:t>e believe they provide</w:t>
      </w:r>
      <w:r w:rsidRPr="00BA222E">
        <w:rPr>
          <w:sz w:val="24"/>
          <w:szCs w:val="24"/>
        </w:rPr>
        <w:t xml:space="preserve"> a</w:t>
      </w:r>
      <w:r>
        <w:rPr>
          <w:sz w:val="24"/>
          <w:szCs w:val="24"/>
        </w:rPr>
        <w:t xml:space="preserve"> reasonable basis for our initial estimates of the</w:t>
      </w:r>
      <w:r w:rsidRPr="00BA222E">
        <w:rPr>
          <w:sz w:val="24"/>
          <w:szCs w:val="24"/>
        </w:rPr>
        <w:t xml:space="preserve"> expected customer benefit</w:t>
      </w:r>
      <w:r w:rsidR="004A70BA">
        <w:rPr>
          <w:sz w:val="24"/>
          <w:szCs w:val="24"/>
        </w:rPr>
        <w:t xml:space="preserve">s, which represent just 1.8% of the </w:t>
      </w:r>
      <w:r w:rsidR="00217B92">
        <w:rPr>
          <w:sz w:val="24"/>
          <w:szCs w:val="24"/>
        </w:rPr>
        <w:t xml:space="preserve">total </w:t>
      </w:r>
      <w:r w:rsidR="004A70BA">
        <w:rPr>
          <w:sz w:val="24"/>
          <w:szCs w:val="24"/>
        </w:rPr>
        <w:t>benefits quantified in the Company’s advanced metering business case.</w:t>
      </w:r>
    </w:p>
    <w:p w14:paraId="6AA6D15A" w14:textId="77777777" w:rsidR="005860D8" w:rsidRDefault="005860D8" w:rsidP="00555801">
      <w:pPr>
        <w:autoSpaceDE/>
        <w:autoSpaceDN/>
        <w:jc w:val="both"/>
        <w:rPr>
          <w:sz w:val="24"/>
          <w:szCs w:val="24"/>
        </w:rPr>
      </w:pPr>
    </w:p>
    <w:p w14:paraId="791D0F6A" w14:textId="2B5AF9F5" w:rsidR="00490466" w:rsidRDefault="00490466" w:rsidP="00555801">
      <w:pPr>
        <w:autoSpaceDE/>
        <w:autoSpaceDN/>
        <w:jc w:val="both"/>
        <w:rPr>
          <w:sz w:val="24"/>
          <w:szCs w:val="24"/>
        </w:rPr>
      </w:pPr>
      <w:r>
        <w:rPr>
          <w:sz w:val="24"/>
          <w:szCs w:val="24"/>
        </w:rPr>
        <w:t>Pleas</w:t>
      </w:r>
      <w:r w:rsidR="00AD4851">
        <w:rPr>
          <w:sz w:val="24"/>
          <w:szCs w:val="24"/>
        </w:rPr>
        <w:t xml:space="preserve">e find </w:t>
      </w:r>
      <w:r w:rsidR="00780131">
        <w:rPr>
          <w:sz w:val="24"/>
          <w:szCs w:val="24"/>
        </w:rPr>
        <w:t xml:space="preserve">the requested documents </w:t>
      </w:r>
      <w:r w:rsidR="005860D8">
        <w:rPr>
          <w:sz w:val="24"/>
          <w:szCs w:val="24"/>
        </w:rPr>
        <w:t xml:space="preserve">that Avista considered as part of its process of developing initial </w:t>
      </w:r>
      <w:proofErr w:type="gramStart"/>
      <w:r w:rsidR="005860D8">
        <w:rPr>
          <w:sz w:val="24"/>
          <w:szCs w:val="24"/>
        </w:rPr>
        <w:t>estimates</w:t>
      </w:r>
      <w:proofErr w:type="gramEnd"/>
      <w:r w:rsidR="005860D8">
        <w:rPr>
          <w:sz w:val="24"/>
          <w:szCs w:val="24"/>
        </w:rPr>
        <w:t xml:space="preserve"> of the potential </w:t>
      </w:r>
      <w:r w:rsidR="005860D8" w:rsidRPr="00BE4639">
        <w:rPr>
          <w:sz w:val="24"/>
          <w:szCs w:val="24"/>
        </w:rPr>
        <w:t xml:space="preserve">reduction </w:t>
      </w:r>
      <w:r w:rsidR="005860D8">
        <w:rPr>
          <w:sz w:val="24"/>
          <w:szCs w:val="24"/>
        </w:rPr>
        <w:t>in our customers’ energy use as a result of having</w:t>
      </w:r>
      <w:r w:rsidR="005860D8" w:rsidRPr="00BE4639">
        <w:rPr>
          <w:sz w:val="24"/>
          <w:szCs w:val="24"/>
        </w:rPr>
        <w:t xml:space="preserve"> access </w:t>
      </w:r>
      <w:r w:rsidR="005860D8">
        <w:rPr>
          <w:sz w:val="24"/>
          <w:szCs w:val="24"/>
        </w:rPr>
        <w:t xml:space="preserve">to </w:t>
      </w:r>
      <w:r w:rsidR="005860D8" w:rsidRPr="00BE4639">
        <w:rPr>
          <w:sz w:val="24"/>
          <w:szCs w:val="24"/>
        </w:rPr>
        <w:t xml:space="preserve">detailed interval usage data on </w:t>
      </w:r>
      <w:r w:rsidR="005860D8">
        <w:rPr>
          <w:sz w:val="24"/>
          <w:szCs w:val="24"/>
        </w:rPr>
        <w:t>the Company’s new</w:t>
      </w:r>
      <w:r w:rsidR="005860D8" w:rsidRPr="00BE4639">
        <w:rPr>
          <w:sz w:val="24"/>
          <w:szCs w:val="24"/>
        </w:rPr>
        <w:t xml:space="preserve"> web portal</w:t>
      </w:r>
      <w:r w:rsidR="005860D8">
        <w:rPr>
          <w:sz w:val="24"/>
          <w:szCs w:val="24"/>
        </w:rPr>
        <w:t xml:space="preserve">, </w:t>
      </w:r>
      <w:r w:rsidR="00AD4851">
        <w:rPr>
          <w:sz w:val="24"/>
          <w:szCs w:val="24"/>
        </w:rPr>
        <w:t>attached as PC/EP DR-050,</w:t>
      </w:r>
      <w:r w:rsidR="00780131">
        <w:rPr>
          <w:sz w:val="24"/>
          <w:szCs w:val="24"/>
        </w:rPr>
        <w:t xml:space="preserve"> Attachments A-G. The reference and page number for each document is</w:t>
      </w:r>
      <w:r>
        <w:rPr>
          <w:sz w:val="24"/>
          <w:szCs w:val="24"/>
        </w:rPr>
        <w:t xml:space="preserve"> </w:t>
      </w:r>
      <w:r w:rsidR="005860D8">
        <w:rPr>
          <w:sz w:val="24"/>
          <w:szCs w:val="24"/>
        </w:rPr>
        <w:t>provided</w:t>
      </w:r>
      <w:r>
        <w:rPr>
          <w:sz w:val="24"/>
          <w:szCs w:val="24"/>
        </w:rPr>
        <w:t xml:space="preserve"> </w:t>
      </w:r>
      <w:r w:rsidR="00780131">
        <w:rPr>
          <w:sz w:val="24"/>
          <w:szCs w:val="24"/>
        </w:rPr>
        <w:t xml:space="preserve">in the table </w:t>
      </w:r>
      <w:r>
        <w:rPr>
          <w:sz w:val="24"/>
          <w:szCs w:val="24"/>
        </w:rPr>
        <w:t>below.</w:t>
      </w:r>
    </w:p>
    <w:p w14:paraId="7934F6CA" w14:textId="77777777" w:rsidR="00490466" w:rsidRPr="00D46C9F" w:rsidRDefault="00490466" w:rsidP="00555801">
      <w:pPr>
        <w:autoSpaceDE/>
        <w:autoSpaceDN/>
        <w:jc w:val="both"/>
        <w:rPr>
          <w:sz w:val="24"/>
          <w:szCs w:val="24"/>
        </w:rPr>
      </w:pPr>
    </w:p>
    <w:tbl>
      <w:tblPr>
        <w:tblW w:w="0" w:type="auto"/>
        <w:tblCellMar>
          <w:left w:w="0" w:type="dxa"/>
          <w:right w:w="0" w:type="dxa"/>
        </w:tblCellMar>
        <w:tblLook w:val="04A0" w:firstRow="1" w:lastRow="0" w:firstColumn="1" w:lastColumn="0" w:noHBand="0" w:noVBand="1"/>
      </w:tblPr>
      <w:tblGrid>
        <w:gridCol w:w="1693"/>
        <w:gridCol w:w="1428"/>
        <w:gridCol w:w="5109"/>
        <w:gridCol w:w="1452"/>
      </w:tblGrid>
      <w:tr w:rsidR="002B7C3C" w:rsidRPr="00141081" w14:paraId="7452B96C" w14:textId="77777777" w:rsidTr="004D58B3">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3A510" w14:textId="77777777" w:rsidR="002B7C3C" w:rsidRPr="00141081" w:rsidRDefault="002B7C3C" w:rsidP="004D58B3">
            <w:pPr>
              <w:tabs>
                <w:tab w:val="left" w:pos="1890"/>
                <w:tab w:val="left" w:pos="4320"/>
                <w:tab w:val="left" w:pos="6480"/>
              </w:tabs>
              <w:jc w:val="center"/>
              <w:rPr>
                <w:b/>
                <w:sz w:val="24"/>
                <w:szCs w:val="24"/>
              </w:rPr>
            </w:pPr>
            <w:r w:rsidRPr="00141081">
              <w:rPr>
                <w:b/>
                <w:sz w:val="24"/>
                <w:szCs w:val="24"/>
              </w:rPr>
              <w:t>Source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9019F2" w14:textId="77777777" w:rsidR="002B7C3C" w:rsidRPr="00141081" w:rsidRDefault="002B7C3C" w:rsidP="004D58B3">
            <w:pPr>
              <w:tabs>
                <w:tab w:val="left" w:pos="1890"/>
                <w:tab w:val="left" w:pos="4320"/>
                <w:tab w:val="left" w:pos="6480"/>
              </w:tabs>
              <w:jc w:val="center"/>
              <w:rPr>
                <w:b/>
                <w:sz w:val="24"/>
                <w:szCs w:val="24"/>
              </w:rPr>
            </w:pPr>
            <w:r w:rsidRPr="00141081">
              <w:rPr>
                <w:b/>
                <w:sz w:val="24"/>
                <w:szCs w:val="24"/>
              </w:rPr>
              <w:t>Percentage Reduction</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404F87" w14:textId="77777777" w:rsidR="002B7C3C" w:rsidRPr="00141081" w:rsidRDefault="002B7C3C" w:rsidP="004D58B3">
            <w:pPr>
              <w:tabs>
                <w:tab w:val="left" w:pos="1890"/>
                <w:tab w:val="left" w:pos="4320"/>
                <w:tab w:val="left" w:pos="6480"/>
              </w:tabs>
              <w:jc w:val="center"/>
              <w:rPr>
                <w:b/>
                <w:sz w:val="24"/>
                <w:szCs w:val="24"/>
              </w:rPr>
            </w:pPr>
            <w:r w:rsidRPr="00141081">
              <w:rPr>
                <w:b/>
                <w:sz w:val="24"/>
                <w:szCs w:val="24"/>
              </w:rPr>
              <w:t>Notes</w:t>
            </w:r>
          </w:p>
        </w:tc>
        <w:tc>
          <w:tcPr>
            <w:tcW w:w="1484" w:type="dxa"/>
            <w:tcBorders>
              <w:top w:val="single" w:sz="8" w:space="0" w:color="auto"/>
              <w:left w:val="nil"/>
              <w:bottom w:val="single" w:sz="8" w:space="0" w:color="auto"/>
              <w:right w:val="single" w:sz="8" w:space="0" w:color="auto"/>
            </w:tcBorders>
            <w:vAlign w:val="center"/>
          </w:tcPr>
          <w:p w14:paraId="0037B621" w14:textId="0E10C98C" w:rsidR="002B7C3C" w:rsidRPr="00141081" w:rsidRDefault="004D58B3" w:rsidP="004D58B3">
            <w:pPr>
              <w:tabs>
                <w:tab w:val="left" w:pos="1890"/>
                <w:tab w:val="left" w:pos="4320"/>
                <w:tab w:val="left" w:pos="6480"/>
              </w:tabs>
              <w:jc w:val="center"/>
              <w:rPr>
                <w:b/>
                <w:sz w:val="24"/>
                <w:szCs w:val="24"/>
              </w:rPr>
            </w:pPr>
            <w:r>
              <w:rPr>
                <w:b/>
                <w:sz w:val="24"/>
                <w:szCs w:val="24"/>
              </w:rPr>
              <w:t>Attachment</w:t>
            </w:r>
          </w:p>
        </w:tc>
      </w:tr>
      <w:tr w:rsidR="002B7C3C" w:rsidRPr="00141081" w14:paraId="7B1D6FA3" w14:textId="77777777" w:rsidTr="004D58B3">
        <w:trPr>
          <w:trHeight w:val="368"/>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04F3C" w14:textId="5C04C431" w:rsidR="002B7C3C" w:rsidRPr="00141081" w:rsidRDefault="004D58B3" w:rsidP="004D58B3">
            <w:pPr>
              <w:tabs>
                <w:tab w:val="left" w:pos="1890"/>
                <w:tab w:val="left" w:pos="4320"/>
                <w:tab w:val="left" w:pos="6480"/>
              </w:tabs>
              <w:rPr>
                <w:sz w:val="24"/>
                <w:szCs w:val="24"/>
              </w:rPr>
            </w:pPr>
            <w:r>
              <w:rPr>
                <w:sz w:val="24"/>
                <w:szCs w:val="24"/>
              </w:rPr>
              <w:t xml:space="preserve">BC </w:t>
            </w:r>
            <w:r w:rsidR="002B7C3C" w:rsidRPr="00141081">
              <w:rPr>
                <w:sz w:val="24"/>
                <w:szCs w:val="24"/>
              </w:rPr>
              <w:t>Hydro Business Case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C8159" w14:textId="77777777" w:rsidR="002B7C3C" w:rsidRPr="00141081" w:rsidRDefault="002B7C3C" w:rsidP="004D58B3">
            <w:pPr>
              <w:tabs>
                <w:tab w:val="left" w:pos="1890"/>
                <w:tab w:val="left" w:pos="4320"/>
                <w:tab w:val="left" w:pos="6480"/>
              </w:tabs>
              <w:jc w:val="center"/>
              <w:rPr>
                <w:sz w:val="24"/>
                <w:szCs w:val="24"/>
              </w:rPr>
            </w:pPr>
            <w:r w:rsidRPr="00141081">
              <w:rPr>
                <w:sz w:val="24"/>
                <w:szCs w:val="24"/>
              </w:rPr>
              <w:t>2.0%</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AF0EC" w14:textId="7069DF4D" w:rsidR="002B7C3C" w:rsidRPr="00141081" w:rsidRDefault="002B7C3C" w:rsidP="007B572A">
            <w:pPr>
              <w:tabs>
                <w:tab w:val="left" w:pos="1890"/>
                <w:tab w:val="left" w:pos="4320"/>
                <w:tab w:val="left" w:pos="6480"/>
              </w:tabs>
              <w:jc w:val="both"/>
              <w:rPr>
                <w:sz w:val="24"/>
                <w:szCs w:val="24"/>
              </w:rPr>
            </w:pPr>
            <w:r w:rsidRPr="00141081">
              <w:rPr>
                <w:sz w:val="24"/>
                <w:szCs w:val="24"/>
              </w:rPr>
              <w:t>Website-based energy savings are 2%, with 15% penetration of residential customers (page 28)</w:t>
            </w:r>
            <w:r w:rsidR="004D58B3">
              <w:rPr>
                <w:sz w:val="24"/>
                <w:szCs w:val="24"/>
              </w:rPr>
              <w:t>.</w:t>
            </w:r>
          </w:p>
        </w:tc>
        <w:tc>
          <w:tcPr>
            <w:tcW w:w="1484" w:type="dxa"/>
            <w:tcBorders>
              <w:top w:val="nil"/>
              <w:left w:val="nil"/>
              <w:bottom w:val="single" w:sz="8" w:space="0" w:color="auto"/>
              <w:right w:val="single" w:sz="8" w:space="0" w:color="auto"/>
            </w:tcBorders>
            <w:vAlign w:val="center"/>
          </w:tcPr>
          <w:p w14:paraId="73897369" w14:textId="6D88DBAA" w:rsidR="002B7C3C" w:rsidRPr="00141081" w:rsidRDefault="002B7C3C" w:rsidP="004D58B3">
            <w:pPr>
              <w:tabs>
                <w:tab w:val="left" w:pos="1890"/>
                <w:tab w:val="left" w:pos="4320"/>
                <w:tab w:val="left" w:pos="6480"/>
              </w:tabs>
              <w:jc w:val="center"/>
              <w:rPr>
                <w:sz w:val="24"/>
                <w:szCs w:val="24"/>
              </w:rPr>
            </w:pPr>
            <w:r>
              <w:rPr>
                <w:sz w:val="24"/>
                <w:szCs w:val="24"/>
              </w:rPr>
              <w:t>Attachment A</w:t>
            </w:r>
          </w:p>
        </w:tc>
      </w:tr>
      <w:tr w:rsidR="002B7C3C" w:rsidRPr="00141081" w14:paraId="05DF7E36" w14:textId="77777777" w:rsidTr="004D58B3">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0C105" w14:textId="77777777" w:rsidR="002B7C3C" w:rsidRPr="00141081" w:rsidRDefault="002B7C3C" w:rsidP="004D58B3">
            <w:pPr>
              <w:tabs>
                <w:tab w:val="left" w:pos="1890"/>
                <w:tab w:val="left" w:pos="4320"/>
                <w:tab w:val="left" w:pos="6480"/>
              </w:tabs>
              <w:rPr>
                <w:sz w:val="24"/>
                <w:szCs w:val="24"/>
              </w:rPr>
            </w:pPr>
            <w:r w:rsidRPr="00141081">
              <w:rPr>
                <w:sz w:val="24"/>
                <w:szCs w:val="24"/>
              </w:rPr>
              <w:lastRenderedPageBreak/>
              <w:t>Energy Star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99995" w14:textId="77777777" w:rsidR="002B7C3C" w:rsidRPr="00141081" w:rsidRDefault="002B7C3C" w:rsidP="004D58B3">
            <w:pPr>
              <w:tabs>
                <w:tab w:val="left" w:pos="1890"/>
                <w:tab w:val="left" w:pos="4320"/>
                <w:tab w:val="left" w:pos="6480"/>
              </w:tabs>
              <w:jc w:val="center"/>
              <w:rPr>
                <w:sz w:val="24"/>
                <w:szCs w:val="24"/>
              </w:rPr>
            </w:pPr>
            <w:r w:rsidRPr="00141081">
              <w:rPr>
                <w:sz w:val="24"/>
                <w:szCs w:val="24"/>
              </w:rPr>
              <w:t>2.4%</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5CEE1" w14:textId="76273151" w:rsidR="002B7C3C" w:rsidRPr="00141081" w:rsidRDefault="002B7C3C" w:rsidP="007B572A">
            <w:pPr>
              <w:tabs>
                <w:tab w:val="left" w:pos="1890"/>
                <w:tab w:val="left" w:pos="4320"/>
                <w:tab w:val="left" w:pos="6480"/>
              </w:tabs>
              <w:jc w:val="both"/>
              <w:rPr>
                <w:sz w:val="24"/>
                <w:szCs w:val="24"/>
              </w:rPr>
            </w:pPr>
            <w:r w:rsidRPr="00141081">
              <w:rPr>
                <w:sz w:val="24"/>
                <w:szCs w:val="24"/>
              </w:rPr>
              <w:t>Among our most interesting findings is that buildings that consistently benchmark energy use save an average of 2.4% per year</w:t>
            </w:r>
            <w:r w:rsidR="00AD4851">
              <w:rPr>
                <w:sz w:val="24"/>
                <w:szCs w:val="24"/>
              </w:rPr>
              <w:t xml:space="preserve"> (page 1)</w:t>
            </w:r>
            <w:r w:rsidR="004D58B3">
              <w:rPr>
                <w:sz w:val="24"/>
                <w:szCs w:val="24"/>
              </w:rPr>
              <w:t>.</w:t>
            </w:r>
          </w:p>
        </w:tc>
        <w:tc>
          <w:tcPr>
            <w:tcW w:w="1484" w:type="dxa"/>
            <w:tcBorders>
              <w:top w:val="nil"/>
              <w:left w:val="nil"/>
              <w:bottom w:val="single" w:sz="8" w:space="0" w:color="auto"/>
              <w:right w:val="single" w:sz="8" w:space="0" w:color="auto"/>
            </w:tcBorders>
            <w:vAlign w:val="center"/>
          </w:tcPr>
          <w:p w14:paraId="11EE8135" w14:textId="366003CA" w:rsidR="002B7C3C" w:rsidRPr="00141081" w:rsidRDefault="002B7C3C" w:rsidP="004D58B3">
            <w:pPr>
              <w:tabs>
                <w:tab w:val="left" w:pos="1890"/>
                <w:tab w:val="left" w:pos="4320"/>
                <w:tab w:val="left" w:pos="6480"/>
              </w:tabs>
              <w:jc w:val="center"/>
              <w:rPr>
                <w:sz w:val="24"/>
                <w:szCs w:val="24"/>
              </w:rPr>
            </w:pPr>
            <w:r>
              <w:rPr>
                <w:sz w:val="24"/>
                <w:szCs w:val="24"/>
              </w:rPr>
              <w:t>Attachment B</w:t>
            </w:r>
          </w:p>
        </w:tc>
      </w:tr>
      <w:tr w:rsidR="002B7C3C" w:rsidRPr="00141081" w14:paraId="4DE01A86" w14:textId="77777777" w:rsidTr="004D58B3">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99AAE" w14:textId="478566B2" w:rsidR="002B7C3C" w:rsidRPr="00141081" w:rsidRDefault="00F45FEF" w:rsidP="004D58B3">
            <w:pPr>
              <w:tabs>
                <w:tab w:val="left" w:pos="1890"/>
                <w:tab w:val="left" w:pos="4320"/>
                <w:tab w:val="left" w:pos="6480"/>
              </w:tabs>
              <w:rPr>
                <w:sz w:val="24"/>
                <w:szCs w:val="24"/>
              </w:rPr>
            </w:pPr>
            <w:r>
              <w:rPr>
                <w:sz w:val="24"/>
                <w:szCs w:val="24"/>
              </w:rPr>
              <w:t>C</w:t>
            </w:r>
            <w:r w:rsidR="002B7C3C" w:rsidRPr="00141081">
              <w:rPr>
                <w:sz w:val="24"/>
                <w:szCs w:val="24"/>
              </w:rPr>
              <w:t>L</w:t>
            </w:r>
            <w:r>
              <w:rPr>
                <w:sz w:val="24"/>
                <w:szCs w:val="24"/>
              </w:rPr>
              <w:t>&amp;P</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006D7" w14:textId="77777777" w:rsidR="002B7C3C" w:rsidRPr="00141081" w:rsidRDefault="002B7C3C" w:rsidP="004D58B3">
            <w:pPr>
              <w:tabs>
                <w:tab w:val="left" w:pos="1890"/>
                <w:tab w:val="left" w:pos="4320"/>
                <w:tab w:val="left" w:pos="6480"/>
              </w:tabs>
              <w:jc w:val="center"/>
              <w:rPr>
                <w:sz w:val="24"/>
                <w:szCs w:val="24"/>
              </w:rPr>
            </w:pPr>
            <w:r w:rsidRPr="00141081">
              <w:rPr>
                <w:sz w:val="24"/>
                <w:szCs w:val="24"/>
              </w:rPr>
              <w:t>1.7%</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22B9" w14:textId="589BE3AA" w:rsidR="002B7C3C" w:rsidRPr="00141081" w:rsidRDefault="002B7C3C" w:rsidP="007B572A">
            <w:pPr>
              <w:tabs>
                <w:tab w:val="left" w:pos="1890"/>
                <w:tab w:val="left" w:pos="4320"/>
                <w:tab w:val="left" w:pos="6480"/>
              </w:tabs>
              <w:jc w:val="both"/>
              <w:rPr>
                <w:sz w:val="24"/>
                <w:szCs w:val="24"/>
              </w:rPr>
            </w:pPr>
            <w:r w:rsidRPr="00141081">
              <w:rPr>
                <w:sz w:val="24"/>
                <w:szCs w:val="24"/>
              </w:rPr>
              <w:t>While some households saved more than others, on average the treatment group achieved electricity savings of 1.7% over the control group households</w:t>
            </w:r>
            <w:r w:rsidR="00AD4851">
              <w:rPr>
                <w:sz w:val="24"/>
                <w:szCs w:val="24"/>
              </w:rPr>
              <w:t xml:space="preserve"> (page IV)</w:t>
            </w:r>
            <w:r w:rsidRPr="00141081">
              <w:rPr>
                <w:sz w:val="24"/>
                <w:szCs w:val="24"/>
              </w:rPr>
              <w:t xml:space="preserve">. </w:t>
            </w:r>
          </w:p>
        </w:tc>
        <w:tc>
          <w:tcPr>
            <w:tcW w:w="1484" w:type="dxa"/>
            <w:tcBorders>
              <w:top w:val="nil"/>
              <w:left w:val="nil"/>
              <w:bottom w:val="single" w:sz="8" w:space="0" w:color="auto"/>
              <w:right w:val="single" w:sz="8" w:space="0" w:color="auto"/>
            </w:tcBorders>
            <w:vAlign w:val="center"/>
          </w:tcPr>
          <w:p w14:paraId="3E57EB06" w14:textId="1C7E401D" w:rsidR="002B7C3C" w:rsidRPr="00141081" w:rsidRDefault="002B7C3C" w:rsidP="004D58B3">
            <w:pPr>
              <w:tabs>
                <w:tab w:val="left" w:pos="1890"/>
                <w:tab w:val="left" w:pos="4320"/>
                <w:tab w:val="left" w:pos="6480"/>
              </w:tabs>
              <w:jc w:val="center"/>
              <w:rPr>
                <w:sz w:val="24"/>
                <w:szCs w:val="24"/>
              </w:rPr>
            </w:pPr>
            <w:r>
              <w:rPr>
                <w:sz w:val="24"/>
                <w:szCs w:val="24"/>
              </w:rPr>
              <w:t>Attachment C</w:t>
            </w:r>
          </w:p>
        </w:tc>
      </w:tr>
      <w:tr w:rsidR="002B7C3C" w:rsidRPr="00141081" w14:paraId="6F0EAA52" w14:textId="77777777" w:rsidTr="004D58B3">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65C40" w14:textId="77777777" w:rsidR="002B7C3C" w:rsidRPr="00141081" w:rsidRDefault="002B7C3C" w:rsidP="004D58B3">
            <w:pPr>
              <w:tabs>
                <w:tab w:val="left" w:pos="1890"/>
                <w:tab w:val="left" w:pos="4320"/>
                <w:tab w:val="left" w:pos="6480"/>
              </w:tabs>
              <w:rPr>
                <w:sz w:val="24"/>
                <w:szCs w:val="24"/>
              </w:rPr>
            </w:pPr>
            <w:r w:rsidRPr="00141081">
              <w:rPr>
                <w:sz w:val="24"/>
                <w:szCs w:val="24"/>
              </w:rPr>
              <w:t>Environmental Change Institute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DC75C" w14:textId="77777777" w:rsidR="002B7C3C" w:rsidRPr="00141081" w:rsidRDefault="002B7C3C" w:rsidP="004D58B3">
            <w:pPr>
              <w:tabs>
                <w:tab w:val="left" w:pos="1890"/>
                <w:tab w:val="left" w:pos="4320"/>
                <w:tab w:val="left" w:pos="6480"/>
              </w:tabs>
              <w:jc w:val="center"/>
              <w:rPr>
                <w:sz w:val="24"/>
                <w:szCs w:val="24"/>
              </w:rPr>
            </w:pPr>
            <w:r w:rsidRPr="00141081">
              <w:rPr>
                <w:sz w:val="24"/>
                <w:szCs w:val="24"/>
              </w:rPr>
              <w:t>8.5%</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5F287" w14:textId="6F79D8AE" w:rsidR="002B7C3C" w:rsidRPr="00141081" w:rsidRDefault="002B7C3C" w:rsidP="007B572A">
            <w:pPr>
              <w:tabs>
                <w:tab w:val="left" w:pos="1890"/>
                <w:tab w:val="left" w:pos="4320"/>
                <w:tab w:val="left" w:pos="6480"/>
              </w:tabs>
              <w:jc w:val="both"/>
              <w:rPr>
                <w:sz w:val="24"/>
                <w:szCs w:val="24"/>
              </w:rPr>
            </w:pPr>
            <w:r w:rsidRPr="00141081">
              <w:rPr>
                <w:sz w:val="24"/>
                <w:szCs w:val="24"/>
              </w:rPr>
              <w:t>Benders et. al. (2005) report 8.5% savings from the use of an interactive web page by 137 Dutch households</w:t>
            </w:r>
            <w:r w:rsidR="00AD4851">
              <w:rPr>
                <w:sz w:val="24"/>
                <w:szCs w:val="24"/>
              </w:rPr>
              <w:t xml:space="preserve"> (page 11)</w:t>
            </w:r>
            <w:r w:rsidR="004D58B3">
              <w:rPr>
                <w:sz w:val="24"/>
                <w:szCs w:val="24"/>
              </w:rPr>
              <w:t>.</w:t>
            </w:r>
          </w:p>
        </w:tc>
        <w:tc>
          <w:tcPr>
            <w:tcW w:w="1484" w:type="dxa"/>
            <w:tcBorders>
              <w:top w:val="nil"/>
              <w:left w:val="nil"/>
              <w:bottom w:val="single" w:sz="8" w:space="0" w:color="auto"/>
              <w:right w:val="single" w:sz="8" w:space="0" w:color="auto"/>
            </w:tcBorders>
            <w:vAlign w:val="center"/>
          </w:tcPr>
          <w:p w14:paraId="2E362AA4" w14:textId="326E694F" w:rsidR="002B7C3C" w:rsidRPr="00141081" w:rsidRDefault="002B7C3C" w:rsidP="004D58B3">
            <w:pPr>
              <w:tabs>
                <w:tab w:val="left" w:pos="1890"/>
                <w:tab w:val="left" w:pos="4320"/>
                <w:tab w:val="left" w:pos="6480"/>
              </w:tabs>
              <w:jc w:val="center"/>
              <w:rPr>
                <w:sz w:val="24"/>
                <w:szCs w:val="24"/>
              </w:rPr>
            </w:pPr>
            <w:r>
              <w:rPr>
                <w:sz w:val="24"/>
                <w:szCs w:val="24"/>
              </w:rPr>
              <w:t>Attachment D</w:t>
            </w:r>
          </w:p>
        </w:tc>
      </w:tr>
      <w:tr w:rsidR="002B7C3C" w:rsidRPr="00141081" w14:paraId="27EFC9D5" w14:textId="77777777" w:rsidTr="00490466">
        <w:tc>
          <w:tcPr>
            <w:tcW w:w="1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0A8F657" w14:textId="77777777" w:rsidR="002B7C3C" w:rsidRPr="00141081" w:rsidRDefault="002B7C3C" w:rsidP="004D58B3">
            <w:pPr>
              <w:tabs>
                <w:tab w:val="left" w:pos="1890"/>
                <w:tab w:val="left" w:pos="4320"/>
                <w:tab w:val="left" w:pos="6480"/>
              </w:tabs>
              <w:rPr>
                <w:sz w:val="24"/>
                <w:szCs w:val="24"/>
              </w:rPr>
            </w:pPr>
            <w:r w:rsidRPr="00141081">
              <w:rPr>
                <w:sz w:val="24"/>
                <w:szCs w:val="24"/>
              </w:rPr>
              <w:t>ACEEE</w:t>
            </w:r>
          </w:p>
        </w:tc>
        <w:tc>
          <w:tcPr>
            <w:tcW w:w="14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FF2679" w14:textId="176BD5CA" w:rsidR="002B7C3C" w:rsidRPr="00141081" w:rsidRDefault="00490466" w:rsidP="004D58B3">
            <w:pPr>
              <w:tabs>
                <w:tab w:val="left" w:pos="1890"/>
                <w:tab w:val="left" w:pos="4320"/>
                <w:tab w:val="left" w:pos="6480"/>
              </w:tabs>
              <w:jc w:val="center"/>
              <w:rPr>
                <w:sz w:val="24"/>
                <w:szCs w:val="24"/>
              </w:rPr>
            </w:pPr>
            <w:r>
              <w:rPr>
                <w:sz w:val="24"/>
                <w:szCs w:val="24"/>
              </w:rPr>
              <w:t>4.2</w:t>
            </w:r>
            <w:r w:rsidR="002B7C3C" w:rsidRPr="00141081">
              <w:rPr>
                <w:sz w:val="24"/>
                <w:szCs w:val="24"/>
              </w:rPr>
              <w:t>-12%</w:t>
            </w:r>
          </w:p>
        </w:tc>
        <w:tc>
          <w:tcPr>
            <w:tcW w:w="55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73B2A5" w14:textId="702A041B" w:rsidR="002B7C3C" w:rsidRPr="00141081" w:rsidRDefault="002B7C3C" w:rsidP="007B572A">
            <w:pPr>
              <w:tabs>
                <w:tab w:val="left" w:pos="1890"/>
                <w:tab w:val="left" w:pos="4320"/>
                <w:tab w:val="left" w:pos="6480"/>
              </w:tabs>
              <w:jc w:val="both"/>
              <w:rPr>
                <w:sz w:val="24"/>
                <w:szCs w:val="24"/>
              </w:rPr>
            </w:pPr>
            <w:r w:rsidRPr="00141081">
              <w:rPr>
                <w:sz w:val="24"/>
                <w:szCs w:val="24"/>
              </w:rPr>
              <w:t>A variety of new feedback initiatives – including real-time Web-based or in-home feedback devices and enhanced billing approaches – are making energy resources visible to residential customers throughout the United States (and many other developed countries).  These initiatives are opening the door to potential energy savings that, on average, have reduced individual household electricity consumption 4% to 12% across our multi-continent sample</w:t>
            </w:r>
            <w:r w:rsidR="00C030AD">
              <w:rPr>
                <w:sz w:val="24"/>
                <w:szCs w:val="24"/>
              </w:rPr>
              <w:t xml:space="preserve"> (page iii</w:t>
            </w:r>
            <w:r w:rsidR="00AD4851">
              <w:rPr>
                <w:sz w:val="24"/>
                <w:szCs w:val="24"/>
              </w:rPr>
              <w:t>)</w:t>
            </w:r>
            <w:r w:rsidRPr="00141081">
              <w:rPr>
                <w:sz w:val="24"/>
                <w:szCs w:val="24"/>
              </w:rPr>
              <w:t>.</w:t>
            </w:r>
          </w:p>
        </w:tc>
        <w:tc>
          <w:tcPr>
            <w:tcW w:w="1484" w:type="dxa"/>
            <w:tcBorders>
              <w:top w:val="nil"/>
              <w:left w:val="nil"/>
              <w:bottom w:val="single" w:sz="4" w:space="0" w:color="auto"/>
              <w:right w:val="single" w:sz="8" w:space="0" w:color="auto"/>
            </w:tcBorders>
            <w:vAlign w:val="center"/>
          </w:tcPr>
          <w:p w14:paraId="789930BD" w14:textId="50CACE32" w:rsidR="002B7C3C" w:rsidRPr="00141081" w:rsidRDefault="002B7C3C" w:rsidP="004D58B3">
            <w:pPr>
              <w:tabs>
                <w:tab w:val="left" w:pos="1890"/>
                <w:tab w:val="left" w:pos="4320"/>
                <w:tab w:val="left" w:pos="6480"/>
              </w:tabs>
              <w:jc w:val="center"/>
              <w:rPr>
                <w:sz w:val="24"/>
                <w:szCs w:val="24"/>
              </w:rPr>
            </w:pPr>
            <w:r>
              <w:rPr>
                <w:sz w:val="24"/>
                <w:szCs w:val="24"/>
              </w:rPr>
              <w:t>Attachment E</w:t>
            </w:r>
          </w:p>
        </w:tc>
      </w:tr>
      <w:tr w:rsidR="002B7C3C" w:rsidRPr="00141081" w14:paraId="45CCD5C6" w14:textId="77777777" w:rsidTr="00490466">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EBDEE" w14:textId="77777777" w:rsidR="002B7C3C" w:rsidRPr="00141081" w:rsidRDefault="002B7C3C" w:rsidP="004D58B3">
            <w:pPr>
              <w:tabs>
                <w:tab w:val="left" w:pos="1890"/>
                <w:tab w:val="left" w:pos="4320"/>
                <w:tab w:val="left" w:pos="6480"/>
              </w:tabs>
              <w:rPr>
                <w:sz w:val="24"/>
                <w:szCs w:val="24"/>
              </w:rPr>
            </w:pPr>
            <w:r w:rsidRPr="00141081">
              <w:rPr>
                <w:sz w:val="24"/>
                <w:szCs w:val="24"/>
              </w:rPr>
              <w:t>ASHRAE</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92D39" w14:textId="45DB5AB7" w:rsidR="002B7C3C" w:rsidRPr="00141081" w:rsidRDefault="00490466" w:rsidP="004D58B3">
            <w:pPr>
              <w:tabs>
                <w:tab w:val="left" w:pos="1890"/>
                <w:tab w:val="left" w:pos="4320"/>
                <w:tab w:val="left" w:pos="6480"/>
              </w:tabs>
              <w:jc w:val="center"/>
              <w:rPr>
                <w:sz w:val="24"/>
                <w:szCs w:val="24"/>
              </w:rPr>
            </w:pPr>
            <w:r>
              <w:rPr>
                <w:sz w:val="24"/>
                <w:szCs w:val="24"/>
              </w:rPr>
              <w:t>5</w:t>
            </w:r>
            <w:r w:rsidR="002B7C3C" w:rsidRPr="00141081">
              <w:rPr>
                <w:sz w:val="24"/>
                <w:szCs w:val="24"/>
              </w:rPr>
              <w:t>-15%</w:t>
            </w:r>
          </w:p>
        </w:tc>
        <w:tc>
          <w:tcPr>
            <w:tcW w:w="5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8D4C7" w14:textId="5423693B" w:rsidR="002B7C3C" w:rsidRPr="00141081" w:rsidRDefault="002B7C3C" w:rsidP="00E812AB">
            <w:pPr>
              <w:tabs>
                <w:tab w:val="left" w:pos="1890"/>
                <w:tab w:val="left" w:pos="4320"/>
                <w:tab w:val="left" w:pos="6480"/>
              </w:tabs>
              <w:jc w:val="both"/>
              <w:rPr>
                <w:sz w:val="24"/>
                <w:szCs w:val="24"/>
              </w:rPr>
            </w:pPr>
            <w:r w:rsidRPr="00141081">
              <w:rPr>
                <w:sz w:val="24"/>
                <w:szCs w:val="24"/>
              </w:rPr>
              <w:t>Several studies have shown that providing feedback to home occupants on their energy consumption can enable the occupants to reduce household electricity consumption by 5% to 15%</w:t>
            </w:r>
            <w:r w:rsidR="00767D78">
              <w:rPr>
                <w:sz w:val="24"/>
                <w:szCs w:val="24"/>
              </w:rPr>
              <w:t xml:space="preserve"> (page 88</w:t>
            </w:r>
            <w:r w:rsidR="00EE43DC">
              <w:rPr>
                <w:sz w:val="24"/>
                <w:szCs w:val="24"/>
              </w:rPr>
              <w:t>)</w:t>
            </w:r>
            <w:r w:rsidRPr="00141081">
              <w:rPr>
                <w:sz w:val="24"/>
                <w:szCs w:val="24"/>
              </w:rPr>
              <w:t>.</w:t>
            </w:r>
          </w:p>
        </w:tc>
        <w:tc>
          <w:tcPr>
            <w:tcW w:w="1484" w:type="dxa"/>
            <w:tcBorders>
              <w:top w:val="single" w:sz="4" w:space="0" w:color="auto"/>
              <w:left w:val="single" w:sz="4" w:space="0" w:color="auto"/>
              <w:bottom w:val="single" w:sz="4" w:space="0" w:color="auto"/>
              <w:right w:val="single" w:sz="4" w:space="0" w:color="auto"/>
            </w:tcBorders>
            <w:vAlign w:val="center"/>
          </w:tcPr>
          <w:p w14:paraId="1D078D85" w14:textId="0F552D7B" w:rsidR="002B7C3C" w:rsidRPr="00141081" w:rsidRDefault="002B7C3C" w:rsidP="004D58B3">
            <w:pPr>
              <w:tabs>
                <w:tab w:val="left" w:pos="1890"/>
                <w:tab w:val="left" w:pos="4320"/>
                <w:tab w:val="left" w:pos="6480"/>
              </w:tabs>
              <w:jc w:val="center"/>
              <w:rPr>
                <w:sz w:val="24"/>
                <w:szCs w:val="24"/>
              </w:rPr>
            </w:pPr>
            <w:r>
              <w:rPr>
                <w:sz w:val="24"/>
                <w:szCs w:val="24"/>
              </w:rPr>
              <w:t>Attachment F</w:t>
            </w:r>
          </w:p>
        </w:tc>
      </w:tr>
      <w:tr w:rsidR="002B7C3C" w:rsidRPr="00141081" w14:paraId="3AE61435" w14:textId="77777777" w:rsidTr="00490466">
        <w:trPr>
          <w:trHeight w:val="980"/>
        </w:trPr>
        <w:tc>
          <w:tcPr>
            <w:tcW w:w="1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1D815" w14:textId="77777777" w:rsidR="002B7C3C" w:rsidRPr="00141081" w:rsidRDefault="002B7C3C" w:rsidP="004D58B3">
            <w:pPr>
              <w:tabs>
                <w:tab w:val="left" w:pos="1890"/>
                <w:tab w:val="left" w:pos="4320"/>
                <w:tab w:val="left" w:pos="6480"/>
              </w:tabs>
              <w:rPr>
                <w:sz w:val="24"/>
                <w:szCs w:val="24"/>
              </w:rPr>
            </w:pPr>
            <w:r w:rsidRPr="00141081">
              <w:rPr>
                <w:sz w:val="24"/>
                <w:szCs w:val="24"/>
              </w:rPr>
              <w:t>Florida Solar Energy Center</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93B7E96" w14:textId="627142FA" w:rsidR="002B7C3C" w:rsidRPr="00141081" w:rsidRDefault="00490466" w:rsidP="004D58B3">
            <w:pPr>
              <w:tabs>
                <w:tab w:val="left" w:pos="1890"/>
                <w:tab w:val="left" w:pos="4320"/>
                <w:tab w:val="left" w:pos="6480"/>
              </w:tabs>
              <w:jc w:val="center"/>
              <w:rPr>
                <w:sz w:val="24"/>
                <w:szCs w:val="24"/>
              </w:rPr>
            </w:pPr>
            <w:r>
              <w:rPr>
                <w:sz w:val="24"/>
                <w:szCs w:val="24"/>
              </w:rPr>
              <w:t>5</w:t>
            </w:r>
            <w:r w:rsidR="002B7C3C" w:rsidRPr="00141081">
              <w:rPr>
                <w:sz w:val="24"/>
                <w:szCs w:val="24"/>
              </w:rPr>
              <w:t>-15%</w:t>
            </w:r>
          </w:p>
        </w:tc>
        <w:tc>
          <w:tcPr>
            <w:tcW w:w="55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741BFB" w14:textId="361A64DF" w:rsidR="002B7C3C" w:rsidRPr="00141081" w:rsidRDefault="002B7C3C" w:rsidP="007B572A">
            <w:pPr>
              <w:tabs>
                <w:tab w:val="left" w:pos="1890"/>
                <w:tab w:val="left" w:pos="4320"/>
                <w:tab w:val="left" w:pos="6480"/>
              </w:tabs>
              <w:jc w:val="both"/>
              <w:rPr>
                <w:sz w:val="24"/>
                <w:szCs w:val="24"/>
              </w:rPr>
            </w:pPr>
            <w:r w:rsidRPr="00141081">
              <w:rPr>
                <w:sz w:val="24"/>
                <w:szCs w:val="24"/>
              </w:rPr>
              <w:t>Providing instantaneous feedback on household electrical demand has shown the promise to reduce energy consumption by 5%-15%</w:t>
            </w:r>
            <w:r w:rsidR="00EE43DC">
              <w:rPr>
                <w:sz w:val="24"/>
                <w:szCs w:val="24"/>
              </w:rPr>
              <w:t xml:space="preserve"> (page 1)</w:t>
            </w:r>
            <w:r w:rsidR="004D58B3">
              <w:rPr>
                <w:sz w:val="24"/>
                <w:szCs w:val="24"/>
              </w:rPr>
              <w:t>.</w:t>
            </w:r>
          </w:p>
        </w:tc>
        <w:tc>
          <w:tcPr>
            <w:tcW w:w="1484" w:type="dxa"/>
            <w:tcBorders>
              <w:top w:val="single" w:sz="4" w:space="0" w:color="auto"/>
              <w:left w:val="nil"/>
              <w:bottom w:val="single" w:sz="8" w:space="0" w:color="auto"/>
              <w:right w:val="single" w:sz="8" w:space="0" w:color="auto"/>
            </w:tcBorders>
            <w:vAlign w:val="center"/>
          </w:tcPr>
          <w:p w14:paraId="13623DB5" w14:textId="51BE8EF1" w:rsidR="002B7C3C" w:rsidRPr="00141081" w:rsidRDefault="002B7C3C" w:rsidP="004D58B3">
            <w:pPr>
              <w:tabs>
                <w:tab w:val="left" w:pos="1890"/>
                <w:tab w:val="left" w:pos="4320"/>
                <w:tab w:val="left" w:pos="6480"/>
              </w:tabs>
              <w:jc w:val="center"/>
              <w:rPr>
                <w:sz w:val="24"/>
                <w:szCs w:val="24"/>
              </w:rPr>
            </w:pPr>
            <w:r>
              <w:rPr>
                <w:sz w:val="24"/>
                <w:szCs w:val="24"/>
              </w:rPr>
              <w:t>Attachment G</w:t>
            </w:r>
          </w:p>
        </w:tc>
      </w:tr>
    </w:tbl>
    <w:p w14:paraId="0D95DCF9" w14:textId="77777777" w:rsidR="00110C51" w:rsidRPr="00EA2661" w:rsidRDefault="00110C51" w:rsidP="00555801">
      <w:pPr>
        <w:autoSpaceDE/>
        <w:autoSpaceDN/>
        <w:jc w:val="both"/>
        <w:rPr>
          <w:sz w:val="32"/>
          <w:szCs w:val="24"/>
        </w:rPr>
      </w:pPr>
    </w:p>
    <w:sectPr w:rsidR="00110C51" w:rsidRPr="00EA2661" w:rsidSect="00DD59A0">
      <w:headerReference w:type="default" r:id="rId10"/>
      <w:footerReference w:type="default" r:id="rId11"/>
      <w:footerReference w:type="first" r:id="rId12"/>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32528" w14:textId="77777777" w:rsidR="006D3174" w:rsidRDefault="006D3174">
      <w:r>
        <w:separator/>
      </w:r>
    </w:p>
  </w:endnote>
  <w:endnote w:type="continuationSeparator" w:id="0">
    <w:p w14:paraId="015D9219" w14:textId="77777777" w:rsidR="006D3174" w:rsidRDefault="006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BB59"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DD59A0">
      <w:rPr>
        <w:rStyle w:val="PageNumber"/>
        <w:noProof/>
      </w:rPr>
      <w:t>2</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DD59A0">
      <w:rPr>
        <w:rStyle w:val="PageNumber"/>
        <w:noProof/>
      </w:rPr>
      <w:t>2</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EBC5"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5B7D5" w14:textId="77777777" w:rsidR="006D3174" w:rsidRDefault="006D3174">
      <w:r>
        <w:separator/>
      </w:r>
    </w:p>
  </w:footnote>
  <w:footnote w:type="continuationSeparator" w:id="0">
    <w:p w14:paraId="464DEF3C" w14:textId="77777777" w:rsidR="006D3174" w:rsidRDefault="006D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801FE"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3A945FE"/>
    <w:multiLevelType w:val="hybridMultilevel"/>
    <w:tmpl w:val="FA5430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5"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6"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9"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15:restartNumberingAfterBreak="0">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06805FE"/>
    <w:multiLevelType w:val="hybridMultilevel"/>
    <w:tmpl w:val="A7002AC4"/>
    <w:lvl w:ilvl="0" w:tplc="9152A244">
      <w:start w:val="38"/>
      <w:numFmt w:val="decimal"/>
      <w:lvlText w:val="PC/EP-%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9"/>
  </w:num>
  <w:num w:numId="2">
    <w:abstractNumId w:val="22"/>
  </w:num>
  <w:num w:numId="3">
    <w:abstractNumId w:val="14"/>
  </w:num>
  <w:num w:numId="4">
    <w:abstractNumId w:val="1"/>
  </w:num>
  <w:num w:numId="5">
    <w:abstractNumId w:val="31"/>
  </w:num>
  <w:num w:numId="6">
    <w:abstractNumId w:val="27"/>
  </w:num>
  <w:num w:numId="7">
    <w:abstractNumId w:val="9"/>
  </w:num>
  <w:num w:numId="8">
    <w:abstractNumId w:val="30"/>
  </w:num>
  <w:num w:numId="9">
    <w:abstractNumId w:val="4"/>
  </w:num>
  <w:num w:numId="10">
    <w:abstractNumId w:val="21"/>
  </w:num>
  <w:num w:numId="11">
    <w:abstractNumId w:val="3"/>
  </w:num>
  <w:num w:numId="12">
    <w:abstractNumId w:val="10"/>
  </w:num>
  <w:num w:numId="13">
    <w:abstractNumId w:val="32"/>
  </w:num>
  <w:num w:numId="14">
    <w:abstractNumId w:val="5"/>
  </w:num>
  <w:num w:numId="15">
    <w:abstractNumId w:val="6"/>
  </w:num>
  <w:num w:numId="16">
    <w:abstractNumId w:val="7"/>
  </w:num>
  <w:num w:numId="17">
    <w:abstractNumId w:val="18"/>
  </w:num>
  <w:num w:numId="18">
    <w:abstractNumId w:val="26"/>
  </w:num>
  <w:num w:numId="19">
    <w:abstractNumId w:val="12"/>
  </w:num>
  <w:num w:numId="20">
    <w:abstractNumId w:val="15"/>
  </w:num>
  <w:num w:numId="21">
    <w:abstractNumId w:val="2"/>
  </w:num>
  <w:num w:numId="22">
    <w:abstractNumId w:val="23"/>
  </w:num>
  <w:num w:numId="23">
    <w:abstractNumId w:val="17"/>
  </w:num>
  <w:num w:numId="24">
    <w:abstractNumId w:val="13"/>
  </w:num>
  <w:num w:numId="25">
    <w:abstractNumId w:val="29"/>
  </w:num>
  <w:num w:numId="26">
    <w:abstractNumId w:val="25"/>
  </w:num>
  <w:num w:numId="27">
    <w:abstractNumId w:val="11"/>
  </w:num>
  <w:num w:numId="28">
    <w:abstractNumId w:val="16"/>
  </w:num>
  <w:num w:numId="29">
    <w:abstractNumId w:val="20"/>
  </w:num>
  <w:num w:numId="30">
    <w:abstractNumId w:val="0"/>
  </w:num>
  <w:num w:numId="31">
    <w:abstractNumId w:val="24"/>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E5BEB"/>
    <w:rsid w:val="000E629D"/>
    <w:rsid w:val="000E745C"/>
    <w:rsid w:val="001004DE"/>
    <w:rsid w:val="00103567"/>
    <w:rsid w:val="00110C51"/>
    <w:rsid w:val="0011273E"/>
    <w:rsid w:val="0012408C"/>
    <w:rsid w:val="00125940"/>
    <w:rsid w:val="0014150E"/>
    <w:rsid w:val="00177390"/>
    <w:rsid w:val="0019350D"/>
    <w:rsid w:val="001B0BE4"/>
    <w:rsid w:val="001E06F3"/>
    <w:rsid w:val="001E07A6"/>
    <w:rsid w:val="001F2C4B"/>
    <w:rsid w:val="001F6472"/>
    <w:rsid w:val="00200E39"/>
    <w:rsid w:val="002146D9"/>
    <w:rsid w:val="00217B92"/>
    <w:rsid w:val="00236EDE"/>
    <w:rsid w:val="002677D5"/>
    <w:rsid w:val="0027069C"/>
    <w:rsid w:val="002B16E6"/>
    <w:rsid w:val="002B7C3C"/>
    <w:rsid w:val="002D5A49"/>
    <w:rsid w:val="002E674E"/>
    <w:rsid w:val="0031008C"/>
    <w:rsid w:val="003114E8"/>
    <w:rsid w:val="00330308"/>
    <w:rsid w:val="003348C4"/>
    <w:rsid w:val="003356C6"/>
    <w:rsid w:val="00375C8C"/>
    <w:rsid w:val="00383DD3"/>
    <w:rsid w:val="00390A4F"/>
    <w:rsid w:val="003B4E20"/>
    <w:rsid w:val="003C0AED"/>
    <w:rsid w:val="003C1D9A"/>
    <w:rsid w:val="003C319E"/>
    <w:rsid w:val="003E2A56"/>
    <w:rsid w:val="003E487F"/>
    <w:rsid w:val="003E50F1"/>
    <w:rsid w:val="003F65BC"/>
    <w:rsid w:val="0040408A"/>
    <w:rsid w:val="00417AA4"/>
    <w:rsid w:val="00422CC4"/>
    <w:rsid w:val="00446369"/>
    <w:rsid w:val="00477311"/>
    <w:rsid w:val="00490466"/>
    <w:rsid w:val="004A70BA"/>
    <w:rsid w:val="004A7704"/>
    <w:rsid w:val="004B30E7"/>
    <w:rsid w:val="004B7780"/>
    <w:rsid w:val="004D58B3"/>
    <w:rsid w:val="004F03CE"/>
    <w:rsid w:val="004F7DA8"/>
    <w:rsid w:val="00500F1F"/>
    <w:rsid w:val="005048A8"/>
    <w:rsid w:val="005050C4"/>
    <w:rsid w:val="00521A5C"/>
    <w:rsid w:val="005270BA"/>
    <w:rsid w:val="0055045F"/>
    <w:rsid w:val="00555801"/>
    <w:rsid w:val="005860D8"/>
    <w:rsid w:val="005906BD"/>
    <w:rsid w:val="00591481"/>
    <w:rsid w:val="005A2255"/>
    <w:rsid w:val="005A49F0"/>
    <w:rsid w:val="005C1EDF"/>
    <w:rsid w:val="005C2774"/>
    <w:rsid w:val="005D660A"/>
    <w:rsid w:val="005D72D7"/>
    <w:rsid w:val="006045D3"/>
    <w:rsid w:val="00633F9B"/>
    <w:rsid w:val="00663AE9"/>
    <w:rsid w:val="006A6CF9"/>
    <w:rsid w:val="006D3174"/>
    <w:rsid w:val="006E54A7"/>
    <w:rsid w:val="00720FD7"/>
    <w:rsid w:val="00741CF2"/>
    <w:rsid w:val="00743CF2"/>
    <w:rsid w:val="00753FE9"/>
    <w:rsid w:val="00754422"/>
    <w:rsid w:val="00767D78"/>
    <w:rsid w:val="00780131"/>
    <w:rsid w:val="007A30D4"/>
    <w:rsid w:val="007B5EE6"/>
    <w:rsid w:val="007C2F4D"/>
    <w:rsid w:val="007D5DBD"/>
    <w:rsid w:val="007E3A66"/>
    <w:rsid w:val="007F518A"/>
    <w:rsid w:val="008022DE"/>
    <w:rsid w:val="008074FC"/>
    <w:rsid w:val="00850594"/>
    <w:rsid w:val="008D1DFC"/>
    <w:rsid w:val="008E3932"/>
    <w:rsid w:val="008F5FC8"/>
    <w:rsid w:val="009052D2"/>
    <w:rsid w:val="009257B1"/>
    <w:rsid w:val="00941853"/>
    <w:rsid w:val="00944C19"/>
    <w:rsid w:val="00957712"/>
    <w:rsid w:val="00974C32"/>
    <w:rsid w:val="009E54C8"/>
    <w:rsid w:val="00A40E65"/>
    <w:rsid w:val="00A43B06"/>
    <w:rsid w:val="00A82D5A"/>
    <w:rsid w:val="00A96A19"/>
    <w:rsid w:val="00AA791F"/>
    <w:rsid w:val="00AB5D5A"/>
    <w:rsid w:val="00AD4851"/>
    <w:rsid w:val="00AF09F0"/>
    <w:rsid w:val="00B131FC"/>
    <w:rsid w:val="00B41482"/>
    <w:rsid w:val="00B71ED1"/>
    <w:rsid w:val="00B72352"/>
    <w:rsid w:val="00B76EAC"/>
    <w:rsid w:val="00BB73DC"/>
    <w:rsid w:val="00BD5789"/>
    <w:rsid w:val="00C030AD"/>
    <w:rsid w:val="00C040A5"/>
    <w:rsid w:val="00C15A22"/>
    <w:rsid w:val="00C549D6"/>
    <w:rsid w:val="00C61D46"/>
    <w:rsid w:val="00C73FA6"/>
    <w:rsid w:val="00C83E18"/>
    <w:rsid w:val="00CA15F9"/>
    <w:rsid w:val="00CD0B6D"/>
    <w:rsid w:val="00CD4D4E"/>
    <w:rsid w:val="00CE4078"/>
    <w:rsid w:val="00D13C3A"/>
    <w:rsid w:val="00D33550"/>
    <w:rsid w:val="00D376F6"/>
    <w:rsid w:val="00D40664"/>
    <w:rsid w:val="00D41724"/>
    <w:rsid w:val="00D43397"/>
    <w:rsid w:val="00D46C9F"/>
    <w:rsid w:val="00D75120"/>
    <w:rsid w:val="00D77A4E"/>
    <w:rsid w:val="00DA234F"/>
    <w:rsid w:val="00DB4781"/>
    <w:rsid w:val="00DD59A0"/>
    <w:rsid w:val="00DE5D38"/>
    <w:rsid w:val="00E168CA"/>
    <w:rsid w:val="00E404F2"/>
    <w:rsid w:val="00E43DB3"/>
    <w:rsid w:val="00E64D12"/>
    <w:rsid w:val="00E812AB"/>
    <w:rsid w:val="00E84C7F"/>
    <w:rsid w:val="00E87DFE"/>
    <w:rsid w:val="00E94E42"/>
    <w:rsid w:val="00EA2239"/>
    <w:rsid w:val="00EA2661"/>
    <w:rsid w:val="00EB59A3"/>
    <w:rsid w:val="00EC527F"/>
    <w:rsid w:val="00ED6C6D"/>
    <w:rsid w:val="00EE30BA"/>
    <w:rsid w:val="00EE43DC"/>
    <w:rsid w:val="00F06D34"/>
    <w:rsid w:val="00F268AE"/>
    <w:rsid w:val="00F45461"/>
    <w:rsid w:val="00F45FEF"/>
    <w:rsid w:val="00F514A7"/>
    <w:rsid w:val="00F516ED"/>
    <w:rsid w:val="00F731E6"/>
    <w:rsid w:val="00F808B0"/>
    <w:rsid w:val="00FA2E8E"/>
    <w:rsid w:val="00FA4AFD"/>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9665"/>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E63C85-69C0-41BE-B0ED-5DB1BDCC4996}"/>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5E9BD107-0B81-44C8-BE4B-66CF1B019F20}"/>
</file>

<file path=docProps/app.xml><?xml version="1.0" encoding="utf-8"?>
<Properties xmlns="http://schemas.openxmlformats.org/officeDocument/2006/extended-properties" xmlns:vt="http://schemas.openxmlformats.org/officeDocument/2006/docPropsVTypes">
  <Template>Normal.dotm</Template>
  <TotalTime>82</TotalTime>
  <Pages>2</Pages>
  <Words>666</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16</cp:revision>
  <cp:lastPrinted>2008-05-10T01:05:00Z</cp:lastPrinted>
  <dcterms:created xsi:type="dcterms:W3CDTF">2016-05-23T21:11:00Z</dcterms:created>
  <dcterms:modified xsi:type="dcterms:W3CDTF">2016-05-31T14:40:00Z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