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6B" w:rsidRDefault="00550A6B" w:rsidP="00747AEA">
      <w:pPr>
        <w:pStyle w:val="Question"/>
        <w:suppressLineNumbers/>
        <w:rPr>
          <w:szCs w:val="24"/>
        </w:rPr>
      </w:pPr>
    </w:p>
    <w:sdt>
      <w:sdtPr>
        <w:rPr>
          <w:rFonts w:ascii="Times New Roman" w:eastAsia="Times New Roman" w:hAnsi="Times New Roman" w:cs="Times New Roman"/>
          <w:b w:val="0"/>
          <w:bCs w:val="0"/>
          <w:color w:val="auto"/>
          <w:sz w:val="24"/>
          <w:szCs w:val="24"/>
        </w:rPr>
        <w:id w:val="425574297"/>
        <w:docPartObj>
          <w:docPartGallery w:val="Table of Contents"/>
          <w:docPartUnique/>
        </w:docPartObj>
      </w:sdtPr>
      <w:sdtEndPr>
        <w:rPr>
          <w:rFonts w:ascii="Arial" w:hAnsi="Arial"/>
          <w:szCs w:val="20"/>
        </w:rPr>
      </w:sdtEndPr>
      <w:sdtContent>
        <w:p w:rsidR="00747AEA" w:rsidRDefault="00C24AF2" w:rsidP="00A779E7">
          <w:pPr>
            <w:pStyle w:val="TOCHeading"/>
            <w:suppressLineNumbers/>
            <w:spacing w:before="0" w:line="480" w:lineRule="auto"/>
            <w:jc w:val="center"/>
            <w:rPr>
              <w:rFonts w:ascii="Times New Roman" w:hAnsi="Times New Roman" w:cs="Times New Roman"/>
              <w:color w:val="auto"/>
              <w:sz w:val="24"/>
              <w:szCs w:val="24"/>
            </w:rPr>
          </w:pPr>
          <w:r w:rsidRPr="00747AEA">
            <w:rPr>
              <w:rFonts w:ascii="Times New Roman" w:hAnsi="Times New Roman" w:cs="Times New Roman"/>
              <w:color w:val="auto"/>
              <w:sz w:val="24"/>
              <w:szCs w:val="24"/>
            </w:rPr>
            <w:t>TABLE OF CONTENTS</w:t>
          </w:r>
        </w:p>
        <w:p w:rsidR="004D5E56" w:rsidRPr="004D5E56" w:rsidRDefault="002F7474">
          <w:pPr>
            <w:pStyle w:val="TOC1"/>
            <w:rPr>
              <w:rFonts w:ascii="Times New Roman" w:eastAsiaTheme="minorEastAsia" w:hAnsi="Times New Roman"/>
              <w:noProof/>
              <w:sz w:val="22"/>
              <w:szCs w:val="22"/>
            </w:rPr>
          </w:pPr>
          <w:r w:rsidRPr="002F7474">
            <w:fldChar w:fldCharType="begin"/>
          </w:r>
          <w:r w:rsidR="00747AEA" w:rsidRPr="00747AEA">
            <w:instrText xml:space="preserve"> TOC \o "1-3" \h \z \u </w:instrText>
          </w:r>
          <w:r w:rsidRPr="002F7474">
            <w:fldChar w:fldCharType="separate"/>
          </w:r>
          <w:hyperlink w:anchor="_Toc362869154" w:history="1">
            <w:r w:rsidR="00E132E0" w:rsidRPr="004D5E56">
              <w:rPr>
                <w:rStyle w:val="Hyperlink"/>
                <w:rFonts w:ascii="Times New Roman" w:hAnsi="Times New Roman"/>
                <w:noProof/>
              </w:rPr>
              <w:t>PURPOSE AND SUMMARY</w:t>
            </w:r>
            <w:r w:rsidR="00E132E0" w:rsidRPr="004D5E56">
              <w:rPr>
                <w:rFonts w:ascii="Times New Roman" w:hAnsi="Times New Roman"/>
                <w:noProof/>
                <w:webHidden/>
              </w:rPr>
              <w:tab/>
            </w:r>
            <w:r w:rsidRPr="004D5E56">
              <w:rPr>
                <w:rFonts w:ascii="Times New Roman" w:hAnsi="Times New Roman"/>
                <w:noProof/>
                <w:webHidden/>
              </w:rPr>
              <w:fldChar w:fldCharType="begin"/>
            </w:r>
            <w:r w:rsidR="004D5E56" w:rsidRPr="004D5E56">
              <w:rPr>
                <w:rFonts w:ascii="Times New Roman" w:hAnsi="Times New Roman"/>
                <w:noProof/>
                <w:webHidden/>
              </w:rPr>
              <w:instrText xml:space="preserve"> PAGEREF _Toc362869154 \h </w:instrText>
            </w:r>
            <w:r w:rsidRPr="004D5E56">
              <w:rPr>
                <w:rFonts w:ascii="Times New Roman" w:hAnsi="Times New Roman"/>
                <w:noProof/>
                <w:webHidden/>
              </w:rPr>
            </w:r>
            <w:r w:rsidRPr="004D5E56">
              <w:rPr>
                <w:rFonts w:ascii="Times New Roman" w:hAnsi="Times New Roman"/>
                <w:noProof/>
                <w:webHidden/>
              </w:rPr>
              <w:fldChar w:fldCharType="separate"/>
            </w:r>
            <w:r w:rsidR="00386A39">
              <w:rPr>
                <w:rFonts w:ascii="Times New Roman" w:hAnsi="Times New Roman"/>
                <w:noProof/>
                <w:webHidden/>
              </w:rPr>
              <w:t>1</w:t>
            </w:r>
            <w:r w:rsidRPr="004D5E56">
              <w:rPr>
                <w:rFonts w:ascii="Times New Roman" w:hAnsi="Times New Roman"/>
                <w:noProof/>
                <w:webHidden/>
              </w:rPr>
              <w:fldChar w:fldCharType="end"/>
            </w:r>
          </w:hyperlink>
        </w:p>
        <w:p w:rsidR="004D5E56" w:rsidRPr="004D5E56" w:rsidRDefault="002F7474">
          <w:pPr>
            <w:pStyle w:val="TOC1"/>
            <w:rPr>
              <w:rFonts w:ascii="Times New Roman" w:eastAsiaTheme="minorEastAsia" w:hAnsi="Times New Roman"/>
              <w:noProof/>
              <w:sz w:val="22"/>
              <w:szCs w:val="22"/>
            </w:rPr>
          </w:pPr>
          <w:hyperlink w:anchor="_Toc362869155" w:history="1">
            <w:r w:rsidR="00E132E0" w:rsidRPr="004D5E56">
              <w:rPr>
                <w:rStyle w:val="Hyperlink"/>
                <w:rFonts w:ascii="Times New Roman" w:hAnsi="Times New Roman"/>
                <w:noProof/>
              </w:rPr>
              <w:t>REVIEW OF OTHER PARTIES’ RECOMMENDATIONS</w:t>
            </w:r>
            <w:r w:rsidR="00E132E0" w:rsidRPr="004D5E56">
              <w:rPr>
                <w:rFonts w:ascii="Times New Roman" w:hAnsi="Times New Roman"/>
                <w:noProof/>
                <w:webHidden/>
              </w:rPr>
              <w:tab/>
            </w:r>
            <w:r w:rsidRPr="004D5E56">
              <w:rPr>
                <w:rFonts w:ascii="Times New Roman" w:hAnsi="Times New Roman"/>
                <w:noProof/>
                <w:webHidden/>
              </w:rPr>
              <w:fldChar w:fldCharType="begin"/>
            </w:r>
            <w:r w:rsidR="004D5E56" w:rsidRPr="004D5E56">
              <w:rPr>
                <w:rFonts w:ascii="Times New Roman" w:hAnsi="Times New Roman"/>
                <w:noProof/>
                <w:webHidden/>
              </w:rPr>
              <w:instrText xml:space="preserve"> PAGEREF _Toc362869155 \h </w:instrText>
            </w:r>
            <w:r w:rsidRPr="004D5E56">
              <w:rPr>
                <w:rFonts w:ascii="Times New Roman" w:hAnsi="Times New Roman"/>
                <w:noProof/>
                <w:webHidden/>
              </w:rPr>
            </w:r>
            <w:r w:rsidRPr="004D5E56">
              <w:rPr>
                <w:rFonts w:ascii="Times New Roman" w:hAnsi="Times New Roman"/>
                <w:noProof/>
                <w:webHidden/>
              </w:rPr>
              <w:fldChar w:fldCharType="separate"/>
            </w:r>
            <w:r w:rsidR="00386A39">
              <w:rPr>
                <w:rFonts w:ascii="Times New Roman" w:hAnsi="Times New Roman"/>
                <w:noProof/>
                <w:webHidden/>
              </w:rPr>
              <w:t>2</w:t>
            </w:r>
            <w:r w:rsidRPr="004D5E56">
              <w:rPr>
                <w:rFonts w:ascii="Times New Roman" w:hAnsi="Times New Roman"/>
                <w:noProof/>
                <w:webHidden/>
              </w:rPr>
              <w:fldChar w:fldCharType="end"/>
            </w:r>
          </w:hyperlink>
        </w:p>
        <w:p w:rsidR="004D5E56" w:rsidRPr="004D5E56" w:rsidRDefault="002F7474">
          <w:pPr>
            <w:pStyle w:val="TOC1"/>
            <w:rPr>
              <w:rFonts w:ascii="Times New Roman" w:eastAsiaTheme="minorEastAsia" w:hAnsi="Times New Roman"/>
              <w:noProof/>
              <w:sz w:val="22"/>
              <w:szCs w:val="22"/>
            </w:rPr>
          </w:pPr>
          <w:hyperlink w:anchor="_Toc362869156" w:history="1">
            <w:r w:rsidR="00E132E0" w:rsidRPr="004D5E56">
              <w:rPr>
                <w:rStyle w:val="Hyperlink"/>
                <w:rFonts w:ascii="Times New Roman" w:hAnsi="Times New Roman"/>
                <w:noProof/>
              </w:rPr>
              <w:t>ECONOMIC AND MARKET CONDITIONS</w:t>
            </w:r>
            <w:r w:rsidR="00E132E0" w:rsidRPr="004D5E56">
              <w:rPr>
                <w:rFonts w:ascii="Times New Roman" w:hAnsi="Times New Roman"/>
                <w:noProof/>
                <w:webHidden/>
              </w:rPr>
              <w:tab/>
            </w:r>
            <w:r w:rsidRPr="004D5E56">
              <w:rPr>
                <w:rFonts w:ascii="Times New Roman" w:hAnsi="Times New Roman"/>
                <w:noProof/>
                <w:webHidden/>
              </w:rPr>
              <w:fldChar w:fldCharType="begin"/>
            </w:r>
            <w:r w:rsidR="004D5E56" w:rsidRPr="004D5E56">
              <w:rPr>
                <w:rFonts w:ascii="Times New Roman" w:hAnsi="Times New Roman"/>
                <w:noProof/>
                <w:webHidden/>
              </w:rPr>
              <w:instrText xml:space="preserve"> PAGEREF _Toc362869156 \h </w:instrText>
            </w:r>
            <w:r w:rsidRPr="004D5E56">
              <w:rPr>
                <w:rFonts w:ascii="Times New Roman" w:hAnsi="Times New Roman"/>
                <w:noProof/>
                <w:webHidden/>
              </w:rPr>
            </w:r>
            <w:r w:rsidRPr="004D5E56">
              <w:rPr>
                <w:rFonts w:ascii="Times New Roman" w:hAnsi="Times New Roman"/>
                <w:noProof/>
                <w:webHidden/>
              </w:rPr>
              <w:fldChar w:fldCharType="separate"/>
            </w:r>
            <w:r w:rsidR="00386A39">
              <w:rPr>
                <w:rFonts w:ascii="Times New Roman" w:hAnsi="Times New Roman"/>
                <w:noProof/>
                <w:webHidden/>
              </w:rPr>
              <w:t>3</w:t>
            </w:r>
            <w:r w:rsidRPr="004D5E56">
              <w:rPr>
                <w:rFonts w:ascii="Times New Roman" w:hAnsi="Times New Roman"/>
                <w:noProof/>
                <w:webHidden/>
              </w:rPr>
              <w:fldChar w:fldCharType="end"/>
            </w:r>
          </w:hyperlink>
        </w:p>
        <w:p w:rsidR="004D5E56" w:rsidRPr="004D5E56" w:rsidRDefault="002F7474">
          <w:pPr>
            <w:pStyle w:val="TOC1"/>
            <w:rPr>
              <w:rFonts w:ascii="Times New Roman" w:eastAsiaTheme="minorEastAsia" w:hAnsi="Times New Roman"/>
              <w:noProof/>
              <w:sz w:val="22"/>
              <w:szCs w:val="22"/>
            </w:rPr>
          </w:pPr>
          <w:hyperlink w:anchor="_Toc362869157" w:history="1">
            <w:r w:rsidR="00E132E0" w:rsidRPr="004D5E56">
              <w:rPr>
                <w:rStyle w:val="Hyperlink"/>
                <w:rFonts w:ascii="Times New Roman" w:hAnsi="Times New Roman"/>
                <w:noProof/>
              </w:rPr>
              <w:t>REBUTTAL OF STAFF WITNESS KENNETH L. ELGIN</w:t>
            </w:r>
            <w:r w:rsidR="00E132E0" w:rsidRPr="004D5E56">
              <w:rPr>
                <w:rFonts w:ascii="Times New Roman" w:hAnsi="Times New Roman"/>
                <w:noProof/>
                <w:webHidden/>
              </w:rPr>
              <w:tab/>
            </w:r>
            <w:r w:rsidRPr="004D5E56">
              <w:rPr>
                <w:rFonts w:ascii="Times New Roman" w:hAnsi="Times New Roman"/>
                <w:noProof/>
                <w:webHidden/>
              </w:rPr>
              <w:fldChar w:fldCharType="begin"/>
            </w:r>
            <w:r w:rsidR="004D5E56" w:rsidRPr="004D5E56">
              <w:rPr>
                <w:rFonts w:ascii="Times New Roman" w:hAnsi="Times New Roman"/>
                <w:noProof/>
                <w:webHidden/>
              </w:rPr>
              <w:instrText xml:space="preserve"> PAGEREF _Toc362869157 \h </w:instrText>
            </w:r>
            <w:r w:rsidRPr="004D5E56">
              <w:rPr>
                <w:rFonts w:ascii="Times New Roman" w:hAnsi="Times New Roman"/>
                <w:noProof/>
                <w:webHidden/>
              </w:rPr>
            </w:r>
            <w:r w:rsidRPr="004D5E56">
              <w:rPr>
                <w:rFonts w:ascii="Times New Roman" w:hAnsi="Times New Roman"/>
                <w:noProof/>
                <w:webHidden/>
              </w:rPr>
              <w:fldChar w:fldCharType="separate"/>
            </w:r>
            <w:r w:rsidR="00386A39">
              <w:rPr>
                <w:rFonts w:ascii="Times New Roman" w:hAnsi="Times New Roman"/>
                <w:noProof/>
                <w:webHidden/>
              </w:rPr>
              <w:t>8</w:t>
            </w:r>
            <w:r w:rsidRPr="004D5E56">
              <w:rPr>
                <w:rFonts w:ascii="Times New Roman" w:hAnsi="Times New Roman"/>
                <w:noProof/>
                <w:webHidden/>
              </w:rPr>
              <w:fldChar w:fldCharType="end"/>
            </w:r>
          </w:hyperlink>
        </w:p>
        <w:p w:rsidR="004D5E56" w:rsidRPr="004D5E56" w:rsidRDefault="002F7474">
          <w:pPr>
            <w:pStyle w:val="TOC1"/>
            <w:rPr>
              <w:rFonts w:ascii="Times New Roman" w:eastAsiaTheme="minorEastAsia" w:hAnsi="Times New Roman"/>
              <w:noProof/>
              <w:sz w:val="22"/>
              <w:szCs w:val="22"/>
            </w:rPr>
          </w:pPr>
          <w:hyperlink w:anchor="_Toc362869158" w:history="1">
            <w:r w:rsidR="00E132E0" w:rsidRPr="004D5E56">
              <w:rPr>
                <w:rStyle w:val="Hyperlink"/>
                <w:rFonts w:ascii="Times New Roman" w:hAnsi="Times New Roman"/>
                <w:noProof/>
              </w:rPr>
              <w:t>REBUTTAL OF BOISE WITNESS MICHAEL P. GORMAN</w:t>
            </w:r>
            <w:r w:rsidR="00E132E0" w:rsidRPr="004D5E56">
              <w:rPr>
                <w:rFonts w:ascii="Times New Roman" w:hAnsi="Times New Roman"/>
                <w:noProof/>
                <w:webHidden/>
              </w:rPr>
              <w:tab/>
            </w:r>
            <w:r w:rsidRPr="004D5E56">
              <w:rPr>
                <w:rFonts w:ascii="Times New Roman" w:hAnsi="Times New Roman"/>
                <w:noProof/>
                <w:webHidden/>
              </w:rPr>
              <w:fldChar w:fldCharType="begin"/>
            </w:r>
            <w:r w:rsidR="004D5E56" w:rsidRPr="004D5E56">
              <w:rPr>
                <w:rFonts w:ascii="Times New Roman" w:hAnsi="Times New Roman"/>
                <w:noProof/>
                <w:webHidden/>
              </w:rPr>
              <w:instrText xml:space="preserve"> PAGEREF _Toc362869158 \h </w:instrText>
            </w:r>
            <w:r w:rsidRPr="004D5E56">
              <w:rPr>
                <w:rFonts w:ascii="Times New Roman" w:hAnsi="Times New Roman"/>
                <w:noProof/>
                <w:webHidden/>
              </w:rPr>
            </w:r>
            <w:r w:rsidRPr="004D5E56">
              <w:rPr>
                <w:rFonts w:ascii="Times New Roman" w:hAnsi="Times New Roman"/>
                <w:noProof/>
                <w:webHidden/>
              </w:rPr>
              <w:fldChar w:fldCharType="separate"/>
            </w:r>
            <w:r w:rsidR="00386A39">
              <w:rPr>
                <w:rFonts w:ascii="Times New Roman" w:hAnsi="Times New Roman"/>
                <w:noProof/>
                <w:webHidden/>
              </w:rPr>
              <w:t>14</w:t>
            </w:r>
            <w:r w:rsidRPr="004D5E56">
              <w:rPr>
                <w:rFonts w:ascii="Times New Roman" w:hAnsi="Times New Roman"/>
                <w:noProof/>
                <w:webHidden/>
              </w:rPr>
              <w:fldChar w:fldCharType="end"/>
            </w:r>
          </w:hyperlink>
        </w:p>
        <w:p w:rsidR="004D5E56" w:rsidRDefault="002F7474">
          <w:pPr>
            <w:pStyle w:val="TOC1"/>
            <w:rPr>
              <w:rFonts w:asciiTheme="minorHAnsi" w:eastAsiaTheme="minorEastAsia" w:hAnsiTheme="minorHAnsi" w:cstheme="minorBidi"/>
              <w:noProof/>
              <w:sz w:val="22"/>
              <w:szCs w:val="22"/>
            </w:rPr>
          </w:pPr>
          <w:hyperlink w:anchor="_Toc362869159" w:history="1">
            <w:r w:rsidR="00E132E0" w:rsidRPr="004D5E56">
              <w:rPr>
                <w:rStyle w:val="Hyperlink"/>
                <w:rFonts w:ascii="Times New Roman" w:hAnsi="Times New Roman"/>
                <w:noProof/>
              </w:rPr>
              <w:t>UPDATE OF COE ESTIMATES</w:t>
            </w:r>
            <w:r w:rsidR="00E132E0" w:rsidRPr="004D5E56">
              <w:rPr>
                <w:rFonts w:ascii="Times New Roman" w:hAnsi="Times New Roman"/>
                <w:noProof/>
                <w:webHidden/>
              </w:rPr>
              <w:tab/>
            </w:r>
            <w:r w:rsidRPr="004D5E56">
              <w:rPr>
                <w:rFonts w:ascii="Times New Roman" w:hAnsi="Times New Roman"/>
                <w:noProof/>
                <w:webHidden/>
              </w:rPr>
              <w:fldChar w:fldCharType="begin"/>
            </w:r>
            <w:r w:rsidR="004D5E56" w:rsidRPr="004D5E56">
              <w:rPr>
                <w:rFonts w:ascii="Times New Roman" w:hAnsi="Times New Roman"/>
                <w:noProof/>
                <w:webHidden/>
              </w:rPr>
              <w:instrText xml:space="preserve"> PAGEREF _Toc362869159 \h </w:instrText>
            </w:r>
            <w:r w:rsidRPr="004D5E56">
              <w:rPr>
                <w:rFonts w:ascii="Times New Roman" w:hAnsi="Times New Roman"/>
                <w:noProof/>
                <w:webHidden/>
              </w:rPr>
            </w:r>
            <w:r w:rsidRPr="004D5E56">
              <w:rPr>
                <w:rFonts w:ascii="Times New Roman" w:hAnsi="Times New Roman"/>
                <w:noProof/>
                <w:webHidden/>
              </w:rPr>
              <w:fldChar w:fldCharType="separate"/>
            </w:r>
            <w:r w:rsidR="00386A39">
              <w:rPr>
                <w:rFonts w:ascii="Times New Roman" w:hAnsi="Times New Roman"/>
                <w:noProof/>
                <w:webHidden/>
              </w:rPr>
              <w:t>22</w:t>
            </w:r>
            <w:r w:rsidRPr="004D5E56">
              <w:rPr>
                <w:rFonts w:ascii="Times New Roman" w:hAnsi="Times New Roman"/>
                <w:noProof/>
                <w:webHidden/>
              </w:rPr>
              <w:fldChar w:fldCharType="end"/>
            </w:r>
          </w:hyperlink>
        </w:p>
        <w:p w:rsidR="00747AEA" w:rsidRDefault="002F7474" w:rsidP="00747AEA">
          <w:pPr>
            <w:suppressLineNumbers/>
            <w:spacing w:line="360" w:lineRule="auto"/>
          </w:pPr>
          <w:r w:rsidRPr="00747AEA">
            <w:rPr>
              <w:rFonts w:ascii="Times New Roman" w:hAnsi="Times New Roman"/>
              <w:szCs w:val="24"/>
            </w:rPr>
            <w:fldChar w:fldCharType="end"/>
          </w:r>
        </w:p>
      </w:sdtContent>
    </w:sdt>
    <w:p w:rsidR="00747AEA" w:rsidRDefault="00747AEA" w:rsidP="002B4BD8">
      <w:pPr>
        <w:suppressLineNumbers/>
        <w:spacing w:line="240" w:lineRule="auto"/>
        <w:ind w:left="0" w:firstLine="0"/>
        <w:jc w:val="left"/>
        <w:rPr>
          <w:szCs w:val="24"/>
        </w:rPr>
      </w:pPr>
    </w:p>
    <w:p w:rsidR="002B4BD8" w:rsidRDefault="002B4BD8" w:rsidP="002B4BD8">
      <w:pPr>
        <w:suppressLineNumbers/>
        <w:spacing w:line="240" w:lineRule="auto"/>
        <w:ind w:left="0" w:firstLine="0"/>
        <w:jc w:val="left"/>
        <w:rPr>
          <w:szCs w:val="24"/>
        </w:rPr>
      </w:pPr>
    </w:p>
    <w:p w:rsidR="002B4BD8" w:rsidRPr="002B4BD8" w:rsidRDefault="002B4BD8" w:rsidP="002B4BD8">
      <w:pPr>
        <w:pStyle w:val="FreeForm"/>
        <w:suppressLineNumbers/>
        <w:spacing w:line="480" w:lineRule="auto"/>
      </w:pPr>
      <w:r w:rsidRPr="002B4BD8">
        <w:t>ATTACHED EXHIBITS</w:t>
      </w:r>
    </w:p>
    <w:p w:rsidR="002B4BD8" w:rsidRDefault="002B4BD8" w:rsidP="002B4BD8">
      <w:pPr>
        <w:suppressLineNumbers/>
        <w:rPr>
          <w:rFonts w:ascii="Times New Roman" w:hAnsi="Times New Roman"/>
        </w:rPr>
      </w:pPr>
      <w:r>
        <w:rPr>
          <w:rFonts w:ascii="Times New Roman" w:hAnsi="Times New Roman"/>
        </w:rPr>
        <w:t xml:space="preserve">Exhibit No.___(SCH-11) – </w:t>
      </w:r>
      <w:r w:rsidR="00FC59BD">
        <w:rPr>
          <w:rFonts w:ascii="Times New Roman" w:hAnsi="Times New Roman"/>
        </w:rPr>
        <w:t xml:space="preserve">Comparable Company Fundamental Characteristics </w:t>
      </w:r>
    </w:p>
    <w:p w:rsidR="002B4BD8" w:rsidRDefault="002B4BD8" w:rsidP="002B4BD8">
      <w:pPr>
        <w:suppressLineNumbers/>
        <w:rPr>
          <w:rFonts w:ascii="Times New Roman" w:hAnsi="Times New Roman"/>
        </w:rPr>
      </w:pPr>
      <w:r>
        <w:rPr>
          <w:rFonts w:ascii="Times New Roman" w:hAnsi="Times New Roman"/>
        </w:rPr>
        <w:t>Exhibit No.___(SCH-12) –</w:t>
      </w:r>
      <w:r w:rsidR="00FC59BD">
        <w:rPr>
          <w:rFonts w:ascii="Times New Roman" w:hAnsi="Times New Roman"/>
        </w:rPr>
        <w:t xml:space="preserve"> Capital Market Data</w:t>
      </w:r>
    </w:p>
    <w:p w:rsidR="002B4BD8" w:rsidRDefault="002B4BD8" w:rsidP="002B4BD8">
      <w:pPr>
        <w:suppressLineNumbers/>
        <w:rPr>
          <w:rFonts w:ascii="Times New Roman" w:hAnsi="Times New Roman"/>
        </w:rPr>
      </w:pPr>
      <w:r>
        <w:rPr>
          <w:rFonts w:ascii="Times New Roman" w:hAnsi="Times New Roman"/>
        </w:rPr>
        <w:t>Exhibit No.___(SCH-13) –</w:t>
      </w:r>
      <w:r w:rsidR="00FC59BD">
        <w:rPr>
          <w:rFonts w:ascii="Times New Roman" w:hAnsi="Times New Roman"/>
        </w:rPr>
        <w:t xml:space="preserve"> Update of Gorman Risk Premium Analysis</w:t>
      </w:r>
    </w:p>
    <w:p w:rsidR="002B4BD8" w:rsidRDefault="002B4BD8" w:rsidP="002B4BD8">
      <w:pPr>
        <w:suppressLineNumbers/>
        <w:rPr>
          <w:rFonts w:ascii="Times New Roman" w:hAnsi="Times New Roman"/>
        </w:rPr>
      </w:pPr>
      <w:r>
        <w:rPr>
          <w:rFonts w:ascii="Times New Roman" w:hAnsi="Times New Roman"/>
        </w:rPr>
        <w:t>Exhibit No.___(SCH-14) –</w:t>
      </w:r>
      <w:r w:rsidR="00FC59BD">
        <w:rPr>
          <w:rFonts w:ascii="Times New Roman" w:hAnsi="Times New Roman"/>
        </w:rPr>
        <w:t xml:space="preserve"> GDP Growth Rate Forecast</w:t>
      </w:r>
    </w:p>
    <w:p w:rsidR="002B4BD8" w:rsidRDefault="002B4BD8" w:rsidP="002B4BD8">
      <w:pPr>
        <w:suppressLineNumbers/>
        <w:rPr>
          <w:rFonts w:ascii="Times New Roman" w:hAnsi="Times New Roman"/>
        </w:rPr>
      </w:pPr>
      <w:r>
        <w:rPr>
          <w:rFonts w:ascii="Times New Roman" w:hAnsi="Times New Roman"/>
        </w:rPr>
        <w:t>Exhibit No.___(SCH-15) –</w:t>
      </w:r>
      <w:r w:rsidR="00FC59BD">
        <w:rPr>
          <w:rFonts w:ascii="Times New Roman" w:hAnsi="Times New Roman"/>
        </w:rPr>
        <w:t xml:space="preserve"> Discounted Cash Flow Analysis</w:t>
      </w:r>
    </w:p>
    <w:p w:rsidR="002B4BD8" w:rsidRDefault="002B4BD8" w:rsidP="002B4BD8">
      <w:pPr>
        <w:suppressLineNumbers/>
        <w:rPr>
          <w:rFonts w:ascii="Times New Roman" w:hAnsi="Times New Roman"/>
        </w:rPr>
      </w:pPr>
      <w:r>
        <w:rPr>
          <w:rFonts w:ascii="Times New Roman" w:hAnsi="Times New Roman"/>
        </w:rPr>
        <w:t>Exhibit No.___(SCH-16) –</w:t>
      </w:r>
      <w:r w:rsidR="00FC59BD">
        <w:rPr>
          <w:rFonts w:ascii="Times New Roman" w:hAnsi="Times New Roman"/>
        </w:rPr>
        <w:t xml:space="preserve"> Risk Premium Analysis</w:t>
      </w:r>
    </w:p>
    <w:p w:rsidR="002B4BD8" w:rsidRPr="002B4BD8" w:rsidRDefault="002B4BD8" w:rsidP="002B4BD8">
      <w:pPr>
        <w:suppressLineNumbers/>
        <w:rPr>
          <w:rFonts w:ascii="Times New Roman" w:hAnsi="Times New Roman"/>
        </w:rPr>
      </w:pPr>
    </w:p>
    <w:p w:rsidR="002B4BD8" w:rsidRDefault="002B4BD8">
      <w:pPr>
        <w:spacing w:line="240" w:lineRule="auto"/>
        <w:ind w:left="0" w:firstLine="0"/>
        <w:jc w:val="left"/>
        <w:rPr>
          <w:szCs w:val="24"/>
        </w:rPr>
        <w:sectPr w:rsidR="002B4BD8" w:rsidSect="00747A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00" w:header="720" w:footer="720" w:gutter="0"/>
          <w:lnNumType w:countBy="1"/>
          <w:pgNumType w:fmt="lowerRoman" w:start="1"/>
          <w:cols w:space="720"/>
          <w:docGrid w:linePitch="360"/>
        </w:sectPr>
      </w:pPr>
    </w:p>
    <w:p w:rsidR="004F7E1F" w:rsidRPr="00660211" w:rsidRDefault="004F7E1F" w:rsidP="00660211">
      <w:pPr>
        <w:pStyle w:val="Question"/>
        <w:rPr>
          <w:szCs w:val="24"/>
        </w:rPr>
      </w:pPr>
      <w:r w:rsidRPr="00660211">
        <w:rPr>
          <w:szCs w:val="24"/>
        </w:rPr>
        <w:lastRenderedPageBreak/>
        <w:t>Q.</w:t>
      </w:r>
      <w:r w:rsidRPr="00660211">
        <w:rPr>
          <w:szCs w:val="24"/>
        </w:rPr>
        <w:tab/>
        <w:t xml:space="preserve">Are you the same Samuel C. Hadaway </w:t>
      </w:r>
      <w:r w:rsidR="00F52E7B">
        <w:rPr>
          <w:szCs w:val="24"/>
        </w:rPr>
        <w:t>that</w:t>
      </w:r>
      <w:r w:rsidRPr="00660211">
        <w:rPr>
          <w:szCs w:val="24"/>
        </w:rPr>
        <w:t xml:space="preserve"> </w:t>
      </w:r>
      <w:r w:rsidR="00BB1204" w:rsidRPr="00660211">
        <w:rPr>
          <w:szCs w:val="24"/>
        </w:rPr>
        <w:t xml:space="preserve">previously </w:t>
      </w:r>
      <w:r w:rsidR="00F52E7B">
        <w:rPr>
          <w:szCs w:val="24"/>
        </w:rPr>
        <w:t xml:space="preserve">submitted </w:t>
      </w:r>
      <w:r w:rsidR="00734B3E" w:rsidRPr="00660211">
        <w:rPr>
          <w:szCs w:val="24"/>
        </w:rPr>
        <w:t>d</w:t>
      </w:r>
      <w:r w:rsidRPr="00660211">
        <w:rPr>
          <w:szCs w:val="24"/>
        </w:rPr>
        <w:t xml:space="preserve">irect </w:t>
      </w:r>
      <w:r w:rsidR="00734B3E" w:rsidRPr="00660211">
        <w:rPr>
          <w:szCs w:val="24"/>
        </w:rPr>
        <w:t>t</w:t>
      </w:r>
      <w:r w:rsidRPr="00660211">
        <w:rPr>
          <w:szCs w:val="24"/>
        </w:rPr>
        <w:t xml:space="preserve">estimony </w:t>
      </w:r>
      <w:r w:rsidR="00A5427C" w:rsidRPr="00660211">
        <w:rPr>
          <w:szCs w:val="24"/>
        </w:rPr>
        <w:t>on behalf of PacifiCorp d/b/a Pacific Power &amp; Light Company (PacifiCorp or Company)</w:t>
      </w:r>
      <w:r w:rsidR="00BB1204" w:rsidRPr="00660211">
        <w:rPr>
          <w:szCs w:val="24"/>
        </w:rPr>
        <w:t xml:space="preserve"> in this case</w:t>
      </w:r>
      <w:r w:rsidRPr="00660211">
        <w:rPr>
          <w:szCs w:val="24"/>
        </w:rPr>
        <w:t>?</w:t>
      </w:r>
    </w:p>
    <w:p w:rsidR="004F7E1F" w:rsidRPr="00660211" w:rsidRDefault="004F7E1F" w:rsidP="00660211">
      <w:pPr>
        <w:pStyle w:val="Answer0"/>
        <w:rPr>
          <w:szCs w:val="24"/>
        </w:rPr>
      </w:pPr>
      <w:r w:rsidRPr="00660211">
        <w:rPr>
          <w:szCs w:val="24"/>
        </w:rPr>
        <w:t>A.</w:t>
      </w:r>
      <w:r w:rsidRPr="00660211">
        <w:rPr>
          <w:szCs w:val="24"/>
        </w:rPr>
        <w:tab/>
        <w:t>Yes.</w:t>
      </w:r>
    </w:p>
    <w:p w:rsidR="00BB0D51" w:rsidRPr="00550A6B" w:rsidRDefault="00A5427C" w:rsidP="00550A6B">
      <w:pPr>
        <w:pStyle w:val="Heading1"/>
      </w:pPr>
      <w:bookmarkStart w:id="0" w:name="_Toc362869154"/>
      <w:r w:rsidRPr="00550A6B">
        <w:t>PURPOSE AND SUMMARY</w:t>
      </w:r>
      <w:bookmarkEnd w:id="0"/>
    </w:p>
    <w:p w:rsidR="00BB0D51" w:rsidRPr="00660211" w:rsidRDefault="004F7E1F"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00027B2C" w:rsidRPr="00660211">
        <w:rPr>
          <w:rFonts w:ascii="Times New Roman" w:hAnsi="Times New Roman"/>
          <w:b/>
          <w:color w:val="000000"/>
          <w:sz w:val="24"/>
          <w:szCs w:val="24"/>
        </w:rPr>
        <w:t>.</w:t>
      </w:r>
      <w:r w:rsidRPr="00660211">
        <w:rPr>
          <w:rFonts w:ascii="Times New Roman" w:hAnsi="Times New Roman"/>
          <w:b/>
          <w:color w:val="000000"/>
          <w:sz w:val="24"/>
          <w:szCs w:val="24"/>
        </w:rPr>
        <w:tab/>
        <w:t>What is the purpose of your rebuttal testimony?</w:t>
      </w:r>
    </w:p>
    <w:p w:rsidR="00BB0D51" w:rsidRPr="00660211" w:rsidRDefault="00027B2C"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004F7E1F" w:rsidRPr="00660211">
        <w:rPr>
          <w:rFonts w:ascii="Times New Roman" w:hAnsi="Times New Roman"/>
          <w:color w:val="000000"/>
          <w:sz w:val="24"/>
          <w:szCs w:val="24"/>
        </w:rPr>
        <w:tab/>
        <w:t>The purpose of my rebuttal testimony is to respond to the rate of return on equity (ROE) recommendations offered by</w:t>
      </w:r>
      <w:r w:rsidR="006C4618" w:rsidRPr="00660211">
        <w:rPr>
          <w:rFonts w:ascii="Times New Roman" w:hAnsi="Times New Roman"/>
          <w:color w:val="000000"/>
          <w:sz w:val="24"/>
          <w:szCs w:val="24"/>
        </w:rPr>
        <w:t xml:space="preserve"> </w:t>
      </w:r>
      <w:r w:rsidR="00420358" w:rsidRPr="00660211">
        <w:rPr>
          <w:rFonts w:ascii="Times New Roman" w:hAnsi="Times New Roman"/>
          <w:color w:val="000000"/>
          <w:sz w:val="24"/>
          <w:szCs w:val="24"/>
        </w:rPr>
        <w:t xml:space="preserve">Washington </w:t>
      </w:r>
      <w:r w:rsidR="00160F05" w:rsidRPr="00660211">
        <w:rPr>
          <w:rFonts w:ascii="Times New Roman" w:hAnsi="Times New Roman"/>
          <w:color w:val="000000"/>
          <w:sz w:val="24"/>
          <w:szCs w:val="24"/>
        </w:rPr>
        <w:t xml:space="preserve">Utilities and </w:t>
      </w:r>
      <w:r w:rsidR="00420358" w:rsidRPr="00660211">
        <w:rPr>
          <w:rFonts w:ascii="Times New Roman" w:hAnsi="Times New Roman"/>
          <w:color w:val="000000"/>
          <w:sz w:val="24"/>
          <w:szCs w:val="24"/>
        </w:rPr>
        <w:t xml:space="preserve">Transportation </w:t>
      </w:r>
      <w:r w:rsidR="004F7E1F" w:rsidRPr="00660211">
        <w:rPr>
          <w:rFonts w:ascii="Times New Roman" w:hAnsi="Times New Roman"/>
          <w:color w:val="000000"/>
          <w:sz w:val="24"/>
          <w:szCs w:val="24"/>
        </w:rPr>
        <w:t>Commission</w:t>
      </w:r>
      <w:r w:rsidR="006C4618" w:rsidRPr="00660211">
        <w:rPr>
          <w:rFonts w:ascii="Times New Roman" w:hAnsi="Times New Roman"/>
          <w:color w:val="000000"/>
          <w:sz w:val="24"/>
          <w:szCs w:val="24"/>
        </w:rPr>
        <w:t xml:space="preserve"> (Commission)</w:t>
      </w:r>
      <w:r w:rsidR="004F7E1F" w:rsidRPr="00660211">
        <w:rPr>
          <w:rFonts w:ascii="Times New Roman" w:hAnsi="Times New Roman"/>
          <w:color w:val="000000"/>
          <w:sz w:val="24"/>
          <w:szCs w:val="24"/>
        </w:rPr>
        <w:t xml:space="preserve"> Staff</w:t>
      </w:r>
      <w:r w:rsidR="00420358" w:rsidRPr="00660211">
        <w:rPr>
          <w:rFonts w:ascii="Times New Roman" w:hAnsi="Times New Roman"/>
          <w:color w:val="000000"/>
          <w:sz w:val="24"/>
          <w:szCs w:val="24"/>
        </w:rPr>
        <w:t xml:space="preserve"> </w:t>
      </w:r>
      <w:r w:rsidR="004F7E1F" w:rsidRPr="00660211">
        <w:rPr>
          <w:rFonts w:ascii="Times New Roman" w:hAnsi="Times New Roman"/>
          <w:color w:val="000000"/>
          <w:sz w:val="24"/>
          <w:szCs w:val="24"/>
        </w:rPr>
        <w:t>witness</w:t>
      </w:r>
      <w:r w:rsidR="00420358" w:rsidRPr="00660211">
        <w:rPr>
          <w:rFonts w:ascii="Times New Roman" w:hAnsi="Times New Roman"/>
          <w:color w:val="000000"/>
          <w:sz w:val="24"/>
          <w:szCs w:val="24"/>
        </w:rPr>
        <w:t xml:space="preserve"> </w:t>
      </w:r>
      <w:r w:rsidR="003723E3" w:rsidRPr="00660211">
        <w:rPr>
          <w:rFonts w:ascii="Times New Roman" w:hAnsi="Times New Roman"/>
          <w:color w:val="000000"/>
          <w:sz w:val="24"/>
          <w:szCs w:val="24"/>
        </w:rPr>
        <w:t xml:space="preserve">Mr. </w:t>
      </w:r>
      <w:r w:rsidR="00160F05" w:rsidRPr="00660211">
        <w:rPr>
          <w:rFonts w:ascii="Times New Roman" w:hAnsi="Times New Roman"/>
          <w:bCs/>
          <w:sz w:val="24"/>
          <w:szCs w:val="24"/>
        </w:rPr>
        <w:t>Kenneth L. Elgin</w:t>
      </w:r>
      <w:r w:rsidR="004F7E1F" w:rsidRPr="00660211">
        <w:rPr>
          <w:rFonts w:ascii="Times New Roman" w:hAnsi="Times New Roman"/>
          <w:color w:val="000000"/>
          <w:sz w:val="24"/>
          <w:szCs w:val="24"/>
        </w:rPr>
        <w:t xml:space="preserve"> and</w:t>
      </w:r>
      <w:r w:rsidR="00160F05" w:rsidRPr="00660211">
        <w:rPr>
          <w:rFonts w:ascii="Times New Roman" w:hAnsi="Times New Roman"/>
          <w:color w:val="000000"/>
          <w:sz w:val="24"/>
          <w:szCs w:val="24"/>
        </w:rPr>
        <w:t xml:space="preserve"> </w:t>
      </w:r>
      <w:r w:rsidR="00A43694" w:rsidRPr="00660211">
        <w:rPr>
          <w:rFonts w:ascii="Times New Roman" w:hAnsi="Times New Roman"/>
          <w:color w:val="000000"/>
          <w:sz w:val="24"/>
          <w:szCs w:val="24"/>
        </w:rPr>
        <w:t xml:space="preserve">Boise White Paper, L.L.C. (Boise) </w:t>
      </w:r>
      <w:r w:rsidR="00160F05" w:rsidRPr="00660211">
        <w:rPr>
          <w:rFonts w:ascii="Times New Roman" w:hAnsi="Times New Roman"/>
          <w:color w:val="000000"/>
          <w:sz w:val="24"/>
          <w:szCs w:val="24"/>
        </w:rPr>
        <w:t xml:space="preserve">witness </w:t>
      </w:r>
      <w:r w:rsidR="003723E3" w:rsidRPr="00660211">
        <w:rPr>
          <w:rFonts w:ascii="Times New Roman" w:hAnsi="Times New Roman"/>
          <w:color w:val="000000"/>
          <w:sz w:val="24"/>
          <w:szCs w:val="24"/>
        </w:rPr>
        <w:t xml:space="preserve">Mr. </w:t>
      </w:r>
      <w:r w:rsidR="00160F05" w:rsidRPr="00660211">
        <w:rPr>
          <w:rFonts w:ascii="Times New Roman" w:hAnsi="Times New Roman"/>
          <w:color w:val="000000"/>
          <w:sz w:val="24"/>
          <w:szCs w:val="24"/>
        </w:rPr>
        <w:t>Michael P. Gorman.</w:t>
      </w:r>
      <w:r w:rsidR="004F7E1F" w:rsidRPr="00660211">
        <w:rPr>
          <w:rFonts w:ascii="Times New Roman" w:hAnsi="Times New Roman"/>
          <w:color w:val="000000"/>
          <w:sz w:val="24"/>
          <w:szCs w:val="24"/>
        </w:rPr>
        <w:t xml:space="preserve">  In my analysis, I will </w:t>
      </w:r>
      <w:r w:rsidR="00502933" w:rsidRPr="00660211">
        <w:rPr>
          <w:rFonts w:ascii="Times New Roman" w:hAnsi="Times New Roman"/>
          <w:color w:val="000000"/>
          <w:sz w:val="24"/>
          <w:szCs w:val="24"/>
        </w:rPr>
        <w:t>demonstrate that</w:t>
      </w:r>
      <w:r w:rsidR="004F7E1F" w:rsidRPr="00660211">
        <w:rPr>
          <w:rFonts w:ascii="Times New Roman" w:hAnsi="Times New Roman"/>
          <w:color w:val="000000"/>
          <w:sz w:val="24"/>
          <w:szCs w:val="24"/>
        </w:rPr>
        <w:t xml:space="preserve"> their rate of return recommendations </w:t>
      </w:r>
      <w:r w:rsidR="00F73058" w:rsidRPr="00660211">
        <w:rPr>
          <w:rFonts w:ascii="Times New Roman" w:hAnsi="Times New Roman"/>
          <w:color w:val="000000"/>
          <w:sz w:val="24"/>
          <w:szCs w:val="24"/>
        </w:rPr>
        <w:t xml:space="preserve">do not reflect PacifiCorp’s cost of equity capital (COE) because they do </w:t>
      </w:r>
      <w:r w:rsidR="004F7E1F" w:rsidRPr="00660211">
        <w:rPr>
          <w:rFonts w:ascii="Times New Roman" w:hAnsi="Times New Roman"/>
          <w:color w:val="000000"/>
          <w:sz w:val="24"/>
          <w:szCs w:val="24"/>
        </w:rPr>
        <w:t xml:space="preserve">not </w:t>
      </w:r>
      <w:r w:rsidR="00F73058" w:rsidRPr="00660211">
        <w:rPr>
          <w:rFonts w:ascii="Times New Roman" w:hAnsi="Times New Roman"/>
          <w:color w:val="000000"/>
          <w:sz w:val="24"/>
          <w:szCs w:val="24"/>
        </w:rPr>
        <w:t xml:space="preserve">account for </w:t>
      </w:r>
      <w:r w:rsidR="00E53297" w:rsidRPr="00660211">
        <w:rPr>
          <w:rFonts w:ascii="Times New Roman" w:hAnsi="Times New Roman"/>
          <w:color w:val="000000"/>
          <w:sz w:val="24"/>
          <w:szCs w:val="24"/>
        </w:rPr>
        <w:t>the current increasing interest rate environment or the ongoing effects of the recent economic turbulence that has occurred.</w:t>
      </w:r>
      <w:r w:rsidR="004F7E1F" w:rsidRPr="00660211">
        <w:rPr>
          <w:rFonts w:ascii="Times New Roman" w:hAnsi="Times New Roman"/>
          <w:color w:val="000000"/>
          <w:sz w:val="24"/>
          <w:szCs w:val="24"/>
        </w:rPr>
        <w:t xml:space="preserve">  </w:t>
      </w:r>
      <w:r w:rsidR="00E53297" w:rsidRPr="00660211">
        <w:rPr>
          <w:rFonts w:ascii="Times New Roman" w:hAnsi="Times New Roman"/>
          <w:color w:val="000000"/>
          <w:sz w:val="24"/>
          <w:szCs w:val="24"/>
        </w:rPr>
        <w:t xml:space="preserve">I will demonstrate that when these factors are more reasonably considered, the other parties’ rate of return recommendations are easily seen to be too low.  </w:t>
      </w:r>
      <w:r w:rsidR="004F7E1F" w:rsidRPr="00660211">
        <w:rPr>
          <w:rFonts w:ascii="Times New Roman" w:hAnsi="Times New Roman"/>
          <w:color w:val="000000"/>
          <w:sz w:val="24"/>
          <w:szCs w:val="24"/>
        </w:rPr>
        <w:t>I will also respond to the other witnesses</w:t>
      </w:r>
      <w:r w:rsidR="003C18EA" w:rsidRPr="00660211">
        <w:rPr>
          <w:rFonts w:ascii="Times New Roman" w:hAnsi="Times New Roman"/>
          <w:color w:val="000000"/>
          <w:sz w:val="24"/>
          <w:szCs w:val="24"/>
        </w:rPr>
        <w:t>’</w:t>
      </w:r>
      <w:r w:rsidR="004F7E1F" w:rsidRPr="00660211">
        <w:rPr>
          <w:rFonts w:ascii="Times New Roman" w:hAnsi="Times New Roman"/>
          <w:color w:val="000000"/>
          <w:sz w:val="24"/>
          <w:szCs w:val="24"/>
        </w:rPr>
        <w:t xml:space="preserve"> comments on the methodology I used in my </w:t>
      </w:r>
      <w:r w:rsidR="00734B3E" w:rsidRPr="00660211">
        <w:rPr>
          <w:rFonts w:ascii="Times New Roman" w:hAnsi="Times New Roman"/>
          <w:color w:val="000000"/>
          <w:sz w:val="24"/>
          <w:szCs w:val="24"/>
        </w:rPr>
        <w:t>d</w:t>
      </w:r>
      <w:r w:rsidR="004F7E1F" w:rsidRPr="00660211">
        <w:rPr>
          <w:rFonts w:ascii="Times New Roman" w:hAnsi="Times New Roman"/>
          <w:color w:val="000000"/>
          <w:sz w:val="24"/>
          <w:szCs w:val="24"/>
        </w:rPr>
        <w:t xml:space="preserve">irect </w:t>
      </w:r>
      <w:r w:rsidR="00734B3E" w:rsidRPr="00660211">
        <w:rPr>
          <w:rFonts w:ascii="Times New Roman" w:hAnsi="Times New Roman"/>
          <w:color w:val="000000"/>
          <w:sz w:val="24"/>
          <w:szCs w:val="24"/>
        </w:rPr>
        <w:t>t</w:t>
      </w:r>
      <w:r w:rsidR="004F7E1F" w:rsidRPr="00660211">
        <w:rPr>
          <w:rFonts w:ascii="Times New Roman" w:hAnsi="Times New Roman"/>
          <w:color w:val="000000"/>
          <w:sz w:val="24"/>
          <w:szCs w:val="24"/>
        </w:rPr>
        <w:t xml:space="preserve">estimony to estimate </w:t>
      </w:r>
      <w:r w:rsidR="003C18EA" w:rsidRPr="00660211">
        <w:rPr>
          <w:rFonts w:ascii="Times New Roman" w:hAnsi="Times New Roman"/>
          <w:color w:val="000000"/>
          <w:sz w:val="24"/>
          <w:szCs w:val="24"/>
        </w:rPr>
        <w:t xml:space="preserve">PacifiCorp’s </w:t>
      </w:r>
      <w:r w:rsidR="00220B10">
        <w:rPr>
          <w:rFonts w:ascii="Times New Roman" w:hAnsi="Times New Roman"/>
          <w:color w:val="000000"/>
          <w:sz w:val="24"/>
          <w:szCs w:val="24"/>
        </w:rPr>
        <w:t>COE</w:t>
      </w:r>
      <w:r w:rsidR="00F73058" w:rsidRPr="00660211">
        <w:rPr>
          <w:rFonts w:ascii="Times New Roman" w:hAnsi="Times New Roman"/>
          <w:color w:val="000000"/>
          <w:sz w:val="24"/>
          <w:szCs w:val="24"/>
        </w:rPr>
        <w:t>.  Finally,</w:t>
      </w:r>
      <w:r w:rsidR="004F7E1F" w:rsidRPr="00660211">
        <w:rPr>
          <w:rFonts w:ascii="Times New Roman" w:hAnsi="Times New Roman"/>
          <w:color w:val="000000"/>
          <w:sz w:val="24"/>
          <w:szCs w:val="24"/>
        </w:rPr>
        <w:t xml:space="preserve"> I will update my </w:t>
      </w:r>
      <w:r w:rsidR="00F73058" w:rsidRPr="00660211">
        <w:rPr>
          <w:rFonts w:ascii="Times New Roman" w:hAnsi="Times New Roman"/>
          <w:color w:val="000000"/>
          <w:sz w:val="24"/>
          <w:szCs w:val="24"/>
        </w:rPr>
        <w:t>C</w:t>
      </w:r>
      <w:r w:rsidR="004F7E1F" w:rsidRPr="00660211">
        <w:rPr>
          <w:rFonts w:ascii="Times New Roman" w:hAnsi="Times New Roman"/>
          <w:color w:val="000000"/>
          <w:sz w:val="24"/>
          <w:szCs w:val="24"/>
        </w:rPr>
        <w:t>OE analysis for current market costs and conditions</w:t>
      </w:r>
      <w:r w:rsidR="00F73058" w:rsidRPr="00660211">
        <w:rPr>
          <w:rFonts w:ascii="Times New Roman" w:hAnsi="Times New Roman"/>
          <w:color w:val="000000"/>
          <w:sz w:val="24"/>
          <w:szCs w:val="24"/>
        </w:rPr>
        <w:t xml:space="preserve"> and demonstrate that while the results of the mod</w:t>
      </w:r>
      <w:r w:rsidR="00D7270A" w:rsidRPr="00660211">
        <w:rPr>
          <w:rFonts w:ascii="Times New Roman" w:hAnsi="Times New Roman"/>
          <w:color w:val="000000"/>
          <w:sz w:val="24"/>
          <w:szCs w:val="24"/>
        </w:rPr>
        <w:t>els have shifted in response to recent changes in the capital markets, they continue to support my recommendation that the Commission set PacifiCorp’s allowed return on equity (ROE) at 10</w:t>
      </w:r>
      <w:r w:rsidR="00854978">
        <w:rPr>
          <w:rFonts w:ascii="Times New Roman" w:hAnsi="Times New Roman"/>
          <w:color w:val="000000"/>
          <w:sz w:val="24"/>
          <w:szCs w:val="24"/>
        </w:rPr>
        <w:t>.0</w:t>
      </w:r>
      <w:r w:rsidR="00D7270A" w:rsidRPr="00660211">
        <w:rPr>
          <w:rFonts w:ascii="Times New Roman" w:hAnsi="Times New Roman"/>
          <w:color w:val="000000"/>
          <w:sz w:val="24"/>
          <w:szCs w:val="24"/>
        </w:rPr>
        <w:t xml:space="preserve"> percent</w:t>
      </w:r>
      <w:r w:rsidR="004F7E1F" w:rsidRPr="00660211">
        <w:rPr>
          <w:rFonts w:ascii="Times New Roman" w:hAnsi="Times New Roman"/>
          <w:color w:val="000000"/>
          <w:sz w:val="24"/>
          <w:szCs w:val="24"/>
        </w:rPr>
        <w:t>.</w:t>
      </w:r>
    </w:p>
    <w:p w:rsidR="00BB0D51" w:rsidRPr="00550A6B" w:rsidRDefault="0034397E" w:rsidP="00550A6B">
      <w:pPr>
        <w:pStyle w:val="Heading1"/>
      </w:pPr>
      <w:bookmarkStart w:id="1" w:name="_Toc362869155"/>
      <w:r w:rsidRPr="00550A6B">
        <w:lastRenderedPageBreak/>
        <w:t xml:space="preserve">Review of </w:t>
      </w:r>
      <w:r w:rsidR="00742879" w:rsidRPr="00550A6B">
        <w:t>Other Parties</w:t>
      </w:r>
      <w:r w:rsidR="003C18EA" w:rsidRPr="00550A6B">
        <w:t>’</w:t>
      </w:r>
      <w:r w:rsidR="00742879" w:rsidRPr="00550A6B">
        <w:t xml:space="preserve"> Recommendations</w:t>
      </w:r>
      <w:bookmarkEnd w:id="1"/>
    </w:p>
    <w:p w:rsidR="00BB0D51" w:rsidRPr="00660211" w:rsidRDefault="004F7E1F" w:rsidP="00660211">
      <w:pPr>
        <w:pStyle w:val="FootnoteText"/>
        <w:keepN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00160F05" w:rsidRPr="00660211">
        <w:rPr>
          <w:rFonts w:ascii="Times New Roman" w:hAnsi="Times New Roman"/>
          <w:b/>
          <w:color w:val="000000"/>
          <w:sz w:val="24"/>
          <w:szCs w:val="24"/>
        </w:rPr>
        <w:t>.</w:t>
      </w:r>
      <w:r w:rsidRPr="00660211">
        <w:rPr>
          <w:rFonts w:ascii="Times New Roman" w:hAnsi="Times New Roman"/>
          <w:b/>
          <w:color w:val="000000"/>
          <w:sz w:val="24"/>
          <w:szCs w:val="24"/>
        </w:rPr>
        <w:tab/>
        <w:t>What are the parties</w:t>
      </w:r>
      <w:r w:rsidR="003C18EA" w:rsidRPr="00660211">
        <w:rPr>
          <w:rFonts w:ascii="Times New Roman" w:hAnsi="Times New Roman"/>
          <w:b/>
          <w:color w:val="000000"/>
          <w:sz w:val="24"/>
          <w:szCs w:val="24"/>
        </w:rPr>
        <w:t>’</w:t>
      </w:r>
      <w:r w:rsidRPr="00660211">
        <w:rPr>
          <w:rFonts w:ascii="Times New Roman" w:hAnsi="Times New Roman"/>
          <w:b/>
          <w:color w:val="000000"/>
          <w:sz w:val="24"/>
          <w:szCs w:val="24"/>
        </w:rPr>
        <w:t xml:space="preserve"> ROE recommendations?</w:t>
      </w:r>
    </w:p>
    <w:p w:rsidR="00BB0D51" w:rsidRPr="00660211" w:rsidRDefault="004F7E1F"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00160F05" w:rsidRPr="00660211">
        <w:rPr>
          <w:rFonts w:ascii="Times New Roman" w:hAnsi="Times New Roman"/>
          <w:color w:val="000000"/>
          <w:sz w:val="24"/>
          <w:szCs w:val="24"/>
        </w:rPr>
        <w:t>.</w:t>
      </w:r>
      <w:r w:rsidRPr="00660211">
        <w:rPr>
          <w:rFonts w:ascii="Times New Roman" w:hAnsi="Times New Roman"/>
          <w:color w:val="000000"/>
          <w:sz w:val="24"/>
          <w:szCs w:val="24"/>
        </w:rPr>
        <w:tab/>
        <w:t>M</w:t>
      </w:r>
      <w:r w:rsidR="00E53297" w:rsidRPr="00660211">
        <w:rPr>
          <w:rFonts w:ascii="Times New Roman" w:hAnsi="Times New Roman"/>
          <w:color w:val="000000"/>
          <w:sz w:val="24"/>
          <w:szCs w:val="24"/>
        </w:rPr>
        <w:t>r. Elgin</w:t>
      </w:r>
      <w:r w:rsidR="00160F05" w:rsidRPr="00660211">
        <w:rPr>
          <w:rFonts w:ascii="Times New Roman" w:hAnsi="Times New Roman"/>
          <w:color w:val="000000"/>
          <w:sz w:val="24"/>
          <w:szCs w:val="24"/>
        </w:rPr>
        <w:t xml:space="preserve"> </w:t>
      </w:r>
      <w:r w:rsidR="00E53297" w:rsidRPr="00660211">
        <w:rPr>
          <w:rFonts w:ascii="Times New Roman" w:hAnsi="Times New Roman"/>
          <w:color w:val="000000"/>
          <w:sz w:val="24"/>
          <w:szCs w:val="24"/>
        </w:rPr>
        <w:t>recommends an ROE of only 9.0 percent</w:t>
      </w:r>
      <w:r w:rsidR="00145E3F" w:rsidRPr="00660211">
        <w:rPr>
          <w:rFonts w:ascii="Times New Roman" w:hAnsi="Times New Roman"/>
          <w:color w:val="000000"/>
          <w:sz w:val="24"/>
          <w:szCs w:val="24"/>
        </w:rPr>
        <w:t xml:space="preserve">. </w:t>
      </w:r>
      <w:r w:rsidR="00160F05" w:rsidRPr="00660211">
        <w:rPr>
          <w:rFonts w:ascii="Times New Roman" w:hAnsi="Times New Roman"/>
          <w:color w:val="000000"/>
          <w:sz w:val="24"/>
          <w:szCs w:val="24"/>
        </w:rPr>
        <w:t xml:space="preserve"> </w:t>
      </w:r>
      <w:r w:rsidR="00E53297" w:rsidRPr="00660211">
        <w:rPr>
          <w:rFonts w:ascii="Times New Roman" w:hAnsi="Times New Roman"/>
          <w:color w:val="000000"/>
          <w:sz w:val="24"/>
          <w:szCs w:val="24"/>
        </w:rPr>
        <w:t>Mr.</w:t>
      </w:r>
      <w:r w:rsidR="00854978">
        <w:rPr>
          <w:rFonts w:ascii="Times New Roman" w:hAnsi="Times New Roman"/>
          <w:color w:val="000000"/>
          <w:sz w:val="24"/>
          <w:szCs w:val="24"/>
        </w:rPr>
        <w:t> </w:t>
      </w:r>
      <w:r w:rsidRPr="00660211">
        <w:rPr>
          <w:rFonts w:ascii="Times New Roman" w:hAnsi="Times New Roman"/>
          <w:color w:val="000000"/>
          <w:sz w:val="24"/>
          <w:szCs w:val="24"/>
        </w:rPr>
        <w:t>G</w:t>
      </w:r>
      <w:r w:rsidR="00160F05" w:rsidRPr="00660211">
        <w:rPr>
          <w:rFonts w:ascii="Times New Roman" w:hAnsi="Times New Roman"/>
          <w:color w:val="000000"/>
          <w:sz w:val="24"/>
          <w:szCs w:val="24"/>
        </w:rPr>
        <w:t>orman</w:t>
      </w:r>
      <w:r w:rsidRPr="00660211">
        <w:rPr>
          <w:rFonts w:ascii="Times New Roman" w:hAnsi="Times New Roman"/>
          <w:color w:val="000000"/>
          <w:sz w:val="24"/>
          <w:szCs w:val="24"/>
        </w:rPr>
        <w:t xml:space="preserve"> recommend</w:t>
      </w:r>
      <w:r w:rsidR="00E53297" w:rsidRPr="00660211">
        <w:rPr>
          <w:rFonts w:ascii="Times New Roman" w:hAnsi="Times New Roman"/>
          <w:color w:val="000000"/>
          <w:sz w:val="24"/>
          <w:szCs w:val="24"/>
        </w:rPr>
        <w:t>s</w:t>
      </w:r>
      <w:r w:rsidRPr="00660211">
        <w:rPr>
          <w:rFonts w:ascii="Times New Roman" w:hAnsi="Times New Roman"/>
          <w:color w:val="000000"/>
          <w:sz w:val="24"/>
          <w:szCs w:val="24"/>
        </w:rPr>
        <w:t xml:space="preserve"> an ROE of </w:t>
      </w:r>
      <w:r w:rsidR="00160F05" w:rsidRPr="00660211">
        <w:rPr>
          <w:rFonts w:ascii="Times New Roman" w:hAnsi="Times New Roman"/>
          <w:color w:val="000000"/>
          <w:sz w:val="24"/>
          <w:szCs w:val="24"/>
        </w:rPr>
        <w:t xml:space="preserve">only </w:t>
      </w:r>
      <w:r w:rsidRPr="00660211">
        <w:rPr>
          <w:rFonts w:ascii="Times New Roman" w:hAnsi="Times New Roman"/>
          <w:color w:val="000000"/>
          <w:sz w:val="24"/>
          <w:szCs w:val="24"/>
        </w:rPr>
        <w:t>9.</w:t>
      </w:r>
      <w:r w:rsidR="00E53297" w:rsidRPr="00660211">
        <w:rPr>
          <w:rFonts w:ascii="Times New Roman" w:hAnsi="Times New Roman"/>
          <w:color w:val="000000"/>
          <w:sz w:val="24"/>
          <w:szCs w:val="24"/>
        </w:rPr>
        <w:t>2</w:t>
      </w:r>
      <w:r w:rsidRPr="00660211">
        <w:rPr>
          <w:rFonts w:ascii="Times New Roman" w:hAnsi="Times New Roman"/>
          <w:color w:val="000000"/>
          <w:sz w:val="24"/>
          <w:szCs w:val="24"/>
        </w:rPr>
        <w:t xml:space="preserve"> percent</w:t>
      </w:r>
      <w:r w:rsidR="00160F05" w:rsidRPr="00660211">
        <w:rPr>
          <w:rFonts w:ascii="Times New Roman" w:hAnsi="Times New Roman"/>
          <w:color w:val="000000"/>
          <w:sz w:val="24"/>
          <w:szCs w:val="24"/>
        </w:rPr>
        <w:t>.</w:t>
      </w:r>
      <w:r w:rsidRPr="00660211">
        <w:rPr>
          <w:rFonts w:ascii="Times New Roman" w:hAnsi="Times New Roman"/>
          <w:color w:val="000000"/>
          <w:sz w:val="24"/>
          <w:szCs w:val="24"/>
        </w:rPr>
        <w:t xml:space="preserve"> </w:t>
      </w:r>
      <w:r w:rsidR="003723E3" w:rsidRPr="00660211">
        <w:rPr>
          <w:rFonts w:ascii="Times New Roman" w:hAnsi="Times New Roman"/>
          <w:color w:val="000000"/>
          <w:sz w:val="24"/>
          <w:szCs w:val="24"/>
        </w:rPr>
        <w:t xml:space="preserve"> </w:t>
      </w:r>
      <w:r w:rsidR="009C0835" w:rsidRPr="00660211">
        <w:rPr>
          <w:rFonts w:ascii="Times New Roman" w:hAnsi="Times New Roman"/>
          <w:color w:val="000000"/>
          <w:sz w:val="24"/>
          <w:szCs w:val="24"/>
        </w:rPr>
        <w:t xml:space="preserve">For perspective, </w:t>
      </w:r>
      <w:r w:rsidR="00145E3F" w:rsidRPr="00660211">
        <w:rPr>
          <w:rFonts w:ascii="Times New Roman" w:hAnsi="Times New Roman"/>
          <w:color w:val="000000"/>
          <w:sz w:val="24"/>
          <w:szCs w:val="24"/>
        </w:rPr>
        <w:t xml:space="preserve">and </w:t>
      </w:r>
      <w:r w:rsidR="009C0835" w:rsidRPr="00660211">
        <w:rPr>
          <w:rFonts w:ascii="Times New Roman" w:hAnsi="Times New Roman"/>
          <w:color w:val="000000"/>
          <w:sz w:val="24"/>
          <w:szCs w:val="24"/>
        </w:rPr>
        <w:t xml:space="preserve">as I will discuss in more detail later, these ROE recommendations are far below recently allowed ROEs for other </w:t>
      </w:r>
      <w:r w:rsidR="00145E3F" w:rsidRPr="00660211">
        <w:rPr>
          <w:rFonts w:ascii="Times New Roman" w:hAnsi="Times New Roman"/>
          <w:color w:val="000000"/>
          <w:sz w:val="24"/>
          <w:szCs w:val="24"/>
        </w:rPr>
        <w:t xml:space="preserve">similarly situated </w:t>
      </w:r>
      <w:r w:rsidR="009C0835" w:rsidRPr="00660211">
        <w:rPr>
          <w:rFonts w:ascii="Times New Roman" w:hAnsi="Times New Roman"/>
          <w:color w:val="000000"/>
          <w:sz w:val="24"/>
          <w:szCs w:val="24"/>
        </w:rPr>
        <w:t xml:space="preserve">integrated electric utilities </w:t>
      </w:r>
      <w:r w:rsidR="00145E3F" w:rsidRPr="00660211">
        <w:rPr>
          <w:rFonts w:ascii="Times New Roman" w:hAnsi="Times New Roman"/>
          <w:color w:val="000000"/>
          <w:sz w:val="24"/>
          <w:szCs w:val="24"/>
        </w:rPr>
        <w:t xml:space="preserve">like </w:t>
      </w:r>
      <w:r w:rsidR="009C0835" w:rsidRPr="00660211">
        <w:rPr>
          <w:rFonts w:ascii="Times New Roman" w:hAnsi="Times New Roman"/>
          <w:color w:val="000000"/>
          <w:sz w:val="24"/>
          <w:szCs w:val="24"/>
        </w:rPr>
        <w:t xml:space="preserve">PacifiCorp.  </w:t>
      </w:r>
      <w:r w:rsidR="00C308E5" w:rsidRPr="00660211">
        <w:rPr>
          <w:rFonts w:ascii="Times New Roman" w:hAnsi="Times New Roman"/>
          <w:color w:val="000000"/>
          <w:sz w:val="24"/>
          <w:szCs w:val="24"/>
        </w:rPr>
        <w:t>Such low ROE recommendations</w:t>
      </w:r>
      <w:r w:rsidR="00854978">
        <w:rPr>
          <w:rFonts w:ascii="Times New Roman" w:hAnsi="Times New Roman"/>
          <w:color w:val="000000"/>
          <w:sz w:val="24"/>
          <w:szCs w:val="24"/>
        </w:rPr>
        <w:t>, especially</w:t>
      </w:r>
      <w:r w:rsidR="00145E3F" w:rsidRPr="00660211">
        <w:rPr>
          <w:rFonts w:ascii="Times New Roman" w:hAnsi="Times New Roman"/>
          <w:color w:val="000000"/>
          <w:sz w:val="24"/>
          <w:szCs w:val="24"/>
        </w:rPr>
        <w:t xml:space="preserve"> when</w:t>
      </w:r>
      <w:r w:rsidR="00C308E5" w:rsidRPr="00660211">
        <w:rPr>
          <w:rFonts w:ascii="Times New Roman" w:hAnsi="Times New Roman"/>
          <w:color w:val="000000"/>
          <w:sz w:val="24"/>
          <w:szCs w:val="24"/>
        </w:rPr>
        <w:t xml:space="preserve"> </w:t>
      </w:r>
      <w:r w:rsidR="009C0835" w:rsidRPr="00660211">
        <w:rPr>
          <w:rFonts w:ascii="Times New Roman" w:hAnsi="Times New Roman"/>
          <w:color w:val="000000"/>
          <w:sz w:val="24"/>
          <w:szCs w:val="24"/>
        </w:rPr>
        <w:t>combin</w:t>
      </w:r>
      <w:r w:rsidR="00C308E5" w:rsidRPr="00660211">
        <w:rPr>
          <w:rFonts w:ascii="Times New Roman" w:hAnsi="Times New Roman"/>
          <w:color w:val="000000"/>
          <w:sz w:val="24"/>
          <w:szCs w:val="24"/>
        </w:rPr>
        <w:t>ed</w:t>
      </w:r>
      <w:r w:rsidR="009C0835" w:rsidRPr="00660211">
        <w:rPr>
          <w:rFonts w:ascii="Times New Roman" w:hAnsi="Times New Roman"/>
          <w:color w:val="000000"/>
          <w:sz w:val="24"/>
          <w:szCs w:val="24"/>
        </w:rPr>
        <w:t xml:space="preserve"> with </w:t>
      </w:r>
      <w:r w:rsidR="00E60E50" w:rsidRPr="00660211">
        <w:rPr>
          <w:rFonts w:ascii="Times New Roman" w:hAnsi="Times New Roman"/>
          <w:color w:val="000000"/>
          <w:sz w:val="24"/>
          <w:szCs w:val="24"/>
        </w:rPr>
        <w:t>Mr. Elgin’s and Mr. Gorman’s</w:t>
      </w:r>
      <w:r w:rsidR="009C0835" w:rsidRPr="00660211">
        <w:rPr>
          <w:rFonts w:ascii="Times New Roman" w:hAnsi="Times New Roman"/>
          <w:color w:val="000000"/>
          <w:sz w:val="24"/>
          <w:szCs w:val="24"/>
        </w:rPr>
        <w:t xml:space="preserve"> </w:t>
      </w:r>
      <w:r w:rsidR="00C308E5" w:rsidRPr="00660211">
        <w:rPr>
          <w:rFonts w:ascii="Times New Roman" w:hAnsi="Times New Roman"/>
          <w:color w:val="000000"/>
          <w:sz w:val="24"/>
          <w:szCs w:val="24"/>
        </w:rPr>
        <w:t>equity-thin</w:t>
      </w:r>
      <w:r w:rsidR="00145E3F" w:rsidRPr="00660211">
        <w:rPr>
          <w:rFonts w:ascii="Times New Roman" w:hAnsi="Times New Roman"/>
          <w:color w:val="000000"/>
          <w:sz w:val="24"/>
          <w:szCs w:val="24"/>
        </w:rPr>
        <w:t>,</w:t>
      </w:r>
      <w:r w:rsidR="00C308E5" w:rsidRPr="00660211">
        <w:rPr>
          <w:rFonts w:ascii="Times New Roman" w:hAnsi="Times New Roman"/>
          <w:color w:val="000000"/>
          <w:sz w:val="24"/>
          <w:szCs w:val="24"/>
        </w:rPr>
        <w:t xml:space="preserve"> </w:t>
      </w:r>
      <w:r w:rsidR="00145E3F" w:rsidRPr="00660211">
        <w:rPr>
          <w:rFonts w:ascii="Times New Roman" w:hAnsi="Times New Roman"/>
          <w:color w:val="000000"/>
          <w:sz w:val="24"/>
          <w:szCs w:val="24"/>
        </w:rPr>
        <w:t>hypothetical capital structure</w:t>
      </w:r>
      <w:r w:rsidR="00184F52" w:rsidRPr="00660211">
        <w:rPr>
          <w:rFonts w:ascii="Times New Roman" w:hAnsi="Times New Roman"/>
          <w:color w:val="000000"/>
          <w:sz w:val="24"/>
          <w:szCs w:val="24"/>
        </w:rPr>
        <w:t>s</w:t>
      </w:r>
      <w:r w:rsidR="00145E3F" w:rsidRPr="00660211">
        <w:rPr>
          <w:rFonts w:ascii="Times New Roman" w:hAnsi="Times New Roman"/>
          <w:color w:val="000000"/>
          <w:sz w:val="24"/>
          <w:szCs w:val="24"/>
        </w:rPr>
        <w:t xml:space="preserve">, produce a punitively low overall rate of return result. </w:t>
      </w:r>
      <w:r w:rsidRPr="00660211">
        <w:rPr>
          <w:rFonts w:ascii="Times New Roman" w:hAnsi="Times New Roman"/>
          <w:color w:val="000000"/>
          <w:sz w:val="24"/>
          <w:szCs w:val="24"/>
        </w:rPr>
        <w:t xml:space="preserve"> </w:t>
      </w:r>
      <w:r w:rsidR="00145E3F" w:rsidRPr="00660211">
        <w:rPr>
          <w:rFonts w:ascii="Times New Roman" w:hAnsi="Times New Roman"/>
          <w:color w:val="000000"/>
          <w:sz w:val="24"/>
          <w:szCs w:val="24"/>
        </w:rPr>
        <w:t xml:space="preserve">As I </w:t>
      </w:r>
      <w:r w:rsidRPr="00660211">
        <w:rPr>
          <w:rFonts w:ascii="Times New Roman" w:hAnsi="Times New Roman"/>
          <w:color w:val="000000"/>
          <w:sz w:val="24"/>
          <w:szCs w:val="24"/>
        </w:rPr>
        <w:t xml:space="preserve">will </w:t>
      </w:r>
      <w:r w:rsidR="009C0835" w:rsidRPr="00660211">
        <w:rPr>
          <w:rFonts w:ascii="Times New Roman" w:hAnsi="Times New Roman"/>
          <w:color w:val="000000"/>
          <w:sz w:val="24"/>
          <w:szCs w:val="24"/>
        </w:rPr>
        <w:t>demonstrate</w:t>
      </w:r>
      <w:r w:rsidRPr="00660211">
        <w:rPr>
          <w:rFonts w:ascii="Times New Roman" w:hAnsi="Times New Roman"/>
          <w:color w:val="000000"/>
          <w:sz w:val="24"/>
          <w:szCs w:val="24"/>
        </w:rPr>
        <w:t xml:space="preserve"> in my updated </w:t>
      </w:r>
      <w:r w:rsidR="00D7270A" w:rsidRPr="00660211">
        <w:rPr>
          <w:rFonts w:ascii="Times New Roman" w:hAnsi="Times New Roman"/>
          <w:color w:val="000000"/>
          <w:sz w:val="24"/>
          <w:szCs w:val="24"/>
        </w:rPr>
        <w:t>C</w:t>
      </w:r>
      <w:r w:rsidRPr="00660211">
        <w:rPr>
          <w:rFonts w:ascii="Times New Roman" w:hAnsi="Times New Roman"/>
          <w:color w:val="000000"/>
          <w:sz w:val="24"/>
          <w:szCs w:val="24"/>
        </w:rPr>
        <w:t>OE analysis</w:t>
      </w:r>
      <w:r w:rsidR="007948E6" w:rsidRPr="00660211">
        <w:rPr>
          <w:rFonts w:ascii="Times New Roman" w:hAnsi="Times New Roman"/>
          <w:color w:val="000000"/>
          <w:sz w:val="24"/>
          <w:szCs w:val="24"/>
        </w:rPr>
        <w:t>,</w:t>
      </w:r>
      <w:r w:rsidR="009C0835" w:rsidRPr="00660211">
        <w:rPr>
          <w:rFonts w:ascii="Times New Roman" w:hAnsi="Times New Roman"/>
          <w:color w:val="000000"/>
          <w:sz w:val="24"/>
          <w:szCs w:val="24"/>
        </w:rPr>
        <w:t xml:space="preserve"> </w:t>
      </w:r>
      <w:r w:rsidRPr="00660211">
        <w:rPr>
          <w:rFonts w:ascii="Times New Roman" w:hAnsi="Times New Roman"/>
          <w:color w:val="000000"/>
          <w:sz w:val="24"/>
          <w:szCs w:val="24"/>
        </w:rPr>
        <w:t xml:space="preserve">the </w:t>
      </w:r>
      <w:r w:rsidR="002A0803" w:rsidRPr="00660211">
        <w:rPr>
          <w:rFonts w:ascii="Times New Roman" w:hAnsi="Times New Roman"/>
          <w:color w:val="000000"/>
          <w:sz w:val="24"/>
          <w:szCs w:val="24"/>
        </w:rPr>
        <w:t>Company</w:t>
      </w:r>
      <w:r w:rsidR="009C0835" w:rsidRPr="00660211">
        <w:rPr>
          <w:rFonts w:ascii="Times New Roman" w:hAnsi="Times New Roman"/>
          <w:color w:val="000000"/>
          <w:sz w:val="24"/>
          <w:szCs w:val="24"/>
        </w:rPr>
        <w:t>’s</w:t>
      </w:r>
      <w:r w:rsidR="002A0803" w:rsidRPr="00660211">
        <w:rPr>
          <w:rFonts w:ascii="Times New Roman" w:hAnsi="Times New Roman"/>
          <w:color w:val="000000"/>
          <w:sz w:val="24"/>
          <w:szCs w:val="24"/>
        </w:rPr>
        <w:t xml:space="preserve"> </w:t>
      </w:r>
      <w:r w:rsidR="00B965FD" w:rsidRPr="00660211">
        <w:rPr>
          <w:rFonts w:ascii="Times New Roman" w:hAnsi="Times New Roman"/>
          <w:color w:val="000000"/>
          <w:sz w:val="24"/>
          <w:szCs w:val="24"/>
        </w:rPr>
        <w:t xml:space="preserve">requested </w:t>
      </w:r>
      <w:r w:rsidR="00160F05" w:rsidRPr="00660211">
        <w:rPr>
          <w:rFonts w:ascii="Times New Roman" w:hAnsi="Times New Roman"/>
          <w:color w:val="000000"/>
          <w:sz w:val="24"/>
          <w:szCs w:val="24"/>
        </w:rPr>
        <w:t>10.</w:t>
      </w:r>
      <w:r w:rsidR="009C0835" w:rsidRPr="00660211">
        <w:rPr>
          <w:rFonts w:ascii="Times New Roman" w:hAnsi="Times New Roman"/>
          <w:color w:val="000000"/>
          <w:sz w:val="24"/>
          <w:szCs w:val="24"/>
        </w:rPr>
        <w:t>0</w:t>
      </w:r>
      <w:r w:rsidR="00160F05" w:rsidRPr="00660211">
        <w:rPr>
          <w:rFonts w:ascii="Times New Roman" w:hAnsi="Times New Roman"/>
          <w:color w:val="000000"/>
          <w:sz w:val="24"/>
          <w:szCs w:val="24"/>
        </w:rPr>
        <w:t xml:space="preserve"> percent ROE </w:t>
      </w:r>
      <w:r w:rsidR="00E60E50" w:rsidRPr="00660211">
        <w:rPr>
          <w:rFonts w:ascii="Times New Roman" w:hAnsi="Times New Roman"/>
          <w:color w:val="000000"/>
          <w:sz w:val="24"/>
          <w:szCs w:val="24"/>
        </w:rPr>
        <w:t>continues to be</w:t>
      </w:r>
      <w:r w:rsidR="00160F05" w:rsidRPr="00660211">
        <w:rPr>
          <w:rFonts w:ascii="Times New Roman" w:hAnsi="Times New Roman"/>
          <w:color w:val="000000"/>
          <w:sz w:val="24"/>
          <w:szCs w:val="24"/>
        </w:rPr>
        <w:t xml:space="preserve"> supported by my </w:t>
      </w:r>
      <w:r w:rsidR="00E60E50" w:rsidRPr="00660211">
        <w:rPr>
          <w:rFonts w:ascii="Times New Roman" w:hAnsi="Times New Roman"/>
          <w:color w:val="000000"/>
          <w:sz w:val="24"/>
          <w:szCs w:val="24"/>
        </w:rPr>
        <w:t>analys</w:t>
      </w:r>
      <w:r w:rsidR="00A43694" w:rsidRPr="00660211">
        <w:rPr>
          <w:rFonts w:ascii="Times New Roman" w:hAnsi="Times New Roman"/>
          <w:color w:val="000000"/>
          <w:sz w:val="24"/>
          <w:szCs w:val="24"/>
        </w:rPr>
        <w:t>i</w:t>
      </w:r>
      <w:r w:rsidR="00E60E50" w:rsidRPr="00660211">
        <w:rPr>
          <w:rFonts w:ascii="Times New Roman" w:hAnsi="Times New Roman"/>
          <w:color w:val="000000"/>
          <w:sz w:val="24"/>
          <w:szCs w:val="24"/>
        </w:rPr>
        <w:t>s, and especially by the increasing interest rate environment that now exists.</w:t>
      </w:r>
      <w:r w:rsidR="009C0835" w:rsidRPr="00660211">
        <w:rPr>
          <w:rFonts w:ascii="Times New Roman" w:hAnsi="Times New Roman"/>
          <w:color w:val="000000"/>
          <w:sz w:val="24"/>
          <w:szCs w:val="24"/>
        </w:rPr>
        <w:t xml:space="preserve">  All these factors </w:t>
      </w:r>
      <w:r w:rsidR="00E60E50" w:rsidRPr="00660211">
        <w:rPr>
          <w:rFonts w:ascii="Times New Roman" w:hAnsi="Times New Roman"/>
          <w:color w:val="000000"/>
          <w:sz w:val="24"/>
          <w:szCs w:val="24"/>
        </w:rPr>
        <w:t>show</w:t>
      </w:r>
      <w:r w:rsidR="009C0835" w:rsidRPr="00660211">
        <w:rPr>
          <w:rFonts w:ascii="Times New Roman" w:hAnsi="Times New Roman"/>
          <w:color w:val="000000"/>
          <w:sz w:val="24"/>
          <w:szCs w:val="24"/>
        </w:rPr>
        <w:t xml:space="preserve"> that</w:t>
      </w:r>
      <w:r w:rsidR="007948E6" w:rsidRPr="00660211">
        <w:rPr>
          <w:rFonts w:ascii="Times New Roman" w:hAnsi="Times New Roman"/>
          <w:color w:val="000000"/>
          <w:sz w:val="24"/>
          <w:szCs w:val="24"/>
        </w:rPr>
        <w:t xml:space="preserve"> </w:t>
      </w:r>
      <w:r w:rsidR="009C0835" w:rsidRPr="00660211">
        <w:rPr>
          <w:rFonts w:ascii="Times New Roman" w:hAnsi="Times New Roman"/>
          <w:color w:val="000000"/>
          <w:sz w:val="24"/>
          <w:szCs w:val="24"/>
        </w:rPr>
        <w:t xml:space="preserve">Mr. Elgin’s and Mr. Gorman’s </w:t>
      </w:r>
      <w:r w:rsidR="007948E6" w:rsidRPr="00660211">
        <w:rPr>
          <w:rFonts w:ascii="Times New Roman" w:hAnsi="Times New Roman"/>
          <w:color w:val="000000"/>
          <w:sz w:val="24"/>
          <w:szCs w:val="24"/>
        </w:rPr>
        <w:t xml:space="preserve">rate of return </w:t>
      </w:r>
      <w:r w:rsidR="009C0835" w:rsidRPr="00660211">
        <w:rPr>
          <w:rFonts w:ascii="Times New Roman" w:hAnsi="Times New Roman"/>
          <w:color w:val="000000"/>
          <w:sz w:val="24"/>
          <w:szCs w:val="24"/>
        </w:rPr>
        <w:t>recommendations</w:t>
      </w:r>
      <w:r w:rsidR="00A43694" w:rsidRPr="00660211">
        <w:rPr>
          <w:rFonts w:ascii="Times New Roman" w:hAnsi="Times New Roman"/>
          <w:color w:val="000000"/>
          <w:sz w:val="24"/>
          <w:szCs w:val="24"/>
        </w:rPr>
        <w:t xml:space="preserve"> are unreasonably low and should be rejected by the Commission</w:t>
      </w:r>
      <w:r w:rsidR="009C0835" w:rsidRPr="00660211">
        <w:rPr>
          <w:rFonts w:ascii="Times New Roman" w:hAnsi="Times New Roman"/>
          <w:color w:val="000000"/>
          <w:sz w:val="24"/>
          <w:szCs w:val="24"/>
        </w:rPr>
        <w:t>.</w:t>
      </w:r>
    </w:p>
    <w:p w:rsidR="00BB0D51" w:rsidRPr="00660211" w:rsidRDefault="004F7E1F"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00916930" w:rsidRPr="00660211">
        <w:rPr>
          <w:rFonts w:ascii="Times New Roman" w:hAnsi="Times New Roman"/>
          <w:b/>
          <w:color w:val="000000"/>
          <w:sz w:val="24"/>
          <w:szCs w:val="24"/>
        </w:rPr>
        <w:t>.</w:t>
      </w:r>
      <w:r w:rsidRPr="00660211">
        <w:rPr>
          <w:rFonts w:ascii="Times New Roman" w:hAnsi="Times New Roman"/>
          <w:b/>
          <w:color w:val="000000"/>
          <w:sz w:val="24"/>
          <w:szCs w:val="24"/>
        </w:rPr>
        <w:tab/>
        <w:t xml:space="preserve">What is your </w:t>
      </w:r>
      <w:r w:rsidR="00A43694" w:rsidRPr="00660211">
        <w:rPr>
          <w:rFonts w:ascii="Times New Roman" w:hAnsi="Times New Roman"/>
          <w:b/>
          <w:color w:val="000000"/>
          <w:sz w:val="24"/>
          <w:szCs w:val="24"/>
        </w:rPr>
        <w:t xml:space="preserve">general </w:t>
      </w:r>
      <w:r w:rsidRPr="00660211">
        <w:rPr>
          <w:rFonts w:ascii="Times New Roman" w:hAnsi="Times New Roman"/>
          <w:b/>
          <w:color w:val="000000"/>
          <w:sz w:val="24"/>
          <w:szCs w:val="24"/>
        </w:rPr>
        <w:t xml:space="preserve">assessment of </w:t>
      </w:r>
      <w:r w:rsidR="00E60E50" w:rsidRPr="00660211">
        <w:rPr>
          <w:rFonts w:ascii="Times New Roman" w:hAnsi="Times New Roman"/>
          <w:b/>
          <w:color w:val="000000"/>
          <w:sz w:val="24"/>
          <w:szCs w:val="24"/>
        </w:rPr>
        <w:t>Mr. Elgin’s and Mr. Gorman’s</w:t>
      </w:r>
      <w:r w:rsidRPr="00660211">
        <w:rPr>
          <w:rFonts w:ascii="Times New Roman" w:hAnsi="Times New Roman"/>
          <w:b/>
          <w:color w:val="000000"/>
          <w:sz w:val="24"/>
          <w:szCs w:val="24"/>
        </w:rPr>
        <w:t xml:space="preserve"> ROE recommendations?</w:t>
      </w:r>
    </w:p>
    <w:p w:rsidR="00BB0D51" w:rsidRPr="00660211" w:rsidRDefault="004F7E1F"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00571B7E" w:rsidRPr="00660211">
        <w:rPr>
          <w:rFonts w:ascii="Times New Roman" w:hAnsi="Times New Roman"/>
          <w:color w:val="000000"/>
          <w:sz w:val="24"/>
          <w:szCs w:val="24"/>
        </w:rPr>
        <w:t>.</w:t>
      </w:r>
      <w:r w:rsidRPr="00660211">
        <w:rPr>
          <w:rFonts w:ascii="Times New Roman" w:hAnsi="Times New Roman"/>
          <w:color w:val="000000"/>
          <w:sz w:val="24"/>
          <w:szCs w:val="24"/>
        </w:rPr>
        <w:tab/>
      </w:r>
      <w:r w:rsidR="00424583" w:rsidRPr="00660211">
        <w:rPr>
          <w:rFonts w:ascii="Times New Roman" w:hAnsi="Times New Roman"/>
          <w:color w:val="000000"/>
          <w:sz w:val="24"/>
          <w:szCs w:val="24"/>
        </w:rPr>
        <w:t xml:space="preserve">Mr. Elgin’s and Mr. Gorman’s </w:t>
      </w:r>
      <w:r w:rsidRPr="00660211">
        <w:rPr>
          <w:rFonts w:ascii="Times New Roman" w:hAnsi="Times New Roman"/>
          <w:color w:val="000000"/>
          <w:sz w:val="24"/>
          <w:szCs w:val="24"/>
        </w:rPr>
        <w:t xml:space="preserve">recommendations are well below </w:t>
      </w:r>
      <w:r w:rsidR="00571B7E" w:rsidRPr="00660211">
        <w:rPr>
          <w:rFonts w:ascii="Times New Roman" w:hAnsi="Times New Roman"/>
          <w:color w:val="000000"/>
          <w:sz w:val="24"/>
          <w:szCs w:val="24"/>
        </w:rPr>
        <w:t>PacifiCorp</w:t>
      </w:r>
      <w:r w:rsidR="003C18EA" w:rsidRPr="00660211">
        <w:rPr>
          <w:rFonts w:ascii="Times New Roman" w:hAnsi="Times New Roman"/>
          <w:color w:val="000000"/>
          <w:sz w:val="24"/>
          <w:szCs w:val="24"/>
        </w:rPr>
        <w:t>’</w:t>
      </w:r>
      <w:r w:rsidR="00571B7E" w:rsidRPr="00660211">
        <w:rPr>
          <w:rFonts w:ascii="Times New Roman" w:hAnsi="Times New Roman"/>
          <w:color w:val="000000"/>
          <w:sz w:val="24"/>
          <w:szCs w:val="24"/>
        </w:rPr>
        <w:t>s</w:t>
      </w:r>
      <w:r w:rsidRPr="00660211">
        <w:rPr>
          <w:rFonts w:ascii="Times New Roman" w:hAnsi="Times New Roman"/>
          <w:color w:val="000000"/>
          <w:sz w:val="24"/>
          <w:szCs w:val="24"/>
        </w:rPr>
        <w:t xml:space="preserve"> market </w:t>
      </w:r>
      <w:r w:rsidR="00220B10">
        <w:rPr>
          <w:rFonts w:ascii="Times New Roman" w:hAnsi="Times New Roman"/>
          <w:color w:val="000000"/>
          <w:sz w:val="24"/>
          <w:szCs w:val="24"/>
        </w:rPr>
        <w:t>COE</w:t>
      </w:r>
      <w:r w:rsidRPr="00660211">
        <w:rPr>
          <w:rFonts w:ascii="Times New Roman" w:hAnsi="Times New Roman"/>
          <w:color w:val="000000"/>
          <w:sz w:val="24"/>
          <w:szCs w:val="24"/>
        </w:rPr>
        <w:t xml:space="preserve">.  </w:t>
      </w:r>
      <w:r w:rsidR="008A5040" w:rsidRPr="00660211">
        <w:rPr>
          <w:rFonts w:ascii="Times New Roman" w:hAnsi="Times New Roman"/>
          <w:color w:val="000000"/>
          <w:sz w:val="24"/>
          <w:szCs w:val="24"/>
        </w:rPr>
        <w:t>T</w:t>
      </w:r>
      <w:r w:rsidRPr="00660211">
        <w:rPr>
          <w:rFonts w:ascii="Times New Roman" w:hAnsi="Times New Roman"/>
          <w:color w:val="000000"/>
          <w:sz w:val="24"/>
          <w:szCs w:val="24"/>
        </w:rPr>
        <w:t xml:space="preserve">heir recommendations are </w:t>
      </w:r>
      <w:r w:rsidR="008A5040" w:rsidRPr="00660211">
        <w:rPr>
          <w:rFonts w:ascii="Times New Roman" w:hAnsi="Times New Roman"/>
          <w:color w:val="000000"/>
          <w:sz w:val="24"/>
          <w:szCs w:val="24"/>
        </w:rPr>
        <w:t>much lower</w:t>
      </w:r>
      <w:r w:rsidRPr="00660211">
        <w:rPr>
          <w:rFonts w:ascii="Times New Roman" w:hAnsi="Times New Roman"/>
          <w:color w:val="000000"/>
          <w:sz w:val="24"/>
          <w:szCs w:val="24"/>
        </w:rPr>
        <w:t xml:space="preserve"> </w:t>
      </w:r>
      <w:r w:rsidR="008A5040" w:rsidRPr="00660211">
        <w:rPr>
          <w:rFonts w:ascii="Times New Roman" w:hAnsi="Times New Roman"/>
          <w:color w:val="000000"/>
          <w:sz w:val="24"/>
          <w:szCs w:val="24"/>
        </w:rPr>
        <w:t xml:space="preserve">than </w:t>
      </w:r>
      <w:r w:rsidR="004B55E8" w:rsidRPr="00660211">
        <w:rPr>
          <w:rFonts w:ascii="Times New Roman" w:hAnsi="Times New Roman"/>
          <w:color w:val="000000"/>
          <w:sz w:val="24"/>
          <w:szCs w:val="24"/>
        </w:rPr>
        <w:t xml:space="preserve">the most </w:t>
      </w:r>
      <w:r w:rsidR="008A5040" w:rsidRPr="00660211">
        <w:rPr>
          <w:rFonts w:ascii="Times New Roman" w:hAnsi="Times New Roman"/>
          <w:color w:val="000000"/>
          <w:sz w:val="24"/>
          <w:szCs w:val="24"/>
        </w:rPr>
        <w:t>recent</w:t>
      </w:r>
      <w:r w:rsidR="00424583" w:rsidRPr="00660211">
        <w:rPr>
          <w:rFonts w:ascii="Times New Roman" w:hAnsi="Times New Roman"/>
          <w:color w:val="000000"/>
          <w:sz w:val="24"/>
          <w:szCs w:val="24"/>
        </w:rPr>
        <w:t>ly</w:t>
      </w:r>
      <w:r w:rsidR="008A5040" w:rsidRPr="00660211">
        <w:rPr>
          <w:rFonts w:ascii="Times New Roman" w:hAnsi="Times New Roman"/>
          <w:color w:val="000000"/>
          <w:sz w:val="24"/>
          <w:szCs w:val="24"/>
        </w:rPr>
        <w:t xml:space="preserve"> </w:t>
      </w:r>
      <w:r w:rsidRPr="00660211">
        <w:rPr>
          <w:rFonts w:ascii="Times New Roman" w:hAnsi="Times New Roman"/>
          <w:color w:val="000000"/>
          <w:sz w:val="24"/>
          <w:szCs w:val="24"/>
        </w:rPr>
        <w:t xml:space="preserve">allowed ROEs for other electric utilities </w:t>
      </w:r>
      <w:r w:rsidR="008A5040" w:rsidRPr="00660211">
        <w:rPr>
          <w:rFonts w:ascii="Times New Roman" w:hAnsi="Times New Roman"/>
          <w:color w:val="000000"/>
          <w:sz w:val="24"/>
          <w:szCs w:val="24"/>
        </w:rPr>
        <w:t xml:space="preserve">in the </w:t>
      </w:r>
      <w:r w:rsidR="00854978">
        <w:rPr>
          <w:rFonts w:ascii="Times New Roman" w:hAnsi="Times New Roman"/>
          <w:color w:val="000000"/>
          <w:sz w:val="24"/>
          <w:szCs w:val="24"/>
        </w:rPr>
        <w:t>s</w:t>
      </w:r>
      <w:r w:rsidR="00854978" w:rsidRPr="00660211">
        <w:rPr>
          <w:rFonts w:ascii="Times New Roman" w:hAnsi="Times New Roman"/>
          <w:color w:val="000000"/>
          <w:sz w:val="24"/>
          <w:szCs w:val="24"/>
        </w:rPr>
        <w:t xml:space="preserve">tate </w:t>
      </w:r>
      <w:r w:rsidR="008A5040" w:rsidRPr="00660211">
        <w:rPr>
          <w:rFonts w:ascii="Times New Roman" w:hAnsi="Times New Roman"/>
          <w:color w:val="000000"/>
          <w:sz w:val="24"/>
          <w:szCs w:val="24"/>
        </w:rPr>
        <w:t xml:space="preserve">of Washington and </w:t>
      </w:r>
      <w:r w:rsidRPr="00660211">
        <w:rPr>
          <w:rFonts w:ascii="Times New Roman" w:hAnsi="Times New Roman"/>
          <w:color w:val="000000"/>
          <w:sz w:val="24"/>
          <w:szCs w:val="24"/>
        </w:rPr>
        <w:t xml:space="preserve">around the country.  </w:t>
      </w:r>
      <w:r w:rsidR="00424583" w:rsidRPr="00660211">
        <w:rPr>
          <w:rFonts w:ascii="Times New Roman" w:hAnsi="Times New Roman"/>
          <w:color w:val="000000"/>
          <w:sz w:val="24"/>
          <w:szCs w:val="24"/>
        </w:rPr>
        <w:t xml:space="preserve">In the </w:t>
      </w:r>
      <w:r w:rsidR="004B55E8" w:rsidRPr="00660211">
        <w:rPr>
          <w:rFonts w:ascii="Times New Roman" w:hAnsi="Times New Roman"/>
          <w:color w:val="000000"/>
          <w:sz w:val="24"/>
          <w:szCs w:val="24"/>
        </w:rPr>
        <w:t>most recent cases for both Avista</w:t>
      </w:r>
      <w:r w:rsidR="002B7DC5" w:rsidRPr="00660211">
        <w:rPr>
          <w:rFonts w:ascii="Times New Roman" w:hAnsi="Times New Roman"/>
          <w:color w:val="000000"/>
          <w:sz w:val="24"/>
          <w:szCs w:val="24"/>
        </w:rPr>
        <w:t xml:space="preserve"> Corporation</w:t>
      </w:r>
      <w:r w:rsidR="00854978">
        <w:rPr>
          <w:rFonts w:ascii="Times New Roman" w:hAnsi="Times New Roman"/>
          <w:color w:val="000000"/>
          <w:sz w:val="24"/>
          <w:szCs w:val="24"/>
        </w:rPr>
        <w:t xml:space="preserve"> d/b/a Avista Utilities (Avista)</w:t>
      </w:r>
      <w:r w:rsidR="004B55E8" w:rsidRPr="00660211">
        <w:rPr>
          <w:rFonts w:ascii="Times New Roman" w:hAnsi="Times New Roman"/>
          <w:color w:val="000000"/>
          <w:sz w:val="24"/>
          <w:szCs w:val="24"/>
        </w:rPr>
        <w:t xml:space="preserve"> and Puget Sound Energy</w:t>
      </w:r>
      <w:r w:rsidR="00854978">
        <w:rPr>
          <w:rFonts w:ascii="Times New Roman" w:hAnsi="Times New Roman"/>
          <w:color w:val="000000"/>
          <w:sz w:val="24"/>
          <w:szCs w:val="24"/>
        </w:rPr>
        <w:t xml:space="preserve"> (PSE)</w:t>
      </w:r>
      <w:r w:rsidR="00D33F34" w:rsidRPr="00660211">
        <w:rPr>
          <w:rFonts w:ascii="Times New Roman" w:hAnsi="Times New Roman"/>
          <w:color w:val="000000"/>
          <w:sz w:val="24"/>
          <w:szCs w:val="24"/>
        </w:rPr>
        <w:t xml:space="preserve">, </w:t>
      </w:r>
      <w:r w:rsidR="00424583" w:rsidRPr="00660211">
        <w:rPr>
          <w:rFonts w:ascii="Times New Roman" w:hAnsi="Times New Roman"/>
          <w:color w:val="000000"/>
          <w:sz w:val="24"/>
          <w:szCs w:val="24"/>
        </w:rPr>
        <w:t>the Commission approved ROEs of 9.8</w:t>
      </w:r>
      <w:r w:rsidR="004B55E8" w:rsidRPr="00660211">
        <w:rPr>
          <w:rFonts w:ascii="Times New Roman" w:hAnsi="Times New Roman"/>
          <w:color w:val="000000"/>
          <w:sz w:val="24"/>
          <w:szCs w:val="24"/>
        </w:rPr>
        <w:t xml:space="preserve"> percent.</w:t>
      </w:r>
      <w:r w:rsidR="00424583" w:rsidRPr="005C3E56">
        <w:rPr>
          <w:rFonts w:ascii="Times New Roman" w:hAnsi="Times New Roman"/>
          <w:sz w:val="24"/>
          <w:szCs w:val="24"/>
          <w:vertAlign w:val="superscript"/>
        </w:rPr>
        <w:footnoteReference w:id="1"/>
      </w:r>
      <w:r w:rsidR="00424583" w:rsidRPr="00660211">
        <w:rPr>
          <w:rFonts w:ascii="Times New Roman" w:hAnsi="Times New Roman"/>
          <w:color w:val="000000"/>
          <w:sz w:val="24"/>
          <w:szCs w:val="24"/>
        </w:rPr>
        <w:t xml:space="preserve">  Similarly, the most recent data from Regulatory Research Associates shows that during the first two quarters of 2013, the average allowed ROE for integrated electric utilities </w:t>
      </w:r>
      <w:r w:rsidR="00A43694" w:rsidRPr="00660211">
        <w:rPr>
          <w:rFonts w:ascii="Times New Roman" w:hAnsi="Times New Roman"/>
          <w:color w:val="000000"/>
          <w:sz w:val="24"/>
          <w:szCs w:val="24"/>
        </w:rPr>
        <w:t xml:space="preserve">like PacifiCorp </w:t>
      </w:r>
      <w:r w:rsidR="00424583" w:rsidRPr="00660211">
        <w:rPr>
          <w:rFonts w:ascii="Times New Roman" w:hAnsi="Times New Roman"/>
          <w:color w:val="000000"/>
          <w:sz w:val="24"/>
          <w:szCs w:val="24"/>
        </w:rPr>
        <w:t>was 9.8 percent.</w:t>
      </w:r>
      <w:r w:rsidR="00424583" w:rsidRPr="005C3E56">
        <w:rPr>
          <w:rFonts w:ascii="Times New Roman" w:hAnsi="Times New Roman"/>
          <w:sz w:val="24"/>
          <w:szCs w:val="24"/>
          <w:vertAlign w:val="superscript"/>
        </w:rPr>
        <w:footnoteReference w:id="2"/>
      </w:r>
      <w:r w:rsidR="00424583" w:rsidRPr="005C3E56">
        <w:t xml:space="preserve"> </w:t>
      </w:r>
      <w:r w:rsidR="00424583" w:rsidRPr="00660211">
        <w:rPr>
          <w:rFonts w:ascii="Times New Roman" w:hAnsi="Times New Roman"/>
          <w:color w:val="000000"/>
          <w:sz w:val="24"/>
          <w:szCs w:val="24"/>
        </w:rPr>
        <w:t xml:space="preserve"> </w:t>
      </w:r>
      <w:r w:rsidRPr="00660211">
        <w:rPr>
          <w:rFonts w:ascii="Times New Roman" w:hAnsi="Times New Roman"/>
          <w:color w:val="000000"/>
          <w:sz w:val="24"/>
          <w:szCs w:val="24"/>
        </w:rPr>
        <w:t xml:space="preserve">I will show that </w:t>
      </w:r>
      <w:r w:rsidR="00424583" w:rsidRPr="00660211">
        <w:rPr>
          <w:rFonts w:ascii="Times New Roman" w:hAnsi="Times New Roman"/>
          <w:color w:val="000000"/>
          <w:sz w:val="24"/>
          <w:szCs w:val="24"/>
        </w:rPr>
        <w:t>Mr.</w:t>
      </w:r>
      <w:r w:rsidR="00854978">
        <w:rPr>
          <w:rFonts w:ascii="Times New Roman" w:hAnsi="Times New Roman"/>
          <w:color w:val="000000"/>
          <w:sz w:val="24"/>
          <w:szCs w:val="24"/>
        </w:rPr>
        <w:t> </w:t>
      </w:r>
      <w:r w:rsidR="00424583" w:rsidRPr="00660211">
        <w:rPr>
          <w:rFonts w:ascii="Times New Roman" w:hAnsi="Times New Roman"/>
          <w:color w:val="000000"/>
          <w:sz w:val="24"/>
          <w:szCs w:val="24"/>
        </w:rPr>
        <w:t>Elgin’s and Mr. Gorman’s</w:t>
      </w:r>
      <w:r w:rsidRPr="00660211">
        <w:rPr>
          <w:rFonts w:ascii="Times New Roman" w:hAnsi="Times New Roman"/>
          <w:color w:val="000000"/>
          <w:sz w:val="24"/>
          <w:szCs w:val="24"/>
        </w:rPr>
        <w:t xml:space="preserve"> analyses are f</w:t>
      </w:r>
      <w:r w:rsidR="002A0803" w:rsidRPr="00660211">
        <w:rPr>
          <w:rFonts w:ascii="Times New Roman" w:hAnsi="Times New Roman"/>
          <w:color w:val="000000"/>
          <w:sz w:val="24"/>
          <w:szCs w:val="24"/>
        </w:rPr>
        <w:t>aulty</w:t>
      </w:r>
      <w:r w:rsidRPr="00660211">
        <w:rPr>
          <w:rFonts w:ascii="Times New Roman" w:hAnsi="Times New Roman"/>
          <w:color w:val="000000"/>
          <w:sz w:val="24"/>
          <w:szCs w:val="24"/>
        </w:rPr>
        <w:t xml:space="preserve"> because </w:t>
      </w:r>
      <w:r w:rsidR="00B965FD" w:rsidRPr="00660211">
        <w:rPr>
          <w:rFonts w:ascii="Times New Roman" w:hAnsi="Times New Roman"/>
          <w:color w:val="000000"/>
          <w:sz w:val="24"/>
          <w:szCs w:val="24"/>
        </w:rPr>
        <w:t xml:space="preserve">they are based on negatively biased model inputs and </w:t>
      </w:r>
      <w:r w:rsidRPr="00660211">
        <w:rPr>
          <w:rFonts w:ascii="Times New Roman" w:hAnsi="Times New Roman"/>
          <w:color w:val="000000"/>
          <w:sz w:val="24"/>
          <w:szCs w:val="24"/>
        </w:rPr>
        <w:t xml:space="preserve">they fail to </w:t>
      </w:r>
      <w:r w:rsidR="008A5040" w:rsidRPr="00660211">
        <w:rPr>
          <w:rFonts w:ascii="Times New Roman" w:hAnsi="Times New Roman"/>
          <w:color w:val="000000"/>
          <w:sz w:val="24"/>
          <w:szCs w:val="24"/>
        </w:rPr>
        <w:t xml:space="preserve">reasonably </w:t>
      </w:r>
      <w:r w:rsidRPr="00660211">
        <w:rPr>
          <w:rFonts w:ascii="Times New Roman" w:hAnsi="Times New Roman"/>
          <w:color w:val="000000"/>
          <w:sz w:val="24"/>
          <w:szCs w:val="24"/>
        </w:rPr>
        <w:t xml:space="preserve">consider the </w:t>
      </w:r>
      <w:r w:rsidR="00E60E50" w:rsidRPr="00660211">
        <w:rPr>
          <w:rFonts w:ascii="Times New Roman" w:hAnsi="Times New Roman"/>
          <w:color w:val="000000"/>
          <w:sz w:val="24"/>
          <w:szCs w:val="24"/>
        </w:rPr>
        <w:t>current increasing interest rate environment.</w:t>
      </w:r>
      <w:r w:rsidR="00B965FD" w:rsidRPr="00660211">
        <w:rPr>
          <w:rFonts w:ascii="Times New Roman" w:hAnsi="Times New Roman"/>
          <w:color w:val="000000"/>
          <w:sz w:val="24"/>
          <w:szCs w:val="24"/>
        </w:rPr>
        <w:t xml:space="preserve"> </w:t>
      </w:r>
      <w:r w:rsidRPr="00660211">
        <w:rPr>
          <w:rFonts w:ascii="Times New Roman" w:hAnsi="Times New Roman"/>
          <w:color w:val="000000"/>
          <w:sz w:val="24"/>
          <w:szCs w:val="24"/>
        </w:rPr>
        <w:t xml:space="preserve"> </w:t>
      </w:r>
      <w:r w:rsidR="002A0803" w:rsidRPr="00660211">
        <w:rPr>
          <w:rFonts w:ascii="Times New Roman" w:hAnsi="Times New Roman"/>
          <w:color w:val="000000"/>
          <w:sz w:val="24"/>
          <w:szCs w:val="24"/>
        </w:rPr>
        <w:t xml:space="preserve">Additionally, </w:t>
      </w:r>
      <w:r w:rsidRPr="00660211">
        <w:rPr>
          <w:rFonts w:ascii="Times New Roman" w:hAnsi="Times New Roman"/>
          <w:color w:val="000000"/>
          <w:sz w:val="24"/>
          <w:szCs w:val="24"/>
        </w:rPr>
        <w:t xml:space="preserve">I will provide updated data </w:t>
      </w:r>
      <w:r w:rsidR="002A0803" w:rsidRPr="00660211">
        <w:rPr>
          <w:rFonts w:ascii="Times New Roman" w:hAnsi="Times New Roman"/>
          <w:color w:val="000000"/>
          <w:sz w:val="24"/>
          <w:szCs w:val="24"/>
        </w:rPr>
        <w:t xml:space="preserve">and analysis, </w:t>
      </w:r>
      <w:r w:rsidRPr="00660211">
        <w:rPr>
          <w:rFonts w:ascii="Times New Roman" w:hAnsi="Times New Roman"/>
          <w:color w:val="000000"/>
          <w:sz w:val="24"/>
          <w:szCs w:val="24"/>
        </w:rPr>
        <w:t xml:space="preserve">which show that </w:t>
      </w:r>
      <w:r w:rsidR="00571B7E" w:rsidRPr="00660211">
        <w:rPr>
          <w:rFonts w:ascii="Times New Roman" w:hAnsi="Times New Roman"/>
          <w:color w:val="000000"/>
          <w:sz w:val="24"/>
          <w:szCs w:val="24"/>
        </w:rPr>
        <w:t>PacifiCorp</w:t>
      </w:r>
      <w:r w:rsidR="003C18EA" w:rsidRPr="00660211">
        <w:rPr>
          <w:rFonts w:ascii="Times New Roman" w:hAnsi="Times New Roman"/>
          <w:color w:val="000000"/>
          <w:sz w:val="24"/>
          <w:szCs w:val="24"/>
        </w:rPr>
        <w:t>’</w:t>
      </w:r>
      <w:r w:rsidR="00571B7E" w:rsidRPr="00660211">
        <w:rPr>
          <w:rFonts w:ascii="Times New Roman" w:hAnsi="Times New Roman"/>
          <w:color w:val="000000"/>
          <w:sz w:val="24"/>
          <w:szCs w:val="24"/>
        </w:rPr>
        <w:t xml:space="preserve">s </w:t>
      </w:r>
      <w:r w:rsidRPr="00660211">
        <w:rPr>
          <w:rFonts w:ascii="Times New Roman" w:hAnsi="Times New Roman"/>
          <w:color w:val="000000"/>
          <w:sz w:val="24"/>
          <w:szCs w:val="24"/>
        </w:rPr>
        <w:t xml:space="preserve">current </w:t>
      </w:r>
      <w:r w:rsidR="00177D2C" w:rsidRPr="00660211">
        <w:rPr>
          <w:rFonts w:ascii="Times New Roman" w:hAnsi="Times New Roman"/>
          <w:color w:val="000000"/>
          <w:sz w:val="24"/>
          <w:szCs w:val="24"/>
        </w:rPr>
        <w:t>COE</w:t>
      </w:r>
      <w:r w:rsidRPr="00660211">
        <w:rPr>
          <w:rFonts w:ascii="Times New Roman" w:hAnsi="Times New Roman"/>
          <w:color w:val="000000"/>
          <w:sz w:val="24"/>
          <w:szCs w:val="24"/>
        </w:rPr>
        <w:t xml:space="preserve"> </w:t>
      </w:r>
      <w:r w:rsidR="00E60E50" w:rsidRPr="00660211">
        <w:rPr>
          <w:rFonts w:ascii="Times New Roman" w:hAnsi="Times New Roman"/>
          <w:color w:val="000000"/>
          <w:sz w:val="24"/>
          <w:szCs w:val="24"/>
        </w:rPr>
        <w:t xml:space="preserve">remains </w:t>
      </w:r>
      <w:r w:rsidR="00184F52" w:rsidRPr="00660211">
        <w:rPr>
          <w:rFonts w:ascii="Times New Roman" w:hAnsi="Times New Roman"/>
          <w:color w:val="000000"/>
          <w:sz w:val="24"/>
          <w:szCs w:val="24"/>
        </w:rPr>
        <w:t xml:space="preserve">approximately </w:t>
      </w:r>
      <w:r w:rsidR="00E60E50" w:rsidRPr="00660211">
        <w:rPr>
          <w:rFonts w:ascii="Times New Roman" w:hAnsi="Times New Roman"/>
          <w:color w:val="000000"/>
          <w:sz w:val="24"/>
          <w:szCs w:val="24"/>
        </w:rPr>
        <w:t>10.0 percent.</w:t>
      </w:r>
      <w:r w:rsidR="00B965FD" w:rsidRPr="00660211">
        <w:rPr>
          <w:rFonts w:ascii="Times New Roman" w:hAnsi="Times New Roman"/>
          <w:color w:val="000000"/>
          <w:sz w:val="24"/>
          <w:szCs w:val="24"/>
        </w:rPr>
        <w:t xml:space="preserve">  T</w:t>
      </w:r>
      <w:r w:rsidRPr="00660211">
        <w:rPr>
          <w:rFonts w:ascii="Times New Roman" w:hAnsi="Times New Roman"/>
          <w:color w:val="000000"/>
          <w:sz w:val="24"/>
          <w:szCs w:val="24"/>
        </w:rPr>
        <w:t xml:space="preserve">hese factors </w:t>
      </w:r>
      <w:r w:rsidR="002A0803" w:rsidRPr="00660211">
        <w:rPr>
          <w:rFonts w:ascii="Times New Roman" w:hAnsi="Times New Roman"/>
          <w:color w:val="000000"/>
          <w:sz w:val="24"/>
          <w:szCs w:val="24"/>
        </w:rPr>
        <w:t>demonstrate</w:t>
      </w:r>
      <w:r w:rsidRPr="00660211">
        <w:rPr>
          <w:rFonts w:ascii="Times New Roman" w:hAnsi="Times New Roman"/>
          <w:color w:val="000000"/>
          <w:sz w:val="24"/>
          <w:szCs w:val="24"/>
        </w:rPr>
        <w:t xml:space="preserve"> that </w:t>
      </w:r>
      <w:r w:rsidR="00E60E50" w:rsidRPr="00660211">
        <w:rPr>
          <w:rFonts w:ascii="Times New Roman" w:hAnsi="Times New Roman"/>
          <w:color w:val="000000"/>
          <w:sz w:val="24"/>
          <w:szCs w:val="24"/>
        </w:rPr>
        <w:t xml:space="preserve">Mr. Elgin’s and Mr. Gorman’s </w:t>
      </w:r>
      <w:r w:rsidRPr="00660211">
        <w:rPr>
          <w:rFonts w:ascii="Times New Roman" w:hAnsi="Times New Roman"/>
          <w:color w:val="000000"/>
          <w:sz w:val="24"/>
          <w:szCs w:val="24"/>
        </w:rPr>
        <w:t>ROE recommendation</w:t>
      </w:r>
      <w:r w:rsidR="00502933" w:rsidRPr="00660211">
        <w:rPr>
          <w:rFonts w:ascii="Times New Roman" w:hAnsi="Times New Roman"/>
          <w:color w:val="000000"/>
          <w:sz w:val="24"/>
          <w:szCs w:val="24"/>
        </w:rPr>
        <w:t>s are</w:t>
      </w:r>
      <w:r w:rsidRPr="00660211">
        <w:rPr>
          <w:rFonts w:ascii="Times New Roman" w:hAnsi="Times New Roman"/>
          <w:color w:val="000000"/>
          <w:sz w:val="24"/>
          <w:szCs w:val="24"/>
        </w:rPr>
        <w:t xml:space="preserve"> unreasonably low.</w:t>
      </w:r>
    </w:p>
    <w:p w:rsidR="00BB0D51" w:rsidRPr="00550A6B" w:rsidRDefault="00742879" w:rsidP="00550A6B">
      <w:pPr>
        <w:pStyle w:val="Heading1"/>
      </w:pPr>
      <w:bookmarkStart w:id="2" w:name="_Toc362869156"/>
      <w:r w:rsidRPr="00550A6B">
        <w:t>Economic and Market Conditions</w:t>
      </w:r>
      <w:bookmarkEnd w:id="2"/>
    </w:p>
    <w:p w:rsidR="00BB0D51" w:rsidRPr="00660211" w:rsidRDefault="007F31CD"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t xml:space="preserve">What are the economic factors that have led to </w:t>
      </w:r>
      <w:r w:rsidR="00854978">
        <w:rPr>
          <w:rFonts w:ascii="Times New Roman" w:hAnsi="Times New Roman"/>
          <w:b/>
          <w:color w:val="000000"/>
          <w:sz w:val="24"/>
          <w:szCs w:val="24"/>
        </w:rPr>
        <w:t xml:space="preserve">the </w:t>
      </w:r>
      <w:r w:rsidRPr="00660211">
        <w:rPr>
          <w:rFonts w:ascii="Times New Roman" w:hAnsi="Times New Roman"/>
          <w:b/>
          <w:color w:val="000000"/>
          <w:sz w:val="24"/>
          <w:szCs w:val="24"/>
        </w:rPr>
        <w:t>current rising interest rate environment?</w:t>
      </w:r>
    </w:p>
    <w:p w:rsidR="00BB0D51" w:rsidRPr="00660211" w:rsidRDefault="007F31CD"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t>T</w:t>
      </w:r>
      <w:r w:rsidR="00DF2AB4" w:rsidRPr="00660211">
        <w:rPr>
          <w:rFonts w:ascii="Times New Roman" w:hAnsi="Times New Roman"/>
          <w:color w:val="000000"/>
          <w:sz w:val="24"/>
          <w:szCs w:val="24"/>
        </w:rPr>
        <w:t xml:space="preserve">he U.S. economy is </w:t>
      </w:r>
      <w:r w:rsidRPr="00660211">
        <w:rPr>
          <w:rFonts w:ascii="Times New Roman" w:hAnsi="Times New Roman"/>
          <w:color w:val="000000"/>
          <w:sz w:val="24"/>
          <w:szCs w:val="24"/>
        </w:rPr>
        <w:t>finally on what appears to be a sustainabl</w:t>
      </w:r>
      <w:r w:rsidR="003D77FF" w:rsidRPr="00660211">
        <w:rPr>
          <w:rFonts w:ascii="Times New Roman" w:hAnsi="Times New Roman"/>
          <w:color w:val="000000"/>
          <w:sz w:val="24"/>
          <w:szCs w:val="24"/>
        </w:rPr>
        <w:t>y</w:t>
      </w:r>
      <w:r w:rsidRPr="00660211">
        <w:rPr>
          <w:rFonts w:ascii="Times New Roman" w:hAnsi="Times New Roman"/>
          <w:color w:val="000000"/>
          <w:sz w:val="24"/>
          <w:szCs w:val="24"/>
        </w:rPr>
        <w:t xml:space="preserve"> </w:t>
      </w:r>
      <w:r w:rsidR="00DF2AB4" w:rsidRPr="00660211">
        <w:rPr>
          <w:rFonts w:ascii="Times New Roman" w:hAnsi="Times New Roman"/>
          <w:color w:val="000000"/>
          <w:sz w:val="24"/>
          <w:szCs w:val="24"/>
        </w:rPr>
        <w:t>improving</w:t>
      </w:r>
      <w:r w:rsidRPr="00660211">
        <w:rPr>
          <w:rFonts w:ascii="Times New Roman" w:hAnsi="Times New Roman"/>
          <w:color w:val="000000"/>
          <w:sz w:val="24"/>
          <w:szCs w:val="24"/>
        </w:rPr>
        <w:t xml:space="preserve"> track.  </w:t>
      </w:r>
      <w:r w:rsidR="00424583" w:rsidRPr="00660211">
        <w:rPr>
          <w:rFonts w:ascii="Times New Roman" w:hAnsi="Times New Roman"/>
          <w:color w:val="000000"/>
          <w:sz w:val="24"/>
          <w:szCs w:val="24"/>
        </w:rPr>
        <w:t>The h</w:t>
      </w:r>
      <w:r w:rsidRPr="00660211">
        <w:rPr>
          <w:rFonts w:ascii="Times New Roman" w:hAnsi="Times New Roman"/>
          <w:color w:val="000000"/>
          <w:sz w:val="24"/>
          <w:szCs w:val="24"/>
        </w:rPr>
        <w:t xml:space="preserve">ousing markets in many parts of the country have </w:t>
      </w:r>
      <w:r w:rsidR="00A43694" w:rsidRPr="00660211">
        <w:rPr>
          <w:rFonts w:ascii="Times New Roman" w:hAnsi="Times New Roman"/>
          <w:color w:val="000000"/>
          <w:sz w:val="24"/>
          <w:szCs w:val="24"/>
        </w:rPr>
        <w:t xml:space="preserve">firmed up </w:t>
      </w:r>
      <w:r w:rsidRPr="00660211">
        <w:rPr>
          <w:rFonts w:ascii="Times New Roman" w:hAnsi="Times New Roman"/>
          <w:color w:val="000000"/>
          <w:sz w:val="24"/>
          <w:szCs w:val="24"/>
        </w:rPr>
        <w:t xml:space="preserve">and prices are </w:t>
      </w:r>
      <w:r w:rsidR="001C53BC" w:rsidRPr="00660211">
        <w:rPr>
          <w:rFonts w:ascii="Times New Roman" w:hAnsi="Times New Roman"/>
          <w:color w:val="000000"/>
          <w:sz w:val="24"/>
          <w:szCs w:val="24"/>
        </w:rPr>
        <w:t>rising</w:t>
      </w:r>
      <w:r w:rsidRPr="00660211">
        <w:rPr>
          <w:rFonts w:ascii="Times New Roman" w:hAnsi="Times New Roman"/>
          <w:color w:val="000000"/>
          <w:sz w:val="24"/>
          <w:szCs w:val="24"/>
        </w:rPr>
        <w:t xml:space="preserve">.  </w:t>
      </w:r>
      <w:r w:rsidR="003D77FF" w:rsidRPr="00660211">
        <w:rPr>
          <w:rFonts w:ascii="Times New Roman" w:hAnsi="Times New Roman"/>
          <w:color w:val="000000"/>
          <w:sz w:val="24"/>
          <w:szCs w:val="24"/>
        </w:rPr>
        <w:t xml:space="preserve">The stock market has largely recovered from its losses during the financial crisis and consumer confidence is improving.  </w:t>
      </w:r>
      <w:r w:rsidRPr="00660211">
        <w:rPr>
          <w:rFonts w:ascii="Times New Roman" w:hAnsi="Times New Roman"/>
          <w:color w:val="000000"/>
          <w:sz w:val="24"/>
          <w:szCs w:val="24"/>
        </w:rPr>
        <w:t xml:space="preserve">Although unemployment remains a concern, most </w:t>
      </w:r>
      <w:r w:rsidR="00DF2AB4" w:rsidRPr="00660211">
        <w:rPr>
          <w:rFonts w:ascii="Times New Roman" w:hAnsi="Times New Roman"/>
          <w:color w:val="000000"/>
          <w:sz w:val="24"/>
          <w:szCs w:val="24"/>
        </w:rPr>
        <w:t xml:space="preserve">economists </w:t>
      </w:r>
      <w:r w:rsidR="0011361D" w:rsidRPr="00660211">
        <w:rPr>
          <w:rFonts w:ascii="Times New Roman" w:hAnsi="Times New Roman"/>
          <w:color w:val="000000"/>
          <w:sz w:val="24"/>
          <w:szCs w:val="24"/>
        </w:rPr>
        <w:t xml:space="preserve">now </w:t>
      </w:r>
      <w:r w:rsidR="00DF2AB4" w:rsidRPr="00660211">
        <w:rPr>
          <w:rFonts w:ascii="Times New Roman" w:hAnsi="Times New Roman"/>
          <w:color w:val="000000"/>
          <w:sz w:val="24"/>
          <w:szCs w:val="24"/>
        </w:rPr>
        <w:t xml:space="preserve">expect </w:t>
      </w:r>
      <w:r w:rsidR="00424583" w:rsidRPr="00660211">
        <w:rPr>
          <w:rFonts w:ascii="Times New Roman" w:hAnsi="Times New Roman"/>
          <w:color w:val="000000"/>
          <w:sz w:val="24"/>
          <w:szCs w:val="24"/>
        </w:rPr>
        <w:t xml:space="preserve">the government’s </w:t>
      </w:r>
      <w:r w:rsidR="003D77FF" w:rsidRPr="00660211">
        <w:rPr>
          <w:rFonts w:ascii="Times New Roman" w:hAnsi="Times New Roman"/>
          <w:color w:val="000000"/>
          <w:sz w:val="24"/>
          <w:szCs w:val="24"/>
        </w:rPr>
        <w:t xml:space="preserve">monetary </w:t>
      </w:r>
      <w:r w:rsidR="0011361D" w:rsidRPr="00660211">
        <w:rPr>
          <w:rFonts w:ascii="Times New Roman" w:hAnsi="Times New Roman"/>
          <w:color w:val="000000"/>
          <w:sz w:val="24"/>
          <w:szCs w:val="24"/>
        </w:rPr>
        <w:t xml:space="preserve">policy to become less </w:t>
      </w:r>
      <w:r w:rsidR="003D77FF" w:rsidRPr="00660211">
        <w:rPr>
          <w:rFonts w:ascii="Times New Roman" w:hAnsi="Times New Roman"/>
          <w:color w:val="000000"/>
          <w:sz w:val="24"/>
          <w:szCs w:val="24"/>
        </w:rPr>
        <w:t>stimulati</w:t>
      </w:r>
      <w:r w:rsidR="0011361D" w:rsidRPr="00660211">
        <w:rPr>
          <w:rFonts w:ascii="Times New Roman" w:hAnsi="Times New Roman"/>
          <w:color w:val="000000"/>
          <w:sz w:val="24"/>
          <w:szCs w:val="24"/>
        </w:rPr>
        <w:t>ve</w:t>
      </w:r>
      <w:r w:rsidR="003D77FF" w:rsidRPr="00660211">
        <w:rPr>
          <w:rFonts w:ascii="Times New Roman" w:hAnsi="Times New Roman"/>
          <w:color w:val="000000"/>
          <w:sz w:val="24"/>
          <w:szCs w:val="24"/>
        </w:rPr>
        <w:t xml:space="preserve"> over the coming year.</w:t>
      </w:r>
      <w:r w:rsidR="00DF2AB4" w:rsidRPr="00660211">
        <w:rPr>
          <w:rFonts w:ascii="Times New Roman" w:hAnsi="Times New Roman"/>
          <w:color w:val="000000"/>
          <w:sz w:val="24"/>
          <w:szCs w:val="24"/>
        </w:rPr>
        <w:t xml:space="preserve">  </w:t>
      </w:r>
    </w:p>
    <w:p w:rsidR="00BB0D51" w:rsidRPr="00660211" w:rsidRDefault="00E87100" w:rsidP="00660211">
      <w:pPr>
        <w:pStyle w:val="FootnoteText"/>
        <w:spacing w:line="480" w:lineRule="auto"/>
        <w:ind w:firstLine="720"/>
        <w:rPr>
          <w:rFonts w:ascii="Times New Roman" w:hAnsi="Times New Roman"/>
          <w:color w:val="000000"/>
          <w:sz w:val="24"/>
          <w:szCs w:val="24"/>
        </w:rPr>
      </w:pPr>
      <w:r w:rsidRPr="00660211">
        <w:rPr>
          <w:rFonts w:ascii="Times New Roman" w:hAnsi="Times New Roman"/>
          <w:color w:val="000000"/>
          <w:sz w:val="24"/>
          <w:szCs w:val="24"/>
        </w:rPr>
        <w:t>In this regard, o</w:t>
      </w:r>
      <w:r w:rsidR="00DF2AB4" w:rsidRPr="00660211">
        <w:rPr>
          <w:rFonts w:ascii="Times New Roman" w:hAnsi="Times New Roman"/>
          <w:color w:val="000000"/>
          <w:sz w:val="24"/>
          <w:szCs w:val="24"/>
        </w:rPr>
        <w:t>n June 19</w:t>
      </w:r>
      <w:r w:rsidR="00925280" w:rsidRPr="00660211">
        <w:rPr>
          <w:rFonts w:ascii="Times New Roman" w:hAnsi="Times New Roman"/>
          <w:color w:val="000000"/>
          <w:sz w:val="24"/>
          <w:szCs w:val="24"/>
        </w:rPr>
        <w:t>, 2013</w:t>
      </w:r>
      <w:r w:rsidR="00DF2AB4" w:rsidRPr="00660211">
        <w:rPr>
          <w:rFonts w:ascii="Times New Roman" w:hAnsi="Times New Roman"/>
          <w:color w:val="000000"/>
          <w:sz w:val="24"/>
          <w:szCs w:val="24"/>
        </w:rPr>
        <w:t xml:space="preserve">, the </w:t>
      </w:r>
      <w:r w:rsidRPr="00660211">
        <w:rPr>
          <w:rFonts w:ascii="Times New Roman" w:hAnsi="Times New Roman"/>
          <w:color w:val="000000"/>
          <w:sz w:val="24"/>
          <w:szCs w:val="24"/>
        </w:rPr>
        <w:t xml:space="preserve">Federal Reserve System (Fed) Federal Open Market Committee </w:t>
      </w:r>
      <w:r w:rsidR="0009202F" w:rsidRPr="00660211">
        <w:rPr>
          <w:rFonts w:ascii="Times New Roman" w:hAnsi="Times New Roman"/>
          <w:color w:val="000000"/>
          <w:sz w:val="24"/>
          <w:szCs w:val="24"/>
        </w:rPr>
        <w:t>(FOMC)</w:t>
      </w:r>
      <w:r w:rsidR="00471B82" w:rsidRPr="00660211">
        <w:rPr>
          <w:rFonts w:ascii="Times New Roman" w:hAnsi="Times New Roman"/>
          <w:color w:val="000000"/>
          <w:sz w:val="24"/>
          <w:szCs w:val="24"/>
        </w:rPr>
        <w:t xml:space="preserve"> </w:t>
      </w:r>
      <w:r w:rsidR="00DF2AB4" w:rsidRPr="00660211">
        <w:rPr>
          <w:rFonts w:ascii="Times New Roman" w:hAnsi="Times New Roman"/>
          <w:color w:val="000000"/>
          <w:sz w:val="24"/>
          <w:szCs w:val="24"/>
        </w:rPr>
        <w:t>issued the following policy statement</w:t>
      </w:r>
      <w:r w:rsidRPr="00660211">
        <w:rPr>
          <w:rFonts w:ascii="Times New Roman" w:hAnsi="Times New Roman"/>
          <w:color w:val="000000"/>
          <w:sz w:val="24"/>
          <w:szCs w:val="24"/>
        </w:rPr>
        <w:t xml:space="preserve"> indicating somewhat improved economic conditions:</w:t>
      </w:r>
    </w:p>
    <w:p w:rsidR="00BB0D51" w:rsidRPr="00660211" w:rsidRDefault="00DF2AB4" w:rsidP="00660211">
      <w:pPr>
        <w:pStyle w:val="FootnoteText"/>
        <w:spacing w:after="240"/>
        <w:ind w:left="1440" w:right="720" w:firstLine="0"/>
        <w:rPr>
          <w:rFonts w:ascii="Times New Roman" w:hAnsi="Times New Roman"/>
          <w:color w:val="000000"/>
          <w:sz w:val="24"/>
          <w:szCs w:val="24"/>
        </w:rPr>
      </w:pPr>
      <w:r w:rsidRPr="00660211">
        <w:rPr>
          <w:rFonts w:ascii="Times New Roman" w:hAnsi="Times New Roman"/>
          <w:color w:val="000000"/>
          <w:sz w:val="24"/>
          <w:szCs w:val="24"/>
        </w:rPr>
        <w:t xml:space="preserve">Information received since the Federal Open Market Committee met in May suggests that economic activity has been expanding at a moderate pace. </w:t>
      </w:r>
      <w:r w:rsidR="008D4851" w:rsidRPr="00660211">
        <w:rPr>
          <w:rFonts w:ascii="Times New Roman" w:hAnsi="Times New Roman"/>
          <w:color w:val="000000"/>
          <w:sz w:val="24"/>
          <w:szCs w:val="24"/>
        </w:rPr>
        <w:t xml:space="preserve"> </w:t>
      </w:r>
      <w:r w:rsidRPr="00660211">
        <w:rPr>
          <w:rFonts w:ascii="Times New Roman" w:hAnsi="Times New Roman"/>
          <w:b/>
          <w:color w:val="000000"/>
          <w:sz w:val="24"/>
          <w:szCs w:val="24"/>
        </w:rPr>
        <w:t xml:space="preserve">Labor market conditions have shown further improvement in recent months, on balance, but the unemployment rate remains elevated. </w:t>
      </w:r>
      <w:r w:rsidR="008D4851" w:rsidRPr="00660211">
        <w:rPr>
          <w:rFonts w:ascii="Times New Roman" w:hAnsi="Times New Roman"/>
          <w:b/>
          <w:color w:val="000000"/>
          <w:sz w:val="24"/>
          <w:szCs w:val="24"/>
        </w:rPr>
        <w:t xml:space="preserve"> </w:t>
      </w:r>
      <w:r w:rsidRPr="00660211">
        <w:rPr>
          <w:rFonts w:ascii="Times New Roman" w:hAnsi="Times New Roman"/>
          <w:b/>
          <w:color w:val="000000"/>
          <w:sz w:val="24"/>
          <w:szCs w:val="24"/>
        </w:rPr>
        <w:t>Household spending and business fixed investment advanced, and the housing sector has strengthened further,</w:t>
      </w:r>
      <w:r w:rsidRPr="00660211">
        <w:rPr>
          <w:rFonts w:ascii="Times New Roman" w:hAnsi="Times New Roman"/>
          <w:color w:val="000000"/>
          <w:sz w:val="24"/>
          <w:szCs w:val="24"/>
        </w:rPr>
        <w:t xml:space="preserve"> but fiscal policy is restraining economic growth. </w:t>
      </w:r>
      <w:r w:rsidR="008D4851" w:rsidRPr="00660211">
        <w:rPr>
          <w:rFonts w:ascii="Times New Roman" w:hAnsi="Times New Roman"/>
          <w:color w:val="000000"/>
          <w:sz w:val="24"/>
          <w:szCs w:val="24"/>
        </w:rPr>
        <w:t xml:space="preserve"> </w:t>
      </w:r>
      <w:r w:rsidRPr="00660211">
        <w:rPr>
          <w:rFonts w:ascii="Times New Roman" w:hAnsi="Times New Roman"/>
          <w:color w:val="000000"/>
          <w:sz w:val="24"/>
          <w:szCs w:val="24"/>
        </w:rPr>
        <w:t>Partly reflecting transitory influences, inflation has been running below the Committee</w:t>
      </w:r>
      <w:r w:rsidR="00854978">
        <w:rPr>
          <w:rFonts w:ascii="Times New Roman" w:hAnsi="Times New Roman"/>
          <w:color w:val="000000"/>
          <w:sz w:val="24"/>
          <w:szCs w:val="24"/>
        </w:rPr>
        <w:t>’</w:t>
      </w:r>
      <w:r w:rsidRPr="00660211">
        <w:rPr>
          <w:rFonts w:ascii="Times New Roman" w:hAnsi="Times New Roman"/>
          <w:color w:val="000000"/>
          <w:sz w:val="24"/>
          <w:szCs w:val="24"/>
        </w:rPr>
        <w:t xml:space="preserve">s longer-run objective, but longer-term inflation expectations have remained stable. </w:t>
      </w:r>
    </w:p>
    <w:p w:rsidR="00BB0D51" w:rsidRPr="00660211" w:rsidRDefault="00DF2AB4" w:rsidP="00660211">
      <w:pPr>
        <w:pStyle w:val="FootnoteText"/>
        <w:spacing w:after="240"/>
        <w:ind w:left="1440" w:right="720" w:firstLine="0"/>
        <w:rPr>
          <w:rFonts w:ascii="Times New Roman" w:hAnsi="Times New Roman"/>
          <w:color w:val="000000"/>
          <w:sz w:val="24"/>
          <w:szCs w:val="24"/>
        </w:rPr>
      </w:pPr>
      <w:r w:rsidRPr="00660211">
        <w:rPr>
          <w:rFonts w:ascii="Times New Roman" w:hAnsi="Times New Roman"/>
          <w:color w:val="000000"/>
          <w:sz w:val="24"/>
          <w:szCs w:val="24"/>
        </w:rPr>
        <w:t xml:space="preserve">Consistent with its statutory mandate, the Committee seeks to foster maximum employment and price stability. </w:t>
      </w:r>
      <w:r w:rsidR="008D4851" w:rsidRPr="00660211">
        <w:rPr>
          <w:rFonts w:ascii="Times New Roman" w:hAnsi="Times New Roman"/>
          <w:color w:val="000000"/>
          <w:sz w:val="24"/>
          <w:szCs w:val="24"/>
        </w:rPr>
        <w:t xml:space="preserve"> </w:t>
      </w:r>
      <w:r w:rsidRPr="00660211">
        <w:rPr>
          <w:rFonts w:ascii="Times New Roman" w:hAnsi="Times New Roman"/>
          <w:color w:val="000000"/>
          <w:sz w:val="24"/>
          <w:szCs w:val="24"/>
        </w:rPr>
        <w:t xml:space="preserve">The Committee expects that, with appropriate policy accommodation, economic growth will proceed at a moderate pace and the unemployment rate will gradually decline toward levels the Committee judges consistent with its dual mandate. </w:t>
      </w:r>
      <w:r w:rsidR="008D4851" w:rsidRPr="00660211">
        <w:rPr>
          <w:rFonts w:ascii="Times New Roman" w:hAnsi="Times New Roman"/>
          <w:color w:val="000000"/>
          <w:sz w:val="24"/>
          <w:szCs w:val="24"/>
        </w:rPr>
        <w:t xml:space="preserve"> </w:t>
      </w:r>
      <w:r w:rsidRPr="00660211">
        <w:rPr>
          <w:rFonts w:ascii="Times New Roman" w:hAnsi="Times New Roman"/>
          <w:b/>
          <w:color w:val="000000"/>
          <w:sz w:val="24"/>
          <w:szCs w:val="24"/>
        </w:rPr>
        <w:t>The Committee sees the downside risks to the outlook for the economy and the labor market as having diminished since the fall.</w:t>
      </w:r>
      <w:r w:rsidRPr="00660211">
        <w:rPr>
          <w:rFonts w:ascii="Times New Roman" w:hAnsi="Times New Roman"/>
          <w:color w:val="000000"/>
          <w:sz w:val="24"/>
          <w:szCs w:val="24"/>
        </w:rPr>
        <w:t xml:space="preserve"> </w:t>
      </w:r>
      <w:r w:rsidR="008D4851" w:rsidRPr="00660211">
        <w:rPr>
          <w:rFonts w:ascii="Times New Roman" w:hAnsi="Times New Roman"/>
          <w:color w:val="000000"/>
          <w:sz w:val="24"/>
          <w:szCs w:val="24"/>
        </w:rPr>
        <w:t xml:space="preserve"> </w:t>
      </w:r>
      <w:r w:rsidRPr="00660211">
        <w:rPr>
          <w:rFonts w:ascii="Times New Roman" w:hAnsi="Times New Roman"/>
          <w:color w:val="000000"/>
          <w:sz w:val="24"/>
          <w:szCs w:val="24"/>
        </w:rPr>
        <w:t xml:space="preserve">The Committee also anticipates that inflation over the medium term likely will run at or below its 2 percent objective. </w:t>
      </w:r>
    </w:p>
    <w:p w:rsidR="00BB0D51" w:rsidRPr="00660211" w:rsidRDefault="00DF2AB4" w:rsidP="00660211">
      <w:pPr>
        <w:pStyle w:val="FootnoteText"/>
        <w:spacing w:after="240"/>
        <w:ind w:left="1440" w:right="720" w:firstLine="0"/>
        <w:rPr>
          <w:rFonts w:ascii="Times New Roman" w:hAnsi="Times New Roman"/>
          <w:color w:val="000000"/>
          <w:sz w:val="24"/>
          <w:szCs w:val="24"/>
        </w:rPr>
      </w:pPr>
      <w:r w:rsidRPr="00660211">
        <w:rPr>
          <w:rFonts w:ascii="Times New Roman" w:hAnsi="Times New Roman"/>
          <w:color w:val="000000"/>
          <w:sz w:val="24"/>
          <w:szCs w:val="24"/>
        </w:rPr>
        <w:t xml:space="preserve">The Committee will closely monitor incoming information on economic and financial developments in coming months. </w:t>
      </w:r>
      <w:r w:rsidR="008D4851" w:rsidRPr="00660211">
        <w:rPr>
          <w:rFonts w:ascii="Times New Roman" w:hAnsi="Times New Roman"/>
          <w:color w:val="000000"/>
          <w:sz w:val="24"/>
          <w:szCs w:val="24"/>
        </w:rPr>
        <w:t xml:space="preserve"> </w:t>
      </w:r>
      <w:r w:rsidRPr="00660211">
        <w:rPr>
          <w:rFonts w:ascii="Times New Roman" w:hAnsi="Times New Roman"/>
          <w:color w:val="000000"/>
          <w:sz w:val="24"/>
          <w:szCs w:val="24"/>
        </w:rPr>
        <w:t xml:space="preserve">The Committee will continue its purchases of Treasury and agency mortgage-backed securities, and employ its other policy tools as appropriate, until the outlook for the labor market has improved substantially in a context of price stability. </w:t>
      </w:r>
      <w:r w:rsidR="008D4851" w:rsidRPr="00660211">
        <w:rPr>
          <w:rFonts w:ascii="Times New Roman" w:hAnsi="Times New Roman"/>
          <w:color w:val="000000"/>
          <w:sz w:val="24"/>
          <w:szCs w:val="24"/>
        </w:rPr>
        <w:t xml:space="preserve"> </w:t>
      </w:r>
      <w:r w:rsidRPr="00660211">
        <w:rPr>
          <w:rFonts w:ascii="Times New Roman" w:hAnsi="Times New Roman"/>
          <w:color w:val="000000"/>
          <w:sz w:val="24"/>
          <w:szCs w:val="24"/>
        </w:rPr>
        <w:t xml:space="preserve">The Committee is prepared to increase or reduce the pace of its purchases to maintain appropriate policy accommodation as the outlook for the labor market or inflation changes. </w:t>
      </w:r>
      <w:r w:rsidR="008D4851" w:rsidRPr="00660211">
        <w:rPr>
          <w:rFonts w:ascii="Times New Roman" w:hAnsi="Times New Roman"/>
          <w:color w:val="000000"/>
          <w:sz w:val="24"/>
          <w:szCs w:val="24"/>
        </w:rPr>
        <w:t xml:space="preserve"> </w:t>
      </w:r>
      <w:r w:rsidRPr="00660211">
        <w:rPr>
          <w:rFonts w:ascii="Times New Roman" w:hAnsi="Times New Roman"/>
          <w:color w:val="000000"/>
          <w:sz w:val="24"/>
          <w:szCs w:val="24"/>
        </w:rPr>
        <w:t>In determining the size, pace, and composition of its asset purchases, the Committee will continue to take appropriate account of the likely efficacy and costs of such purchases as well as the extent of progress toward its economic objectives.</w:t>
      </w:r>
      <w:r w:rsidR="00660211" w:rsidRPr="005C3E56">
        <w:rPr>
          <w:rFonts w:ascii="Times New Roman" w:hAnsi="Times New Roman"/>
          <w:sz w:val="24"/>
          <w:szCs w:val="24"/>
          <w:vertAlign w:val="superscript"/>
        </w:rPr>
        <w:footnoteReference w:id="3"/>
      </w:r>
    </w:p>
    <w:p w:rsidR="00BB0D51" w:rsidRPr="00660211" w:rsidRDefault="00412EC2" w:rsidP="00660211">
      <w:pPr>
        <w:pStyle w:val="FootnoteText"/>
        <w:spacing w:line="480" w:lineRule="auto"/>
        <w:ind w:right="720"/>
        <w:rPr>
          <w:rFonts w:ascii="Times New Roman" w:hAnsi="Times New Roman"/>
          <w:color w:val="000000"/>
          <w:sz w:val="24"/>
          <w:szCs w:val="24"/>
        </w:rPr>
      </w:pPr>
      <w:r w:rsidRPr="00660211">
        <w:rPr>
          <w:rFonts w:ascii="Times New Roman" w:hAnsi="Times New Roman"/>
          <w:color w:val="000000"/>
          <w:sz w:val="24"/>
          <w:szCs w:val="24"/>
        </w:rPr>
        <w:tab/>
      </w:r>
      <w:r w:rsidR="007E5F05" w:rsidRPr="00660211">
        <w:rPr>
          <w:rFonts w:ascii="Times New Roman" w:hAnsi="Times New Roman"/>
          <w:color w:val="000000"/>
          <w:sz w:val="24"/>
          <w:szCs w:val="24"/>
        </w:rPr>
        <w:t>I</w:t>
      </w:r>
      <w:r w:rsidRPr="00660211">
        <w:rPr>
          <w:rFonts w:ascii="Times New Roman" w:hAnsi="Times New Roman"/>
          <w:color w:val="000000"/>
          <w:sz w:val="24"/>
          <w:szCs w:val="24"/>
        </w:rPr>
        <w:t>n the highlighted portions of its June 19</w:t>
      </w:r>
      <w:r w:rsidR="001E1FF5" w:rsidRPr="00660211">
        <w:rPr>
          <w:rFonts w:ascii="Times New Roman" w:hAnsi="Times New Roman"/>
          <w:color w:val="000000"/>
          <w:sz w:val="24"/>
          <w:szCs w:val="24"/>
        </w:rPr>
        <w:t>, 2013</w:t>
      </w:r>
      <w:r w:rsidRPr="00660211">
        <w:rPr>
          <w:rFonts w:ascii="Times New Roman" w:hAnsi="Times New Roman"/>
          <w:color w:val="000000"/>
          <w:sz w:val="24"/>
          <w:szCs w:val="24"/>
        </w:rPr>
        <w:t xml:space="preserve"> comments, the FOMC </w:t>
      </w:r>
      <w:r w:rsidR="00184F52" w:rsidRPr="00660211">
        <w:rPr>
          <w:rFonts w:ascii="Times New Roman" w:hAnsi="Times New Roman"/>
          <w:color w:val="000000"/>
          <w:sz w:val="24"/>
          <w:szCs w:val="24"/>
        </w:rPr>
        <w:t>noted</w:t>
      </w:r>
      <w:r w:rsidRPr="00660211">
        <w:rPr>
          <w:rFonts w:ascii="Times New Roman" w:hAnsi="Times New Roman"/>
          <w:color w:val="000000"/>
          <w:sz w:val="24"/>
          <w:szCs w:val="24"/>
        </w:rPr>
        <w:t xml:space="preserve"> the e</w:t>
      </w:r>
      <w:r w:rsidR="008D4851" w:rsidRPr="00660211">
        <w:rPr>
          <w:rFonts w:ascii="Times New Roman" w:hAnsi="Times New Roman"/>
          <w:color w:val="000000"/>
          <w:sz w:val="24"/>
          <w:szCs w:val="24"/>
        </w:rPr>
        <w:t>conomy’s improving conditions.</w:t>
      </w:r>
    </w:p>
    <w:p w:rsidR="00BB0D51" w:rsidRPr="00660211" w:rsidRDefault="007E5F05" w:rsidP="00660211">
      <w:pPr>
        <w:pStyle w:val="FootnoteText"/>
        <w:spacing w:line="480" w:lineRule="auto"/>
        <w:ind w:right="720"/>
        <w:jc w:val="both"/>
        <w:rPr>
          <w:rFonts w:ascii="Times New Roman" w:hAnsi="Times New Roman"/>
          <w:b/>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t>How did the capital markets respond to the FOMC announcement?</w:t>
      </w:r>
    </w:p>
    <w:p w:rsidR="00BB0D51" w:rsidRPr="00660211" w:rsidRDefault="007E5F05" w:rsidP="00660211">
      <w:pPr>
        <w:pStyle w:val="FootnoteText"/>
        <w:spacing w:line="480" w:lineRule="auto"/>
        <w:ind w:right="720"/>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r>
      <w:r w:rsidR="00412EC2" w:rsidRPr="00660211">
        <w:rPr>
          <w:rFonts w:ascii="Times New Roman" w:hAnsi="Times New Roman"/>
          <w:color w:val="000000"/>
          <w:sz w:val="24"/>
          <w:szCs w:val="24"/>
        </w:rPr>
        <w:t>Th</w:t>
      </w:r>
      <w:r w:rsidRPr="00660211">
        <w:rPr>
          <w:rFonts w:ascii="Times New Roman" w:hAnsi="Times New Roman"/>
          <w:color w:val="000000"/>
          <w:sz w:val="24"/>
          <w:szCs w:val="24"/>
        </w:rPr>
        <w:t>e FOMC’s</w:t>
      </w:r>
      <w:r w:rsidR="00412EC2" w:rsidRPr="00660211">
        <w:rPr>
          <w:rFonts w:ascii="Times New Roman" w:hAnsi="Times New Roman"/>
          <w:color w:val="000000"/>
          <w:sz w:val="24"/>
          <w:szCs w:val="24"/>
        </w:rPr>
        <w:t xml:space="preserve"> slightly changed stance</w:t>
      </w:r>
      <w:r w:rsidR="009373C6" w:rsidRPr="00660211">
        <w:rPr>
          <w:rFonts w:ascii="Times New Roman" w:hAnsi="Times New Roman"/>
          <w:color w:val="000000"/>
          <w:sz w:val="24"/>
          <w:szCs w:val="24"/>
        </w:rPr>
        <w:t xml:space="preserve"> led to expectations for less accommodative monetary policy, which in turn </w:t>
      </w:r>
      <w:r w:rsidRPr="00660211">
        <w:rPr>
          <w:rFonts w:ascii="Times New Roman" w:hAnsi="Times New Roman"/>
          <w:color w:val="000000"/>
          <w:sz w:val="24"/>
          <w:szCs w:val="24"/>
        </w:rPr>
        <w:t>produced</w:t>
      </w:r>
      <w:r w:rsidR="009373C6" w:rsidRPr="00660211">
        <w:rPr>
          <w:rFonts w:ascii="Times New Roman" w:hAnsi="Times New Roman"/>
          <w:color w:val="000000"/>
          <w:sz w:val="24"/>
          <w:szCs w:val="24"/>
        </w:rPr>
        <w:t xml:space="preserve"> </w:t>
      </w:r>
      <w:r w:rsidR="00184F52" w:rsidRPr="00660211">
        <w:rPr>
          <w:rFonts w:ascii="Times New Roman" w:hAnsi="Times New Roman"/>
          <w:color w:val="000000"/>
          <w:sz w:val="24"/>
          <w:szCs w:val="24"/>
        </w:rPr>
        <w:t xml:space="preserve">a </w:t>
      </w:r>
      <w:r w:rsidR="00471B82" w:rsidRPr="00660211">
        <w:rPr>
          <w:rFonts w:ascii="Times New Roman" w:hAnsi="Times New Roman"/>
          <w:color w:val="000000"/>
          <w:sz w:val="24"/>
          <w:szCs w:val="24"/>
        </w:rPr>
        <w:t xml:space="preserve">significant </w:t>
      </w:r>
      <w:r w:rsidR="009373C6" w:rsidRPr="00660211">
        <w:rPr>
          <w:rFonts w:ascii="Times New Roman" w:hAnsi="Times New Roman"/>
          <w:color w:val="000000"/>
          <w:sz w:val="24"/>
          <w:szCs w:val="24"/>
        </w:rPr>
        <w:t>increase in long-term interest rates</w:t>
      </w:r>
      <w:r w:rsidRPr="00660211">
        <w:rPr>
          <w:rFonts w:ascii="Times New Roman" w:hAnsi="Times New Roman"/>
          <w:color w:val="000000"/>
          <w:sz w:val="24"/>
          <w:szCs w:val="24"/>
        </w:rPr>
        <w:t xml:space="preserve"> and a sharp drop in utility stock prices</w:t>
      </w:r>
      <w:r w:rsidR="0072002A" w:rsidRPr="00660211">
        <w:rPr>
          <w:rFonts w:ascii="Times New Roman" w:hAnsi="Times New Roman"/>
          <w:color w:val="000000"/>
          <w:sz w:val="24"/>
          <w:szCs w:val="24"/>
        </w:rPr>
        <w:t xml:space="preserve"> in May and June 2013</w:t>
      </w:r>
      <w:r w:rsidR="009373C6" w:rsidRPr="00660211">
        <w:rPr>
          <w:rFonts w:ascii="Times New Roman" w:hAnsi="Times New Roman"/>
          <w:color w:val="000000"/>
          <w:sz w:val="24"/>
          <w:szCs w:val="24"/>
        </w:rPr>
        <w:t xml:space="preserve">. </w:t>
      </w:r>
    </w:p>
    <w:p w:rsidR="00BB0D51" w:rsidRPr="00660211" w:rsidRDefault="004F7E1F"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00D252C6" w:rsidRPr="00660211">
        <w:rPr>
          <w:rFonts w:ascii="Times New Roman" w:hAnsi="Times New Roman"/>
          <w:b/>
          <w:color w:val="000000"/>
          <w:sz w:val="24"/>
          <w:szCs w:val="24"/>
        </w:rPr>
        <w:t>.</w:t>
      </w:r>
      <w:r w:rsidRPr="00660211">
        <w:rPr>
          <w:rFonts w:ascii="Times New Roman" w:hAnsi="Times New Roman"/>
          <w:b/>
          <w:color w:val="000000"/>
          <w:sz w:val="24"/>
          <w:szCs w:val="24"/>
        </w:rPr>
        <w:tab/>
        <w:t xml:space="preserve">In your </w:t>
      </w:r>
      <w:r w:rsidR="003C18EA" w:rsidRPr="00660211">
        <w:rPr>
          <w:rFonts w:ascii="Times New Roman" w:hAnsi="Times New Roman"/>
          <w:b/>
          <w:color w:val="000000"/>
          <w:sz w:val="24"/>
          <w:szCs w:val="24"/>
        </w:rPr>
        <w:t>d</w:t>
      </w:r>
      <w:r w:rsidR="003B4E27" w:rsidRPr="00660211">
        <w:rPr>
          <w:rFonts w:ascii="Times New Roman" w:hAnsi="Times New Roman"/>
          <w:b/>
          <w:color w:val="000000"/>
          <w:sz w:val="24"/>
          <w:szCs w:val="24"/>
        </w:rPr>
        <w:t xml:space="preserve">irect </w:t>
      </w:r>
      <w:r w:rsidR="003C18EA" w:rsidRPr="00660211">
        <w:rPr>
          <w:rFonts w:ascii="Times New Roman" w:hAnsi="Times New Roman"/>
          <w:b/>
          <w:color w:val="000000"/>
          <w:sz w:val="24"/>
          <w:szCs w:val="24"/>
        </w:rPr>
        <w:t>t</w:t>
      </w:r>
      <w:r w:rsidRPr="00660211">
        <w:rPr>
          <w:rFonts w:ascii="Times New Roman" w:hAnsi="Times New Roman"/>
          <w:b/>
          <w:color w:val="000000"/>
          <w:sz w:val="24"/>
          <w:szCs w:val="24"/>
        </w:rPr>
        <w:t xml:space="preserve">estimony, you provided data </w:t>
      </w:r>
      <w:r w:rsidR="002843F4" w:rsidRPr="00660211">
        <w:rPr>
          <w:rFonts w:ascii="Times New Roman" w:hAnsi="Times New Roman"/>
          <w:b/>
          <w:color w:val="000000"/>
          <w:sz w:val="24"/>
          <w:szCs w:val="24"/>
        </w:rPr>
        <w:t>to</w:t>
      </w:r>
      <w:r w:rsidRPr="00660211">
        <w:rPr>
          <w:rFonts w:ascii="Times New Roman" w:hAnsi="Times New Roman"/>
          <w:b/>
          <w:color w:val="000000"/>
          <w:sz w:val="24"/>
          <w:szCs w:val="24"/>
        </w:rPr>
        <w:t xml:space="preserve"> illustrate interest rate trends and the spreads between U.S. Treasury bond and </w:t>
      </w:r>
      <w:r w:rsidR="003B4E27" w:rsidRPr="00660211">
        <w:rPr>
          <w:rFonts w:ascii="Times New Roman" w:hAnsi="Times New Roman"/>
          <w:b/>
          <w:color w:val="000000"/>
          <w:sz w:val="24"/>
          <w:szCs w:val="24"/>
        </w:rPr>
        <w:t>single-A</w:t>
      </w:r>
      <w:r w:rsidRPr="00660211">
        <w:rPr>
          <w:rFonts w:ascii="Times New Roman" w:hAnsi="Times New Roman"/>
          <w:b/>
          <w:color w:val="000000"/>
          <w:sz w:val="24"/>
          <w:szCs w:val="24"/>
        </w:rPr>
        <w:t xml:space="preserve"> rated utility bonds.  Have you updated that information?</w:t>
      </w:r>
    </w:p>
    <w:p w:rsidR="00BB0D51" w:rsidRPr="00660211" w:rsidRDefault="004F7E1F"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00734B3E" w:rsidRPr="00660211">
        <w:rPr>
          <w:rFonts w:ascii="Times New Roman" w:hAnsi="Times New Roman"/>
          <w:color w:val="000000"/>
          <w:sz w:val="24"/>
          <w:szCs w:val="24"/>
        </w:rPr>
        <w:t>.</w:t>
      </w:r>
      <w:r w:rsidRPr="00660211">
        <w:rPr>
          <w:rFonts w:ascii="Times New Roman" w:hAnsi="Times New Roman"/>
          <w:color w:val="000000"/>
          <w:sz w:val="24"/>
          <w:szCs w:val="24"/>
        </w:rPr>
        <w:tab/>
        <w:t xml:space="preserve">Yes.  </w:t>
      </w:r>
      <w:r w:rsidR="002843F4" w:rsidRPr="00660211">
        <w:rPr>
          <w:rFonts w:ascii="Times New Roman" w:hAnsi="Times New Roman"/>
          <w:color w:val="000000"/>
          <w:sz w:val="24"/>
          <w:szCs w:val="24"/>
        </w:rPr>
        <w:t xml:space="preserve">I provide that data </w:t>
      </w:r>
      <w:r w:rsidR="00AB1060" w:rsidRPr="00660211">
        <w:rPr>
          <w:rFonts w:ascii="Times New Roman" w:hAnsi="Times New Roman"/>
          <w:color w:val="000000"/>
          <w:sz w:val="24"/>
          <w:szCs w:val="24"/>
        </w:rPr>
        <w:t>o</w:t>
      </w:r>
      <w:r w:rsidR="002843F4" w:rsidRPr="00660211">
        <w:rPr>
          <w:rFonts w:ascii="Times New Roman" w:hAnsi="Times New Roman"/>
          <w:color w:val="000000"/>
          <w:sz w:val="24"/>
          <w:szCs w:val="24"/>
        </w:rPr>
        <w:t>n</w:t>
      </w:r>
      <w:r w:rsidR="00D252C6" w:rsidRPr="00660211">
        <w:rPr>
          <w:rFonts w:ascii="Times New Roman" w:hAnsi="Times New Roman"/>
          <w:color w:val="000000"/>
          <w:sz w:val="24"/>
          <w:szCs w:val="24"/>
        </w:rPr>
        <w:t xml:space="preserve"> </w:t>
      </w:r>
      <w:r w:rsidR="00AB1060" w:rsidRPr="00660211">
        <w:rPr>
          <w:rFonts w:ascii="Times New Roman" w:hAnsi="Times New Roman"/>
          <w:color w:val="000000"/>
          <w:sz w:val="24"/>
          <w:szCs w:val="24"/>
        </w:rPr>
        <w:t xml:space="preserve">page 1 of </w:t>
      </w:r>
      <w:r w:rsidR="00D252C6" w:rsidRPr="00660211">
        <w:rPr>
          <w:rFonts w:ascii="Times New Roman" w:hAnsi="Times New Roman"/>
          <w:color w:val="000000"/>
          <w:sz w:val="24"/>
          <w:szCs w:val="24"/>
        </w:rPr>
        <w:t xml:space="preserve">Exhibit </w:t>
      </w:r>
      <w:r w:rsidR="00C94F38" w:rsidRPr="00660211">
        <w:rPr>
          <w:rFonts w:ascii="Times New Roman" w:hAnsi="Times New Roman"/>
          <w:color w:val="000000"/>
          <w:sz w:val="24"/>
          <w:szCs w:val="24"/>
        </w:rPr>
        <w:t>No.___(</w:t>
      </w:r>
      <w:r w:rsidR="00D252C6" w:rsidRPr="00660211">
        <w:rPr>
          <w:rFonts w:ascii="Times New Roman" w:hAnsi="Times New Roman"/>
          <w:color w:val="000000"/>
          <w:sz w:val="24"/>
          <w:szCs w:val="24"/>
        </w:rPr>
        <w:t>SCH-</w:t>
      </w:r>
      <w:r w:rsidR="00A43694" w:rsidRPr="00660211">
        <w:rPr>
          <w:rFonts w:ascii="Times New Roman" w:hAnsi="Times New Roman"/>
          <w:color w:val="000000"/>
          <w:sz w:val="24"/>
          <w:szCs w:val="24"/>
        </w:rPr>
        <w:t>12</w:t>
      </w:r>
      <w:r w:rsidR="00C94F38" w:rsidRPr="00660211">
        <w:rPr>
          <w:rFonts w:ascii="Times New Roman" w:hAnsi="Times New Roman"/>
          <w:color w:val="000000"/>
          <w:sz w:val="24"/>
          <w:szCs w:val="24"/>
        </w:rPr>
        <w:t>)</w:t>
      </w:r>
      <w:r w:rsidR="002843F4" w:rsidRPr="00660211">
        <w:rPr>
          <w:rFonts w:ascii="Times New Roman" w:hAnsi="Times New Roman"/>
          <w:color w:val="000000"/>
          <w:sz w:val="24"/>
          <w:szCs w:val="24"/>
        </w:rPr>
        <w:t>.</w:t>
      </w:r>
      <w:r w:rsidRPr="00660211">
        <w:rPr>
          <w:rFonts w:ascii="Times New Roman" w:hAnsi="Times New Roman"/>
          <w:color w:val="000000"/>
          <w:sz w:val="24"/>
          <w:szCs w:val="24"/>
        </w:rPr>
        <w:t xml:space="preserve">  Table 1 below</w:t>
      </w:r>
      <w:r w:rsidR="002843F4" w:rsidRPr="00660211">
        <w:rPr>
          <w:rFonts w:ascii="Times New Roman" w:hAnsi="Times New Roman"/>
          <w:color w:val="000000"/>
          <w:sz w:val="24"/>
          <w:szCs w:val="24"/>
        </w:rPr>
        <w:t xml:space="preserve"> summarizes the results</w:t>
      </w:r>
      <w:r w:rsidRPr="00660211">
        <w:rPr>
          <w:rFonts w:ascii="Times New Roman" w:hAnsi="Times New Roman"/>
          <w:color w:val="000000"/>
          <w:sz w:val="24"/>
          <w:szCs w:val="24"/>
        </w:rPr>
        <w:t>.</w:t>
      </w:r>
    </w:p>
    <w:p w:rsidR="00BB0D51" w:rsidRDefault="00660211" w:rsidP="00660211">
      <w:pPr>
        <w:pStyle w:val="FootnoteText"/>
        <w:suppressLineNumbers/>
        <w:ind w:left="-1080" w:firstLine="0"/>
        <w:jc w:val="center"/>
        <w:rPr>
          <w:rFonts w:ascii="Times New Roman" w:hAnsi="Times New Roman"/>
          <w:color w:val="000000"/>
          <w:sz w:val="24"/>
          <w:szCs w:val="24"/>
        </w:rPr>
      </w:pPr>
      <w:r w:rsidRPr="00660211">
        <w:rPr>
          <w:rFonts w:ascii="Times New Roman" w:hAnsi="Times New Roman"/>
          <w:noProof/>
          <w:color w:val="000000"/>
          <w:sz w:val="24"/>
          <w:szCs w:val="24"/>
        </w:rPr>
        <w:drawing>
          <wp:inline distT="0" distB="0" distL="0" distR="0">
            <wp:extent cx="3338583" cy="64688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341479" cy="6474500"/>
                    </a:xfrm>
                    <a:prstGeom prst="rect">
                      <a:avLst/>
                    </a:prstGeom>
                    <a:noFill/>
                    <a:ln w="9525">
                      <a:noFill/>
                      <a:miter lim="800000"/>
                      <a:headEnd/>
                      <a:tailEnd/>
                    </a:ln>
                  </pic:spPr>
                </pic:pic>
              </a:graphicData>
            </a:graphic>
          </wp:inline>
        </w:drawing>
      </w:r>
    </w:p>
    <w:p w:rsidR="00BB0D51" w:rsidRPr="00660211" w:rsidRDefault="004F7E1F" w:rsidP="00660211">
      <w:pPr>
        <w:pStyle w:val="FootnoteText"/>
        <w:spacing w:line="480" w:lineRule="auto"/>
        <w:rPr>
          <w:rFonts w:ascii="Times New Roman" w:hAnsi="Times New Roman"/>
          <w:sz w:val="24"/>
          <w:szCs w:val="24"/>
        </w:rPr>
      </w:pPr>
      <w:r w:rsidRPr="00660211">
        <w:rPr>
          <w:rFonts w:ascii="Times New Roman" w:hAnsi="Times New Roman"/>
          <w:color w:val="000000"/>
          <w:sz w:val="24"/>
          <w:szCs w:val="24"/>
        </w:rPr>
        <w:tab/>
      </w:r>
      <w:r w:rsidR="00C07959" w:rsidRPr="00660211">
        <w:rPr>
          <w:rFonts w:ascii="Times New Roman" w:hAnsi="Times New Roman"/>
          <w:sz w:val="24"/>
          <w:szCs w:val="24"/>
        </w:rPr>
        <w:t xml:space="preserve">The data in Table 1 </w:t>
      </w:r>
      <w:r w:rsidR="00416730" w:rsidRPr="00660211">
        <w:rPr>
          <w:rFonts w:ascii="Times New Roman" w:hAnsi="Times New Roman"/>
          <w:sz w:val="24"/>
          <w:szCs w:val="24"/>
        </w:rPr>
        <w:t xml:space="preserve">partially </w:t>
      </w:r>
      <w:r w:rsidR="00650C4A" w:rsidRPr="00660211">
        <w:rPr>
          <w:rFonts w:ascii="Times New Roman" w:hAnsi="Times New Roman"/>
          <w:sz w:val="24"/>
          <w:szCs w:val="24"/>
        </w:rPr>
        <w:t xml:space="preserve">reflect the </w:t>
      </w:r>
      <w:r w:rsidR="00A43694" w:rsidRPr="00660211">
        <w:rPr>
          <w:rFonts w:ascii="Times New Roman" w:hAnsi="Times New Roman"/>
          <w:sz w:val="24"/>
          <w:szCs w:val="24"/>
        </w:rPr>
        <w:t>increase</w:t>
      </w:r>
      <w:r w:rsidR="00416730" w:rsidRPr="00660211">
        <w:rPr>
          <w:rFonts w:ascii="Times New Roman" w:hAnsi="Times New Roman"/>
          <w:sz w:val="24"/>
          <w:szCs w:val="24"/>
        </w:rPr>
        <w:t xml:space="preserve"> in interest rates that </w:t>
      </w:r>
      <w:r w:rsidR="00C70351" w:rsidRPr="00660211">
        <w:rPr>
          <w:rFonts w:ascii="Times New Roman" w:hAnsi="Times New Roman"/>
          <w:sz w:val="24"/>
          <w:szCs w:val="24"/>
        </w:rPr>
        <w:t xml:space="preserve">has </w:t>
      </w:r>
      <w:r w:rsidR="00416730" w:rsidRPr="00660211">
        <w:rPr>
          <w:rFonts w:ascii="Times New Roman" w:hAnsi="Times New Roman"/>
          <w:sz w:val="24"/>
          <w:szCs w:val="24"/>
        </w:rPr>
        <w:t xml:space="preserve">occurred </w:t>
      </w:r>
      <w:r w:rsidR="00C70351" w:rsidRPr="00660211">
        <w:rPr>
          <w:rFonts w:ascii="Times New Roman" w:hAnsi="Times New Roman"/>
          <w:sz w:val="24"/>
          <w:szCs w:val="24"/>
        </w:rPr>
        <w:t>since</w:t>
      </w:r>
      <w:r w:rsidR="00416730" w:rsidRPr="00660211">
        <w:rPr>
          <w:rFonts w:ascii="Times New Roman" w:hAnsi="Times New Roman"/>
          <w:sz w:val="24"/>
          <w:szCs w:val="24"/>
        </w:rPr>
        <w:t xml:space="preserve"> the June 19</w:t>
      </w:r>
      <w:r w:rsidR="00925280" w:rsidRPr="00660211">
        <w:rPr>
          <w:rFonts w:ascii="Times New Roman" w:hAnsi="Times New Roman"/>
          <w:sz w:val="24"/>
          <w:szCs w:val="24"/>
        </w:rPr>
        <w:t>, 2013</w:t>
      </w:r>
      <w:r w:rsidR="00416730" w:rsidRPr="00660211">
        <w:rPr>
          <w:rFonts w:ascii="Times New Roman" w:hAnsi="Times New Roman"/>
          <w:sz w:val="24"/>
          <w:szCs w:val="24"/>
        </w:rPr>
        <w:t xml:space="preserve"> FOMC announcement, with </w:t>
      </w:r>
      <w:r w:rsidR="00A300CC" w:rsidRPr="00660211">
        <w:rPr>
          <w:rFonts w:ascii="Times New Roman" w:hAnsi="Times New Roman"/>
          <w:sz w:val="24"/>
          <w:szCs w:val="24"/>
        </w:rPr>
        <w:t xml:space="preserve">the </w:t>
      </w:r>
      <w:r w:rsidR="00416730" w:rsidRPr="00660211">
        <w:rPr>
          <w:rFonts w:ascii="Times New Roman" w:hAnsi="Times New Roman"/>
          <w:sz w:val="24"/>
          <w:szCs w:val="24"/>
        </w:rPr>
        <w:t xml:space="preserve">June 2013 average </w:t>
      </w:r>
      <w:r w:rsidR="00A300CC" w:rsidRPr="00660211">
        <w:rPr>
          <w:rFonts w:ascii="Times New Roman" w:hAnsi="Times New Roman"/>
          <w:sz w:val="24"/>
          <w:szCs w:val="24"/>
        </w:rPr>
        <w:t xml:space="preserve">rates </w:t>
      </w:r>
      <w:r w:rsidR="00416730" w:rsidRPr="00660211">
        <w:rPr>
          <w:rFonts w:ascii="Times New Roman" w:hAnsi="Times New Roman"/>
          <w:sz w:val="24"/>
          <w:szCs w:val="24"/>
        </w:rPr>
        <w:t>for both long-term utilit</w:t>
      </w:r>
      <w:r w:rsidR="00C70351" w:rsidRPr="00660211">
        <w:rPr>
          <w:rFonts w:ascii="Times New Roman" w:hAnsi="Times New Roman"/>
          <w:sz w:val="24"/>
          <w:szCs w:val="24"/>
        </w:rPr>
        <w:t>y</w:t>
      </w:r>
      <w:r w:rsidR="00416730" w:rsidRPr="00660211">
        <w:rPr>
          <w:rFonts w:ascii="Times New Roman" w:hAnsi="Times New Roman"/>
          <w:sz w:val="24"/>
          <w:szCs w:val="24"/>
        </w:rPr>
        <w:t xml:space="preserve"> </w:t>
      </w:r>
      <w:r w:rsidR="00A300CC" w:rsidRPr="00660211">
        <w:rPr>
          <w:rFonts w:ascii="Times New Roman" w:hAnsi="Times New Roman"/>
          <w:sz w:val="24"/>
          <w:szCs w:val="24"/>
        </w:rPr>
        <w:t xml:space="preserve">bonds </w:t>
      </w:r>
      <w:r w:rsidR="00416730" w:rsidRPr="00660211">
        <w:rPr>
          <w:rFonts w:ascii="Times New Roman" w:hAnsi="Times New Roman"/>
          <w:sz w:val="24"/>
          <w:szCs w:val="24"/>
        </w:rPr>
        <w:t xml:space="preserve">and </w:t>
      </w:r>
      <w:r w:rsidR="00A300CC" w:rsidRPr="00660211">
        <w:rPr>
          <w:rFonts w:ascii="Times New Roman" w:hAnsi="Times New Roman"/>
          <w:sz w:val="24"/>
          <w:szCs w:val="24"/>
        </w:rPr>
        <w:t xml:space="preserve">the </w:t>
      </w:r>
      <w:r w:rsidR="00416730" w:rsidRPr="00660211">
        <w:rPr>
          <w:rFonts w:ascii="Times New Roman" w:hAnsi="Times New Roman"/>
          <w:sz w:val="24"/>
          <w:szCs w:val="24"/>
        </w:rPr>
        <w:t xml:space="preserve">30-year Treasury </w:t>
      </w:r>
      <w:r w:rsidR="00C70351" w:rsidRPr="00660211">
        <w:rPr>
          <w:rFonts w:ascii="Times New Roman" w:hAnsi="Times New Roman"/>
          <w:sz w:val="24"/>
          <w:szCs w:val="24"/>
        </w:rPr>
        <w:t xml:space="preserve">bond </w:t>
      </w:r>
      <w:r w:rsidR="00416730" w:rsidRPr="00660211">
        <w:rPr>
          <w:rFonts w:ascii="Times New Roman" w:hAnsi="Times New Roman"/>
          <w:sz w:val="24"/>
          <w:szCs w:val="24"/>
        </w:rPr>
        <w:t>at the highest</w:t>
      </w:r>
      <w:r w:rsidR="00C70351" w:rsidRPr="00660211">
        <w:rPr>
          <w:rFonts w:ascii="Times New Roman" w:hAnsi="Times New Roman"/>
          <w:sz w:val="24"/>
          <w:szCs w:val="24"/>
        </w:rPr>
        <w:t xml:space="preserve"> level</w:t>
      </w:r>
      <w:r w:rsidR="00A300CC" w:rsidRPr="00660211">
        <w:rPr>
          <w:rFonts w:ascii="Times New Roman" w:hAnsi="Times New Roman"/>
          <w:sz w:val="24"/>
          <w:szCs w:val="24"/>
        </w:rPr>
        <w:t>s</w:t>
      </w:r>
      <w:r w:rsidR="00416730" w:rsidRPr="00660211">
        <w:rPr>
          <w:rFonts w:ascii="Times New Roman" w:hAnsi="Times New Roman"/>
          <w:sz w:val="24"/>
          <w:szCs w:val="24"/>
        </w:rPr>
        <w:t xml:space="preserve"> since August 2011.</w:t>
      </w:r>
    </w:p>
    <w:p w:rsidR="00BB0D51" w:rsidRPr="00660211" w:rsidRDefault="005C378B"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t>Have long-term interest rates moved up further relative to the June 2013 averages?</w:t>
      </w:r>
    </w:p>
    <w:p w:rsidR="00BB0D51" w:rsidRPr="00660211" w:rsidRDefault="005C378B"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t xml:space="preserve">Yes.  </w:t>
      </w:r>
      <w:r w:rsidR="00A300CC" w:rsidRPr="00660211">
        <w:rPr>
          <w:rFonts w:ascii="Times New Roman" w:hAnsi="Times New Roman"/>
          <w:color w:val="000000"/>
          <w:sz w:val="24"/>
          <w:szCs w:val="24"/>
        </w:rPr>
        <w:t xml:space="preserve">The June average rate contains about three weeks of data from before the FOMC announcement.  </w:t>
      </w:r>
      <w:r w:rsidR="00A43694" w:rsidRPr="00660211">
        <w:rPr>
          <w:rFonts w:ascii="Times New Roman" w:hAnsi="Times New Roman"/>
          <w:color w:val="000000"/>
          <w:sz w:val="24"/>
          <w:szCs w:val="24"/>
        </w:rPr>
        <w:t xml:space="preserve">Although a changed Fed posture had been partially </w:t>
      </w:r>
      <w:r w:rsidR="00AB5463" w:rsidRPr="00660211">
        <w:rPr>
          <w:rFonts w:ascii="Times New Roman" w:hAnsi="Times New Roman"/>
          <w:color w:val="000000"/>
          <w:sz w:val="24"/>
          <w:szCs w:val="24"/>
        </w:rPr>
        <w:t>anticipated in slightly higher</w:t>
      </w:r>
      <w:r w:rsidR="00A43694" w:rsidRPr="00660211">
        <w:rPr>
          <w:rFonts w:ascii="Times New Roman" w:hAnsi="Times New Roman"/>
          <w:color w:val="000000"/>
          <w:sz w:val="24"/>
          <w:szCs w:val="24"/>
        </w:rPr>
        <w:t xml:space="preserve"> interest rate levels, the June 19</w:t>
      </w:r>
      <w:r w:rsidR="00925280" w:rsidRPr="00660211">
        <w:rPr>
          <w:rFonts w:ascii="Times New Roman" w:hAnsi="Times New Roman"/>
          <w:color w:val="000000"/>
          <w:sz w:val="24"/>
          <w:szCs w:val="24"/>
        </w:rPr>
        <w:t>, 2013</w:t>
      </w:r>
      <w:r w:rsidR="00A43694" w:rsidRPr="00660211">
        <w:rPr>
          <w:rFonts w:ascii="Times New Roman" w:hAnsi="Times New Roman"/>
          <w:color w:val="000000"/>
          <w:sz w:val="24"/>
          <w:szCs w:val="24"/>
        </w:rPr>
        <w:t xml:space="preserve"> announcement caused a </w:t>
      </w:r>
      <w:r w:rsidR="00184F52" w:rsidRPr="00660211">
        <w:rPr>
          <w:rFonts w:ascii="Times New Roman" w:hAnsi="Times New Roman"/>
          <w:color w:val="000000"/>
          <w:sz w:val="24"/>
          <w:szCs w:val="24"/>
        </w:rPr>
        <w:t>further</w:t>
      </w:r>
      <w:r w:rsidR="00A43694" w:rsidRPr="00660211">
        <w:rPr>
          <w:rFonts w:ascii="Times New Roman" w:hAnsi="Times New Roman"/>
          <w:color w:val="000000"/>
          <w:sz w:val="24"/>
          <w:szCs w:val="24"/>
        </w:rPr>
        <w:t xml:space="preserve"> jump.  </w:t>
      </w:r>
      <w:r w:rsidRPr="00660211">
        <w:rPr>
          <w:rFonts w:ascii="Times New Roman" w:hAnsi="Times New Roman"/>
          <w:color w:val="000000"/>
          <w:sz w:val="24"/>
          <w:szCs w:val="24"/>
        </w:rPr>
        <w:t>While I normally rely on the monthly averages and generally base my analysis on three-month averages</w:t>
      </w:r>
      <w:r w:rsidR="00EB09C2" w:rsidRPr="00660211">
        <w:rPr>
          <w:rFonts w:ascii="Times New Roman" w:hAnsi="Times New Roman"/>
          <w:color w:val="000000"/>
          <w:sz w:val="24"/>
          <w:szCs w:val="24"/>
        </w:rPr>
        <w:t xml:space="preserve"> to smooth out random fluctuations</w:t>
      </w:r>
      <w:r w:rsidRPr="00660211">
        <w:rPr>
          <w:rFonts w:ascii="Times New Roman" w:hAnsi="Times New Roman"/>
          <w:color w:val="000000"/>
          <w:sz w:val="24"/>
          <w:szCs w:val="24"/>
        </w:rPr>
        <w:t xml:space="preserve">, when a significant policy shift occurs, I believe the most current data may be instructive.  </w:t>
      </w:r>
      <w:r w:rsidR="00EB09C2" w:rsidRPr="00660211">
        <w:rPr>
          <w:rFonts w:ascii="Times New Roman" w:hAnsi="Times New Roman"/>
          <w:color w:val="000000"/>
          <w:sz w:val="24"/>
          <w:szCs w:val="24"/>
        </w:rPr>
        <w:t xml:space="preserve">Therefore, </w:t>
      </w:r>
      <w:r w:rsidR="00AB1060" w:rsidRPr="00660211">
        <w:rPr>
          <w:rFonts w:ascii="Times New Roman" w:hAnsi="Times New Roman"/>
          <w:color w:val="000000"/>
          <w:sz w:val="24"/>
          <w:szCs w:val="24"/>
        </w:rPr>
        <w:t>o</w:t>
      </w:r>
      <w:r w:rsidR="00EB09C2" w:rsidRPr="00660211">
        <w:rPr>
          <w:rFonts w:ascii="Times New Roman" w:hAnsi="Times New Roman"/>
          <w:color w:val="000000"/>
          <w:sz w:val="24"/>
          <w:szCs w:val="24"/>
        </w:rPr>
        <w:t xml:space="preserve">n </w:t>
      </w:r>
      <w:r w:rsidR="00AB1060" w:rsidRPr="00660211">
        <w:rPr>
          <w:rFonts w:ascii="Times New Roman" w:hAnsi="Times New Roman"/>
          <w:color w:val="000000"/>
          <w:sz w:val="24"/>
          <w:szCs w:val="24"/>
        </w:rPr>
        <w:t xml:space="preserve">page 2 of my </w:t>
      </w:r>
      <w:r w:rsidR="00184F52" w:rsidRPr="00660211">
        <w:rPr>
          <w:rFonts w:ascii="Times New Roman" w:hAnsi="Times New Roman"/>
          <w:color w:val="000000"/>
          <w:sz w:val="24"/>
          <w:szCs w:val="24"/>
        </w:rPr>
        <w:t>Exhibit</w:t>
      </w:r>
      <w:r w:rsidR="003F6FC7" w:rsidRPr="00660211">
        <w:rPr>
          <w:rFonts w:ascii="Times New Roman" w:hAnsi="Times New Roman"/>
          <w:color w:val="000000"/>
          <w:sz w:val="24"/>
          <w:szCs w:val="24"/>
        </w:rPr>
        <w:t xml:space="preserve"> No.___(</w:t>
      </w:r>
      <w:r w:rsidR="00184F52" w:rsidRPr="00660211">
        <w:rPr>
          <w:rFonts w:ascii="Times New Roman" w:hAnsi="Times New Roman"/>
          <w:color w:val="000000"/>
          <w:sz w:val="24"/>
          <w:szCs w:val="24"/>
        </w:rPr>
        <w:t>SCH-</w:t>
      </w:r>
      <w:r w:rsidR="00E3709F" w:rsidRPr="00660211">
        <w:rPr>
          <w:rFonts w:ascii="Times New Roman" w:hAnsi="Times New Roman"/>
          <w:color w:val="000000"/>
          <w:sz w:val="24"/>
          <w:szCs w:val="24"/>
        </w:rPr>
        <w:t>1</w:t>
      </w:r>
      <w:r w:rsidR="00184F52" w:rsidRPr="00660211">
        <w:rPr>
          <w:rFonts w:ascii="Times New Roman" w:hAnsi="Times New Roman"/>
          <w:color w:val="000000"/>
          <w:sz w:val="24"/>
          <w:szCs w:val="24"/>
        </w:rPr>
        <w:t>2</w:t>
      </w:r>
      <w:r w:rsidR="003F6FC7" w:rsidRPr="00660211">
        <w:rPr>
          <w:rFonts w:ascii="Times New Roman" w:hAnsi="Times New Roman"/>
          <w:color w:val="000000"/>
          <w:sz w:val="24"/>
          <w:szCs w:val="24"/>
        </w:rPr>
        <w:t>)</w:t>
      </w:r>
      <w:r w:rsidR="00E15B24" w:rsidRPr="00660211">
        <w:rPr>
          <w:rFonts w:ascii="Times New Roman" w:hAnsi="Times New Roman"/>
          <w:color w:val="000000"/>
          <w:sz w:val="24"/>
          <w:szCs w:val="24"/>
        </w:rPr>
        <w:t>,</w:t>
      </w:r>
      <w:r w:rsidR="00EB09C2" w:rsidRPr="00660211">
        <w:rPr>
          <w:rFonts w:ascii="Times New Roman" w:hAnsi="Times New Roman"/>
          <w:color w:val="000000"/>
          <w:sz w:val="24"/>
          <w:szCs w:val="24"/>
        </w:rPr>
        <w:t xml:space="preserve"> I provide the</w:t>
      </w:r>
      <w:r w:rsidR="00075B8D" w:rsidRPr="00660211">
        <w:rPr>
          <w:rFonts w:ascii="Times New Roman" w:hAnsi="Times New Roman"/>
          <w:color w:val="000000"/>
          <w:sz w:val="24"/>
          <w:szCs w:val="24"/>
        </w:rPr>
        <w:t xml:space="preserve"> July 12, 2013</w:t>
      </w:r>
      <w:r w:rsidR="00EB09C2" w:rsidRPr="00660211">
        <w:rPr>
          <w:rFonts w:ascii="Times New Roman" w:hAnsi="Times New Roman"/>
          <w:color w:val="000000"/>
          <w:sz w:val="24"/>
          <w:szCs w:val="24"/>
        </w:rPr>
        <w:t xml:space="preserve"> </w:t>
      </w:r>
      <w:r w:rsidR="00075B8D" w:rsidRPr="00660211">
        <w:rPr>
          <w:rFonts w:ascii="Times New Roman" w:hAnsi="Times New Roman"/>
          <w:color w:val="000000"/>
          <w:sz w:val="24"/>
          <w:szCs w:val="24"/>
        </w:rPr>
        <w:t xml:space="preserve">spot </w:t>
      </w:r>
      <w:r w:rsidR="00EB09C2" w:rsidRPr="00660211">
        <w:rPr>
          <w:rFonts w:ascii="Times New Roman" w:hAnsi="Times New Roman"/>
          <w:color w:val="000000"/>
          <w:sz w:val="24"/>
          <w:szCs w:val="24"/>
        </w:rPr>
        <w:t xml:space="preserve">yield for long-term single-A utility </w:t>
      </w:r>
      <w:r w:rsidR="00A300CC" w:rsidRPr="00660211">
        <w:rPr>
          <w:rFonts w:ascii="Times New Roman" w:hAnsi="Times New Roman"/>
          <w:color w:val="000000"/>
          <w:sz w:val="24"/>
          <w:szCs w:val="24"/>
        </w:rPr>
        <w:t>bonds</w:t>
      </w:r>
      <w:r w:rsidR="00075B8D" w:rsidRPr="00660211">
        <w:rPr>
          <w:rFonts w:ascii="Times New Roman" w:hAnsi="Times New Roman"/>
          <w:color w:val="000000"/>
          <w:sz w:val="24"/>
          <w:szCs w:val="24"/>
        </w:rPr>
        <w:t>.</w:t>
      </w:r>
      <w:r w:rsidR="00E15B24" w:rsidRPr="00660211">
        <w:rPr>
          <w:rFonts w:ascii="Times New Roman" w:hAnsi="Times New Roman"/>
          <w:color w:val="000000"/>
          <w:sz w:val="24"/>
          <w:szCs w:val="24"/>
        </w:rPr>
        <w:t xml:space="preserve">  </w:t>
      </w:r>
      <w:r w:rsidR="00075B8D" w:rsidRPr="00660211">
        <w:rPr>
          <w:rFonts w:ascii="Times New Roman" w:hAnsi="Times New Roman"/>
          <w:color w:val="000000"/>
          <w:sz w:val="24"/>
          <w:szCs w:val="24"/>
        </w:rPr>
        <w:t>That yield, at 4.76 percent, illustrates a 53</w:t>
      </w:r>
      <w:r w:rsidR="00854978">
        <w:rPr>
          <w:rFonts w:ascii="Times New Roman" w:hAnsi="Times New Roman"/>
          <w:color w:val="000000"/>
          <w:sz w:val="24"/>
          <w:szCs w:val="24"/>
        </w:rPr>
        <w:t> </w:t>
      </w:r>
      <w:r w:rsidR="00075B8D" w:rsidRPr="00660211">
        <w:rPr>
          <w:rFonts w:ascii="Times New Roman" w:hAnsi="Times New Roman"/>
          <w:color w:val="000000"/>
          <w:sz w:val="24"/>
          <w:szCs w:val="24"/>
        </w:rPr>
        <w:t xml:space="preserve">basis </w:t>
      </w:r>
      <w:r w:rsidR="00854978">
        <w:rPr>
          <w:rFonts w:ascii="Times New Roman" w:hAnsi="Times New Roman"/>
          <w:color w:val="000000"/>
          <w:sz w:val="24"/>
          <w:szCs w:val="24"/>
        </w:rPr>
        <w:t xml:space="preserve">point </w:t>
      </w:r>
      <w:r w:rsidR="00075B8D" w:rsidRPr="00660211">
        <w:rPr>
          <w:rFonts w:ascii="Times New Roman" w:hAnsi="Times New Roman"/>
          <w:color w:val="000000"/>
          <w:sz w:val="24"/>
          <w:szCs w:val="24"/>
        </w:rPr>
        <w:t xml:space="preserve">increase in the single-A yield relative to the </w:t>
      </w:r>
      <w:r w:rsidR="00854978">
        <w:rPr>
          <w:rFonts w:ascii="Times New Roman" w:hAnsi="Times New Roman"/>
          <w:color w:val="000000"/>
          <w:sz w:val="24"/>
          <w:szCs w:val="24"/>
        </w:rPr>
        <w:t>three</w:t>
      </w:r>
      <w:r w:rsidR="00075B8D" w:rsidRPr="00660211">
        <w:rPr>
          <w:rFonts w:ascii="Times New Roman" w:hAnsi="Times New Roman"/>
          <w:color w:val="000000"/>
          <w:sz w:val="24"/>
          <w:szCs w:val="24"/>
        </w:rPr>
        <w:t>-month average I</w:t>
      </w:r>
      <w:r w:rsidR="00854978">
        <w:rPr>
          <w:rFonts w:ascii="Times New Roman" w:hAnsi="Times New Roman"/>
          <w:color w:val="000000"/>
          <w:sz w:val="24"/>
          <w:szCs w:val="24"/>
        </w:rPr>
        <w:t> </w:t>
      </w:r>
      <w:r w:rsidR="00075B8D" w:rsidRPr="00660211">
        <w:rPr>
          <w:rFonts w:ascii="Times New Roman" w:hAnsi="Times New Roman"/>
          <w:color w:val="000000"/>
          <w:sz w:val="24"/>
          <w:szCs w:val="24"/>
        </w:rPr>
        <w:t xml:space="preserve">normally use in my risk premium analysis.  </w:t>
      </w:r>
      <w:r w:rsidR="001C53BC" w:rsidRPr="00660211">
        <w:rPr>
          <w:rFonts w:ascii="Times New Roman" w:hAnsi="Times New Roman"/>
          <w:color w:val="000000"/>
          <w:sz w:val="24"/>
          <w:szCs w:val="24"/>
        </w:rPr>
        <w:t xml:space="preserve">Under these circumstances, </w:t>
      </w:r>
      <w:r w:rsidR="00075B8D" w:rsidRPr="00660211">
        <w:rPr>
          <w:rFonts w:ascii="Times New Roman" w:hAnsi="Times New Roman"/>
          <w:color w:val="000000"/>
          <w:sz w:val="24"/>
          <w:szCs w:val="24"/>
        </w:rPr>
        <w:t>as I will explain later, I also provide a risk premium update based on the July spot yield.</w:t>
      </w:r>
    </w:p>
    <w:p w:rsidR="00BB0D51" w:rsidRPr="00660211" w:rsidRDefault="004F7E1F"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00B84D2B" w:rsidRPr="00660211">
        <w:rPr>
          <w:rFonts w:ascii="Times New Roman" w:hAnsi="Times New Roman"/>
          <w:b/>
          <w:color w:val="000000"/>
          <w:sz w:val="24"/>
          <w:szCs w:val="24"/>
        </w:rPr>
        <w:t>.</w:t>
      </w:r>
      <w:r w:rsidRPr="00660211">
        <w:rPr>
          <w:rFonts w:ascii="Times New Roman" w:hAnsi="Times New Roman"/>
          <w:b/>
          <w:color w:val="000000"/>
          <w:sz w:val="24"/>
          <w:szCs w:val="24"/>
        </w:rPr>
        <w:tab/>
        <w:t>What do interest rate</w:t>
      </w:r>
      <w:r w:rsidR="00027B2C" w:rsidRPr="00660211">
        <w:rPr>
          <w:rFonts w:ascii="Times New Roman" w:hAnsi="Times New Roman"/>
          <w:b/>
          <w:color w:val="000000"/>
          <w:sz w:val="24"/>
          <w:szCs w:val="24"/>
        </w:rPr>
        <w:t xml:space="preserve"> forecasts</w:t>
      </w:r>
      <w:r w:rsidRPr="00660211">
        <w:rPr>
          <w:rFonts w:ascii="Times New Roman" w:hAnsi="Times New Roman"/>
          <w:b/>
          <w:color w:val="000000"/>
          <w:sz w:val="24"/>
          <w:szCs w:val="24"/>
        </w:rPr>
        <w:t xml:space="preserve"> show for the coming year?</w:t>
      </w:r>
    </w:p>
    <w:p w:rsidR="00041AC2" w:rsidRPr="00660211" w:rsidRDefault="00041AC2" w:rsidP="00660211">
      <w:pPr>
        <w:widowControl w:val="0"/>
        <w:jc w:val="left"/>
        <w:rPr>
          <w:rFonts w:ascii="Times New Roman" w:hAnsi="Times New Roman"/>
          <w:szCs w:val="24"/>
        </w:rPr>
      </w:pPr>
      <w:r w:rsidRPr="00660211">
        <w:rPr>
          <w:rFonts w:ascii="Times New Roman" w:hAnsi="Times New Roman"/>
          <w:bCs/>
          <w:szCs w:val="24"/>
        </w:rPr>
        <w:t>A.</w:t>
      </w:r>
      <w:r w:rsidRPr="00660211">
        <w:rPr>
          <w:rFonts w:ascii="Times New Roman" w:hAnsi="Times New Roman"/>
          <w:bCs/>
          <w:szCs w:val="24"/>
        </w:rPr>
        <w:tab/>
      </w:r>
      <w:r w:rsidR="00E15B24" w:rsidRPr="00660211">
        <w:rPr>
          <w:rFonts w:ascii="Times New Roman" w:hAnsi="Times New Roman"/>
          <w:bCs/>
          <w:szCs w:val="24"/>
        </w:rPr>
        <w:t xml:space="preserve">Interest rates are expected to rise further.  </w:t>
      </w:r>
      <w:r w:rsidR="00534A23" w:rsidRPr="00660211">
        <w:rPr>
          <w:rFonts w:ascii="Times New Roman" w:hAnsi="Times New Roman"/>
          <w:bCs/>
          <w:szCs w:val="24"/>
        </w:rPr>
        <w:t>O</w:t>
      </w:r>
      <w:r w:rsidR="001E1FF5" w:rsidRPr="00660211">
        <w:rPr>
          <w:rFonts w:ascii="Times New Roman" w:hAnsi="Times New Roman"/>
          <w:bCs/>
          <w:szCs w:val="24"/>
        </w:rPr>
        <w:t xml:space="preserve">n </w:t>
      </w:r>
      <w:r w:rsidR="00534A23" w:rsidRPr="00660211">
        <w:rPr>
          <w:rFonts w:ascii="Times New Roman" w:hAnsi="Times New Roman"/>
          <w:bCs/>
          <w:szCs w:val="24"/>
        </w:rPr>
        <w:t xml:space="preserve">page 3 of my </w:t>
      </w:r>
      <w:r w:rsidR="001E1FF5" w:rsidRPr="00660211">
        <w:rPr>
          <w:rFonts w:ascii="Times New Roman" w:hAnsi="Times New Roman"/>
          <w:bCs/>
          <w:szCs w:val="24"/>
        </w:rPr>
        <w:t>Exhibit No.___(SCH</w:t>
      </w:r>
      <w:r w:rsidR="00660211">
        <w:rPr>
          <w:rFonts w:ascii="Times New Roman" w:hAnsi="Times New Roman"/>
          <w:bCs/>
          <w:szCs w:val="24"/>
        </w:rPr>
        <w:t>-</w:t>
      </w:r>
      <w:r w:rsidR="001E1FF5" w:rsidRPr="00660211">
        <w:rPr>
          <w:rFonts w:ascii="Times New Roman" w:hAnsi="Times New Roman"/>
          <w:bCs/>
          <w:szCs w:val="24"/>
        </w:rPr>
        <w:t>1</w:t>
      </w:r>
      <w:r w:rsidR="00E3709F" w:rsidRPr="00660211">
        <w:rPr>
          <w:rFonts w:ascii="Times New Roman" w:hAnsi="Times New Roman"/>
          <w:bCs/>
          <w:szCs w:val="24"/>
        </w:rPr>
        <w:t>2</w:t>
      </w:r>
      <w:r w:rsidR="001E1FF5" w:rsidRPr="00660211">
        <w:rPr>
          <w:rFonts w:ascii="Times New Roman" w:hAnsi="Times New Roman"/>
          <w:bCs/>
          <w:szCs w:val="24"/>
        </w:rPr>
        <w:t xml:space="preserve">), I </w:t>
      </w:r>
      <w:r w:rsidR="001E1FF5" w:rsidRPr="00660211">
        <w:rPr>
          <w:rFonts w:ascii="Times New Roman" w:hAnsi="Times New Roman"/>
          <w:szCs w:val="24"/>
        </w:rPr>
        <w:t xml:space="preserve">provide the forward Bloomberg curve for Treasury yields through December 31, 2014.  </w:t>
      </w:r>
      <w:r w:rsidR="00E15B24" w:rsidRPr="00660211">
        <w:rPr>
          <w:rFonts w:ascii="Times New Roman" w:hAnsi="Times New Roman"/>
          <w:szCs w:val="24"/>
        </w:rPr>
        <w:t xml:space="preserve">These </w:t>
      </w:r>
      <w:r w:rsidRPr="00660211">
        <w:rPr>
          <w:rFonts w:ascii="Times New Roman" w:hAnsi="Times New Roman"/>
          <w:szCs w:val="24"/>
        </w:rPr>
        <w:t>forecast</w:t>
      </w:r>
      <w:r w:rsidR="00E15B24" w:rsidRPr="00660211">
        <w:rPr>
          <w:rFonts w:ascii="Times New Roman" w:hAnsi="Times New Roman"/>
          <w:szCs w:val="24"/>
        </w:rPr>
        <w:t>s</w:t>
      </w:r>
      <w:r w:rsidRPr="00660211">
        <w:rPr>
          <w:rFonts w:ascii="Times New Roman" w:hAnsi="Times New Roman"/>
          <w:szCs w:val="24"/>
        </w:rPr>
        <w:t xml:space="preserve"> reflect the significant </w:t>
      </w:r>
      <w:r w:rsidR="00075B8D" w:rsidRPr="00660211">
        <w:rPr>
          <w:rFonts w:ascii="Times New Roman" w:hAnsi="Times New Roman"/>
          <w:szCs w:val="24"/>
        </w:rPr>
        <w:t xml:space="preserve">further </w:t>
      </w:r>
      <w:r w:rsidR="00E15B24" w:rsidRPr="00660211">
        <w:rPr>
          <w:rFonts w:ascii="Times New Roman" w:hAnsi="Times New Roman"/>
          <w:szCs w:val="24"/>
        </w:rPr>
        <w:t>increase</w:t>
      </w:r>
      <w:r w:rsidR="00075B8D" w:rsidRPr="00660211">
        <w:rPr>
          <w:rFonts w:ascii="Times New Roman" w:hAnsi="Times New Roman"/>
          <w:szCs w:val="24"/>
        </w:rPr>
        <w:t>s</w:t>
      </w:r>
      <w:r w:rsidR="00E15B24" w:rsidRPr="00660211">
        <w:rPr>
          <w:rFonts w:ascii="Times New Roman" w:hAnsi="Times New Roman"/>
          <w:szCs w:val="24"/>
        </w:rPr>
        <w:t xml:space="preserve"> in interest rates</w:t>
      </w:r>
      <w:r w:rsidR="00075B8D" w:rsidRPr="00660211">
        <w:rPr>
          <w:rFonts w:ascii="Times New Roman" w:hAnsi="Times New Roman"/>
          <w:szCs w:val="24"/>
        </w:rPr>
        <w:t xml:space="preserve"> that are expected</w:t>
      </w:r>
      <w:r w:rsidR="00E15B24" w:rsidRPr="00660211">
        <w:rPr>
          <w:rFonts w:ascii="Times New Roman" w:hAnsi="Times New Roman"/>
          <w:szCs w:val="24"/>
        </w:rPr>
        <w:t>.  These data are summarized in Table</w:t>
      </w:r>
      <w:r w:rsidR="009D0BBB" w:rsidRPr="00660211">
        <w:rPr>
          <w:rFonts w:ascii="Times New Roman" w:hAnsi="Times New Roman"/>
          <w:szCs w:val="24"/>
        </w:rPr>
        <w:t> </w:t>
      </w:r>
      <w:r w:rsidR="00075B8D" w:rsidRPr="00660211">
        <w:rPr>
          <w:rFonts w:ascii="Times New Roman" w:hAnsi="Times New Roman"/>
          <w:szCs w:val="24"/>
        </w:rPr>
        <w:t>2</w:t>
      </w:r>
      <w:r w:rsidR="00E15B24" w:rsidRPr="00660211">
        <w:rPr>
          <w:rFonts w:ascii="Times New Roman" w:hAnsi="Times New Roman"/>
          <w:szCs w:val="24"/>
        </w:rPr>
        <w:t xml:space="preserve"> below.</w:t>
      </w:r>
    </w:p>
    <w:p w:rsidR="00BB0D51" w:rsidRPr="00660211" w:rsidRDefault="00AB5463" w:rsidP="00660211">
      <w:pPr>
        <w:keepNext/>
        <w:suppressLineNumbers/>
        <w:spacing w:line="240" w:lineRule="auto"/>
        <w:ind w:right="1080" w:firstLine="0"/>
        <w:jc w:val="center"/>
        <w:rPr>
          <w:rFonts w:ascii="Times New Roman" w:hAnsi="Times New Roman"/>
          <w:b/>
          <w:bCs/>
          <w:szCs w:val="24"/>
        </w:rPr>
      </w:pPr>
      <w:r w:rsidRPr="00660211">
        <w:rPr>
          <w:rFonts w:ascii="Times New Roman" w:hAnsi="Times New Roman"/>
          <w:b/>
          <w:bCs/>
          <w:szCs w:val="24"/>
        </w:rPr>
        <w:t xml:space="preserve">Table </w:t>
      </w:r>
      <w:r w:rsidR="00075B8D" w:rsidRPr="00660211">
        <w:rPr>
          <w:rFonts w:ascii="Times New Roman" w:hAnsi="Times New Roman"/>
          <w:b/>
          <w:bCs/>
          <w:szCs w:val="24"/>
        </w:rPr>
        <w:t>2</w:t>
      </w:r>
      <w:r w:rsidR="00660211">
        <w:rPr>
          <w:rFonts w:ascii="Times New Roman" w:hAnsi="Times New Roman"/>
          <w:b/>
          <w:bCs/>
          <w:szCs w:val="24"/>
        </w:rPr>
        <w:br/>
      </w:r>
      <w:r w:rsidRPr="00660211">
        <w:rPr>
          <w:rFonts w:ascii="Times New Roman" w:hAnsi="Times New Roman"/>
          <w:b/>
          <w:bCs/>
          <w:szCs w:val="24"/>
        </w:rPr>
        <w:t>Interest Rate Forecast</w:t>
      </w:r>
    </w:p>
    <w:p w:rsidR="00BB0D51" w:rsidRPr="00660211" w:rsidRDefault="00AB5463" w:rsidP="00660211">
      <w:pPr>
        <w:keepNext/>
        <w:keepLines/>
        <w:suppressLineNumbers/>
        <w:tabs>
          <w:tab w:val="left" w:pos="1440"/>
          <w:tab w:val="left" w:pos="2160"/>
          <w:tab w:val="right" w:pos="4320"/>
          <w:tab w:val="right" w:pos="5760"/>
          <w:tab w:val="right" w:pos="6300"/>
          <w:tab w:val="right" w:pos="7290"/>
        </w:tabs>
        <w:rPr>
          <w:rFonts w:ascii="Times New Roman" w:hAnsi="Times New Roman"/>
          <w:bCs/>
          <w:szCs w:val="24"/>
          <w:u w:val="single"/>
          <w:lang w:val="it-IT"/>
        </w:rPr>
      </w:pPr>
      <w:r w:rsidRPr="00660211">
        <w:rPr>
          <w:rFonts w:ascii="Times New Roman" w:hAnsi="Times New Roman"/>
          <w:bCs/>
          <w:szCs w:val="24"/>
        </w:rPr>
        <w:tab/>
      </w:r>
      <w:r w:rsidR="008F2AF9" w:rsidRPr="00660211">
        <w:rPr>
          <w:rFonts w:ascii="Times New Roman" w:hAnsi="Times New Roman"/>
          <w:bCs/>
          <w:szCs w:val="24"/>
        </w:rPr>
        <w:tab/>
      </w:r>
      <w:r w:rsidRPr="00660211">
        <w:rPr>
          <w:rFonts w:ascii="Times New Roman" w:hAnsi="Times New Roman"/>
          <w:bCs/>
          <w:szCs w:val="24"/>
          <w:u w:val="single"/>
        </w:rPr>
        <w:tab/>
      </w:r>
      <w:r w:rsidRPr="00660211">
        <w:rPr>
          <w:rFonts w:ascii="Times New Roman" w:hAnsi="Times New Roman"/>
          <w:bCs/>
          <w:szCs w:val="24"/>
          <w:u w:val="single"/>
        </w:rPr>
        <w:tab/>
        <w:t xml:space="preserve">June </w:t>
      </w:r>
      <w:r w:rsidRPr="00660211">
        <w:rPr>
          <w:rFonts w:ascii="Times New Roman" w:hAnsi="Times New Roman"/>
          <w:bCs/>
          <w:szCs w:val="24"/>
          <w:u w:val="single"/>
          <w:lang w:val="it-IT"/>
        </w:rPr>
        <w:t>2013</w:t>
      </w:r>
      <w:r w:rsidRPr="00660211">
        <w:rPr>
          <w:rFonts w:ascii="Times New Roman" w:hAnsi="Times New Roman"/>
          <w:bCs/>
          <w:szCs w:val="24"/>
          <w:u w:val="single"/>
          <w:lang w:val="it-IT"/>
        </w:rPr>
        <w:tab/>
        <w:t>Dec 2014E</w:t>
      </w:r>
      <w:r w:rsidR="008F2AF9" w:rsidRPr="00660211">
        <w:rPr>
          <w:rFonts w:ascii="Times New Roman" w:hAnsi="Times New Roman"/>
          <w:bCs/>
          <w:szCs w:val="24"/>
          <w:u w:val="single"/>
          <w:lang w:val="it-IT"/>
        </w:rPr>
        <w:tab/>
      </w:r>
    </w:p>
    <w:p w:rsidR="00BB0D51" w:rsidRPr="00660211" w:rsidRDefault="00AB5463" w:rsidP="00660211">
      <w:pPr>
        <w:keepNext/>
        <w:keepLines/>
        <w:suppressLineNumbers/>
        <w:tabs>
          <w:tab w:val="left" w:pos="1440"/>
          <w:tab w:val="right" w:pos="4140"/>
          <w:tab w:val="right" w:pos="5580"/>
          <w:tab w:val="right" w:pos="6210"/>
          <w:tab w:val="right" w:pos="7200"/>
        </w:tabs>
        <w:ind w:firstLine="0"/>
        <w:rPr>
          <w:rFonts w:ascii="Times New Roman" w:hAnsi="Times New Roman"/>
          <w:bCs/>
          <w:szCs w:val="24"/>
        </w:rPr>
      </w:pPr>
      <w:r w:rsidRPr="00660211">
        <w:rPr>
          <w:rFonts w:ascii="Times New Roman" w:hAnsi="Times New Roman"/>
          <w:bCs/>
          <w:szCs w:val="24"/>
        </w:rPr>
        <w:tab/>
        <w:t xml:space="preserve">1-Yr. </w:t>
      </w:r>
      <w:r w:rsidR="008F2AF9" w:rsidRPr="00660211">
        <w:rPr>
          <w:rFonts w:ascii="Times New Roman" w:hAnsi="Times New Roman"/>
          <w:bCs/>
          <w:szCs w:val="24"/>
        </w:rPr>
        <w:t>Treasuries</w:t>
      </w:r>
      <w:r w:rsidR="008F2AF9" w:rsidRPr="00660211">
        <w:rPr>
          <w:rFonts w:ascii="Times New Roman" w:hAnsi="Times New Roman"/>
          <w:bCs/>
          <w:szCs w:val="24"/>
        </w:rPr>
        <w:tab/>
        <w:t>0.1%</w:t>
      </w:r>
      <w:r w:rsidR="008F2AF9" w:rsidRPr="00660211">
        <w:rPr>
          <w:rFonts w:ascii="Times New Roman" w:hAnsi="Times New Roman"/>
          <w:bCs/>
          <w:szCs w:val="24"/>
        </w:rPr>
        <w:tab/>
        <w:t>1.0</w:t>
      </w:r>
      <w:r w:rsidRPr="00660211">
        <w:rPr>
          <w:rFonts w:ascii="Times New Roman" w:hAnsi="Times New Roman"/>
          <w:bCs/>
          <w:szCs w:val="24"/>
        </w:rPr>
        <w:t>%</w:t>
      </w:r>
    </w:p>
    <w:p w:rsidR="00BB0D51" w:rsidRPr="00660211" w:rsidRDefault="00AB5463" w:rsidP="00660211">
      <w:pPr>
        <w:keepNext/>
        <w:keepLines/>
        <w:suppressLineNumbers/>
        <w:tabs>
          <w:tab w:val="left" w:pos="1440"/>
          <w:tab w:val="right" w:pos="4140"/>
          <w:tab w:val="right" w:pos="5580"/>
          <w:tab w:val="right" w:pos="6120"/>
          <w:tab w:val="right" w:pos="7200"/>
        </w:tabs>
        <w:ind w:firstLine="0"/>
        <w:rPr>
          <w:rFonts w:ascii="Times New Roman" w:hAnsi="Times New Roman"/>
          <w:bCs/>
          <w:szCs w:val="24"/>
        </w:rPr>
      </w:pPr>
      <w:r w:rsidRPr="00660211">
        <w:rPr>
          <w:rFonts w:ascii="Times New Roman" w:hAnsi="Times New Roman"/>
          <w:bCs/>
          <w:szCs w:val="24"/>
        </w:rPr>
        <w:tab/>
      </w:r>
      <w:r w:rsidR="006B66C6" w:rsidRPr="00660211">
        <w:rPr>
          <w:rFonts w:ascii="Times New Roman" w:hAnsi="Times New Roman"/>
          <w:bCs/>
          <w:szCs w:val="24"/>
        </w:rPr>
        <w:t>10-Yr. Treasuries</w:t>
      </w:r>
      <w:r w:rsidR="006B66C6" w:rsidRPr="00660211">
        <w:rPr>
          <w:rFonts w:ascii="Times New Roman" w:hAnsi="Times New Roman"/>
          <w:bCs/>
          <w:szCs w:val="24"/>
        </w:rPr>
        <w:tab/>
        <w:t>2.3</w:t>
      </w:r>
      <w:r w:rsidR="008F2AF9" w:rsidRPr="00660211">
        <w:rPr>
          <w:rFonts w:ascii="Times New Roman" w:hAnsi="Times New Roman"/>
          <w:bCs/>
          <w:szCs w:val="24"/>
        </w:rPr>
        <w:t>%</w:t>
      </w:r>
      <w:r w:rsidR="008F2AF9" w:rsidRPr="00660211">
        <w:rPr>
          <w:rFonts w:ascii="Times New Roman" w:hAnsi="Times New Roman"/>
          <w:bCs/>
          <w:szCs w:val="24"/>
        </w:rPr>
        <w:tab/>
        <w:t>3</w:t>
      </w:r>
      <w:r w:rsidRPr="00660211">
        <w:rPr>
          <w:rFonts w:ascii="Times New Roman" w:hAnsi="Times New Roman"/>
          <w:bCs/>
          <w:szCs w:val="24"/>
        </w:rPr>
        <w:t>.</w:t>
      </w:r>
      <w:r w:rsidR="008F2AF9" w:rsidRPr="00660211">
        <w:rPr>
          <w:rFonts w:ascii="Times New Roman" w:hAnsi="Times New Roman"/>
          <w:bCs/>
          <w:szCs w:val="24"/>
        </w:rPr>
        <w:t>1</w:t>
      </w:r>
      <w:r w:rsidRPr="00660211">
        <w:rPr>
          <w:rFonts w:ascii="Times New Roman" w:hAnsi="Times New Roman"/>
          <w:bCs/>
          <w:szCs w:val="24"/>
        </w:rPr>
        <w:t>%</w:t>
      </w:r>
    </w:p>
    <w:p w:rsidR="00BB0D51" w:rsidRPr="00660211" w:rsidRDefault="008F2AF9" w:rsidP="00660211">
      <w:pPr>
        <w:keepNext/>
        <w:keepLines/>
        <w:suppressLineNumbers/>
        <w:tabs>
          <w:tab w:val="left" w:pos="1440"/>
          <w:tab w:val="right" w:pos="4140"/>
          <w:tab w:val="right" w:pos="5580"/>
          <w:tab w:val="right" w:pos="6390"/>
          <w:tab w:val="right" w:pos="7200"/>
          <w:tab w:val="right" w:pos="7290"/>
        </w:tabs>
        <w:spacing w:line="240" w:lineRule="auto"/>
        <w:ind w:firstLine="0"/>
        <w:rPr>
          <w:rFonts w:ascii="Times New Roman" w:hAnsi="Times New Roman"/>
          <w:bCs/>
          <w:szCs w:val="24"/>
          <w:u w:val="single"/>
        </w:rPr>
      </w:pPr>
      <w:r w:rsidRPr="00660211">
        <w:rPr>
          <w:rFonts w:ascii="Times New Roman" w:hAnsi="Times New Roman"/>
          <w:bCs/>
          <w:szCs w:val="24"/>
        </w:rPr>
        <w:tab/>
      </w:r>
      <w:r w:rsidR="006B66C6" w:rsidRPr="00660211">
        <w:rPr>
          <w:rFonts w:ascii="Times New Roman" w:hAnsi="Times New Roman"/>
          <w:bCs/>
          <w:szCs w:val="24"/>
          <w:u w:val="single"/>
        </w:rPr>
        <w:t>30-Yr. Treasuries</w:t>
      </w:r>
      <w:r w:rsidR="006B66C6" w:rsidRPr="00660211">
        <w:rPr>
          <w:rFonts w:ascii="Times New Roman" w:hAnsi="Times New Roman"/>
          <w:bCs/>
          <w:szCs w:val="24"/>
          <w:u w:val="single"/>
        </w:rPr>
        <w:tab/>
        <w:t>3.4</w:t>
      </w:r>
      <w:r w:rsidR="00AB5463" w:rsidRPr="00660211">
        <w:rPr>
          <w:rFonts w:ascii="Times New Roman" w:hAnsi="Times New Roman"/>
          <w:bCs/>
          <w:szCs w:val="24"/>
          <w:u w:val="single"/>
        </w:rPr>
        <w:t>%</w:t>
      </w:r>
      <w:r w:rsidR="00AB5463" w:rsidRPr="00660211">
        <w:rPr>
          <w:rFonts w:ascii="Times New Roman" w:hAnsi="Times New Roman"/>
          <w:bCs/>
          <w:szCs w:val="24"/>
          <w:u w:val="single"/>
        </w:rPr>
        <w:tab/>
      </w:r>
      <w:r w:rsidRPr="00660211">
        <w:rPr>
          <w:rFonts w:ascii="Times New Roman" w:hAnsi="Times New Roman"/>
          <w:bCs/>
          <w:szCs w:val="24"/>
          <w:u w:val="single"/>
        </w:rPr>
        <w:t>3.9</w:t>
      </w:r>
      <w:r w:rsidR="00AB5463" w:rsidRPr="00660211">
        <w:rPr>
          <w:rFonts w:ascii="Times New Roman" w:hAnsi="Times New Roman"/>
          <w:bCs/>
          <w:szCs w:val="24"/>
          <w:u w:val="single"/>
        </w:rPr>
        <w:t>%</w:t>
      </w:r>
      <w:r w:rsidRPr="00660211">
        <w:rPr>
          <w:rFonts w:ascii="Times New Roman" w:hAnsi="Times New Roman"/>
          <w:bCs/>
          <w:szCs w:val="24"/>
          <w:u w:val="single"/>
        </w:rPr>
        <w:tab/>
      </w:r>
    </w:p>
    <w:p w:rsidR="00BB0D51" w:rsidRPr="00660211" w:rsidRDefault="00EB6D23" w:rsidP="005C3E56">
      <w:pPr>
        <w:pStyle w:val="FootnoteText"/>
        <w:suppressLineNumbers/>
        <w:spacing w:before="120" w:after="360"/>
        <w:rPr>
          <w:rFonts w:ascii="Times New Roman" w:hAnsi="Times New Roman"/>
          <w:color w:val="000000"/>
        </w:rPr>
      </w:pPr>
      <w:r w:rsidRPr="00660211">
        <w:rPr>
          <w:rFonts w:ascii="Times New Roman" w:hAnsi="Times New Roman"/>
          <w:color w:val="000000"/>
          <w:sz w:val="24"/>
          <w:szCs w:val="24"/>
        </w:rPr>
        <w:tab/>
      </w:r>
      <w:r w:rsidRPr="00660211">
        <w:rPr>
          <w:rFonts w:ascii="Times New Roman" w:hAnsi="Times New Roman"/>
          <w:color w:val="000000"/>
        </w:rPr>
        <w:t xml:space="preserve">Source: </w:t>
      </w:r>
      <w:hyperlink r:id="rId14" w:history="1">
        <w:r w:rsidRPr="00660211">
          <w:rPr>
            <w:rStyle w:val="Hyperlink"/>
            <w:rFonts w:ascii="Times New Roman" w:hAnsi="Times New Roman"/>
          </w:rPr>
          <w:t>www.federalreserve.gov</w:t>
        </w:r>
      </w:hyperlink>
      <w:r w:rsidRPr="00660211">
        <w:rPr>
          <w:rFonts w:ascii="Times New Roman" w:hAnsi="Times New Roman"/>
          <w:color w:val="000000"/>
        </w:rPr>
        <w:t xml:space="preserve"> (June rates) and Bloomberg Active Treasuries, July 9, 2013.</w:t>
      </w:r>
    </w:p>
    <w:p w:rsidR="00BB0D51" w:rsidRPr="00660211" w:rsidRDefault="00075B8D"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b/>
        <w:t>The Bloomberg data show that Treasury rates are expect</w:t>
      </w:r>
      <w:r w:rsidR="007E5F05" w:rsidRPr="00660211">
        <w:rPr>
          <w:rFonts w:ascii="Times New Roman" w:hAnsi="Times New Roman"/>
          <w:color w:val="000000"/>
          <w:sz w:val="24"/>
          <w:szCs w:val="24"/>
        </w:rPr>
        <w:t>ed</w:t>
      </w:r>
      <w:r w:rsidRPr="00660211">
        <w:rPr>
          <w:rFonts w:ascii="Times New Roman" w:hAnsi="Times New Roman"/>
          <w:color w:val="000000"/>
          <w:sz w:val="24"/>
          <w:szCs w:val="24"/>
        </w:rPr>
        <w:t xml:space="preserve"> to rise by 50 basis points or more relative to their </w:t>
      </w:r>
      <w:r w:rsidR="001C53BC" w:rsidRPr="00660211">
        <w:rPr>
          <w:rFonts w:ascii="Times New Roman" w:hAnsi="Times New Roman"/>
          <w:color w:val="000000"/>
          <w:sz w:val="24"/>
          <w:szCs w:val="24"/>
        </w:rPr>
        <w:t xml:space="preserve">average </w:t>
      </w:r>
      <w:r w:rsidRPr="00660211">
        <w:rPr>
          <w:rFonts w:ascii="Times New Roman" w:hAnsi="Times New Roman"/>
          <w:color w:val="000000"/>
          <w:sz w:val="24"/>
          <w:szCs w:val="24"/>
        </w:rPr>
        <w:t>levels for June 2013.</w:t>
      </w:r>
    </w:p>
    <w:p w:rsidR="00BB0D51" w:rsidRPr="00660211" w:rsidRDefault="005D2890" w:rsidP="00660211">
      <w:pPr>
        <w:pStyle w:val="FootnoteText"/>
        <w:spacing w:line="480" w:lineRule="auto"/>
        <w:rPr>
          <w:rFonts w:ascii="Times New Roman" w:hAnsi="Times New Roman"/>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t>How have the shifting signals on Fed monetary policy and rising interest rates impacted utility stock prices</w:t>
      </w:r>
      <w:r w:rsidRPr="00B52FD1">
        <w:rPr>
          <w:rFonts w:ascii="Times New Roman" w:hAnsi="Times New Roman"/>
          <w:b/>
          <w:color w:val="000000"/>
          <w:sz w:val="24"/>
          <w:szCs w:val="24"/>
        </w:rPr>
        <w:t>?</w:t>
      </w:r>
      <w:r w:rsidRPr="00660211">
        <w:rPr>
          <w:rFonts w:ascii="Times New Roman" w:hAnsi="Times New Roman"/>
          <w:color w:val="000000"/>
          <w:sz w:val="24"/>
          <w:szCs w:val="24"/>
        </w:rPr>
        <w:t xml:space="preserve"> </w:t>
      </w:r>
    </w:p>
    <w:p w:rsidR="00BB0D51" w:rsidRPr="00660211" w:rsidRDefault="005D2890"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t>The market re-priced utility stocks lower in May and June</w:t>
      </w:r>
      <w:r w:rsidR="0041667B" w:rsidRPr="00660211">
        <w:rPr>
          <w:rFonts w:ascii="Times New Roman" w:hAnsi="Times New Roman"/>
          <w:color w:val="000000"/>
          <w:sz w:val="24"/>
          <w:szCs w:val="24"/>
        </w:rPr>
        <w:t xml:space="preserve"> 2013</w:t>
      </w:r>
      <w:r w:rsidRPr="00660211">
        <w:rPr>
          <w:rFonts w:ascii="Times New Roman" w:hAnsi="Times New Roman"/>
          <w:color w:val="000000"/>
          <w:sz w:val="24"/>
          <w:szCs w:val="24"/>
        </w:rPr>
        <w:t>.</w:t>
      </w:r>
      <w:r w:rsidR="0072002A" w:rsidRPr="00660211">
        <w:rPr>
          <w:rFonts w:ascii="Times New Roman" w:hAnsi="Times New Roman"/>
          <w:color w:val="000000"/>
          <w:sz w:val="24"/>
          <w:szCs w:val="24"/>
        </w:rPr>
        <w:t xml:space="preserve">  </w:t>
      </w:r>
      <w:r w:rsidR="00AA422C" w:rsidRPr="00660211">
        <w:rPr>
          <w:rFonts w:ascii="Times New Roman" w:hAnsi="Times New Roman"/>
          <w:color w:val="000000"/>
          <w:sz w:val="24"/>
          <w:szCs w:val="24"/>
        </w:rPr>
        <w:t>More recently, s</w:t>
      </w:r>
      <w:r w:rsidR="0072002A" w:rsidRPr="00660211">
        <w:rPr>
          <w:rFonts w:ascii="Times New Roman" w:hAnsi="Times New Roman"/>
          <w:color w:val="000000"/>
          <w:sz w:val="24"/>
          <w:szCs w:val="24"/>
        </w:rPr>
        <w:t xml:space="preserve">tock prices recovered somewhat </w:t>
      </w:r>
      <w:r w:rsidRPr="00660211">
        <w:rPr>
          <w:rFonts w:ascii="Times New Roman" w:hAnsi="Times New Roman"/>
          <w:color w:val="000000"/>
          <w:sz w:val="24"/>
          <w:szCs w:val="24"/>
        </w:rPr>
        <w:t xml:space="preserve">as the Fed calmed fears of an imminent end to its bond-buying program that </w:t>
      </w:r>
      <w:r w:rsidR="0072002A" w:rsidRPr="00660211">
        <w:rPr>
          <w:rFonts w:ascii="Times New Roman" w:hAnsi="Times New Roman"/>
          <w:color w:val="000000"/>
          <w:sz w:val="24"/>
          <w:szCs w:val="24"/>
        </w:rPr>
        <w:t>has artificially depressed interest rates</w:t>
      </w:r>
      <w:r w:rsidRPr="00660211">
        <w:rPr>
          <w:rFonts w:ascii="Times New Roman" w:hAnsi="Times New Roman"/>
          <w:color w:val="000000"/>
          <w:sz w:val="24"/>
          <w:szCs w:val="24"/>
        </w:rPr>
        <w:t xml:space="preserve">. </w:t>
      </w:r>
      <w:r w:rsidR="0072002A" w:rsidRPr="00660211">
        <w:rPr>
          <w:rFonts w:ascii="Times New Roman" w:hAnsi="Times New Roman"/>
          <w:color w:val="000000"/>
          <w:sz w:val="24"/>
          <w:szCs w:val="24"/>
        </w:rPr>
        <w:t xml:space="preserve"> </w:t>
      </w:r>
      <w:r w:rsidRPr="00660211">
        <w:rPr>
          <w:rFonts w:ascii="Times New Roman" w:hAnsi="Times New Roman"/>
          <w:color w:val="000000"/>
          <w:sz w:val="24"/>
          <w:szCs w:val="24"/>
        </w:rPr>
        <w:t xml:space="preserve">But </w:t>
      </w:r>
      <w:r w:rsidR="0072002A" w:rsidRPr="00660211">
        <w:rPr>
          <w:rFonts w:ascii="Times New Roman" w:hAnsi="Times New Roman"/>
          <w:color w:val="000000"/>
          <w:sz w:val="24"/>
          <w:szCs w:val="24"/>
        </w:rPr>
        <w:t>the Fed</w:t>
      </w:r>
      <w:r w:rsidRPr="00660211">
        <w:rPr>
          <w:rFonts w:ascii="Times New Roman" w:hAnsi="Times New Roman"/>
          <w:color w:val="000000"/>
          <w:sz w:val="24"/>
          <w:szCs w:val="24"/>
        </w:rPr>
        <w:t xml:space="preserve"> did not remove the threat that </w:t>
      </w:r>
      <w:r w:rsidR="0072002A" w:rsidRPr="00660211">
        <w:rPr>
          <w:rFonts w:ascii="Times New Roman" w:hAnsi="Times New Roman"/>
          <w:color w:val="000000"/>
          <w:sz w:val="24"/>
          <w:szCs w:val="24"/>
        </w:rPr>
        <w:t>it will allow interest rates to rise</w:t>
      </w:r>
      <w:r w:rsidRPr="00660211">
        <w:rPr>
          <w:rFonts w:ascii="Times New Roman" w:hAnsi="Times New Roman"/>
          <w:color w:val="000000"/>
          <w:sz w:val="24"/>
          <w:szCs w:val="24"/>
        </w:rPr>
        <w:t xml:space="preserve"> as the econom</w:t>
      </w:r>
      <w:r w:rsidR="0072002A" w:rsidRPr="00660211">
        <w:rPr>
          <w:rFonts w:ascii="Times New Roman" w:hAnsi="Times New Roman"/>
          <w:color w:val="000000"/>
          <w:sz w:val="24"/>
          <w:szCs w:val="24"/>
        </w:rPr>
        <w:t xml:space="preserve">ic </w:t>
      </w:r>
      <w:r w:rsidRPr="00660211">
        <w:rPr>
          <w:rFonts w:ascii="Times New Roman" w:hAnsi="Times New Roman"/>
          <w:color w:val="000000"/>
          <w:sz w:val="24"/>
          <w:szCs w:val="24"/>
        </w:rPr>
        <w:t xml:space="preserve">recovery </w:t>
      </w:r>
      <w:r w:rsidR="0072002A" w:rsidRPr="00660211">
        <w:rPr>
          <w:rFonts w:ascii="Times New Roman" w:hAnsi="Times New Roman"/>
          <w:color w:val="000000"/>
          <w:sz w:val="24"/>
          <w:szCs w:val="24"/>
        </w:rPr>
        <w:t>continues.  As a result, interest rates appear to have settled at new, higher levels</w:t>
      </w:r>
      <w:r w:rsidR="00462FE0" w:rsidRPr="00660211">
        <w:rPr>
          <w:rFonts w:ascii="Times New Roman" w:hAnsi="Times New Roman"/>
          <w:color w:val="000000"/>
          <w:sz w:val="24"/>
          <w:szCs w:val="24"/>
        </w:rPr>
        <w:t>.</w:t>
      </w:r>
      <w:r w:rsidR="00D33F34" w:rsidRPr="00660211">
        <w:rPr>
          <w:rFonts w:ascii="Times New Roman" w:hAnsi="Times New Roman"/>
          <w:color w:val="000000"/>
          <w:sz w:val="24"/>
          <w:szCs w:val="24"/>
        </w:rPr>
        <w:t xml:space="preserve">  </w:t>
      </w:r>
      <w:r w:rsidR="0072002A" w:rsidRPr="00660211">
        <w:rPr>
          <w:rFonts w:ascii="Times New Roman" w:hAnsi="Times New Roman"/>
          <w:color w:val="000000"/>
          <w:sz w:val="24"/>
          <w:szCs w:val="24"/>
        </w:rPr>
        <w:t>In July 2013, S&amp;P Capital IQ recommended underweighting the S&amp;P 500 Utilities sector, concluding that “t</w:t>
      </w:r>
      <w:r w:rsidRPr="00660211">
        <w:rPr>
          <w:rFonts w:ascii="Times New Roman" w:hAnsi="Times New Roman"/>
          <w:color w:val="000000"/>
          <w:sz w:val="24"/>
          <w:szCs w:val="24"/>
        </w:rPr>
        <w:t>his high-yielding, interest rate-sensitive sector will underperform as markets accelerate the expected Fed QE tapering timeline and interest rates head higher, reducing the appeal of equity income</w:t>
      </w:r>
      <w:r w:rsidR="0072002A" w:rsidRPr="00660211">
        <w:rPr>
          <w:rFonts w:ascii="Times New Roman" w:hAnsi="Times New Roman"/>
          <w:color w:val="000000"/>
          <w:sz w:val="24"/>
          <w:szCs w:val="24"/>
        </w:rPr>
        <w:t>.</w:t>
      </w:r>
      <w:r w:rsidR="00AA422C" w:rsidRPr="00660211">
        <w:rPr>
          <w:rFonts w:ascii="Times New Roman" w:hAnsi="Times New Roman"/>
          <w:color w:val="000000"/>
          <w:sz w:val="24"/>
          <w:szCs w:val="24"/>
        </w:rPr>
        <w:t>”</w:t>
      </w:r>
      <w:r w:rsidR="00312069" w:rsidRPr="005C3E56">
        <w:rPr>
          <w:rFonts w:ascii="Times New Roman" w:hAnsi="Times New Roman"/>
          <w:sz w:val="24"/>
          <w:szCs w:val="24"/>
          <w:vertAlign w:val="superscript"/>
        </w:rPr>
        <w:footnoteReference w:id="4"/>
      </w:r>
      <w:r w:rsidR="00DC0884" w:rsidRPr="00660211">
        <w:rPr>
          <w:rFonts w:ascii="Times New Roman" w:hAnsi="Times New Roman"/>
          <w:color w:val="000000"/>
          <w:sz w:val="24"/>
          <w:szCs w:val="24"/>
        </w:rPr>
        <w:t xml:space="preserve">  </w:t>
      </w:r>
    </w:p>
    <w:p w:rsidR="00BB0D51" w:rsidRPr="00660211" w:rsidRDefault="004F7E1F"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002E0CD7" w:rsidRPr="00660211">
        <w:rPr>
          <w:rFonts w:ascii="Times New Roman" w:hAnsi="Times New Roman"/>
          <w:b/>
          <w:color w:val="000000"/>
          <w:sz w:val="24"/>
          <w:szCs w:val="24"/>
        </w:rPr>
        <w:t>.</w:t>
      </w:r>
      <w:r w:rsidRPr="00660211">
        <w:rPr>
          <w:rFonts w:ascii="Times New Roman" w:hAnsi="Times New Roman"/>
          <w:b/>
          <w:color w:val="000000"/>
          <w:sz w:val="24"/>
          <w:szCs w:val="24"/>
        </w:rPr>
        <w:tab/>
        <w:t>How do the other parties</w:t>
      </w:r>
      <w:r w:rsidR="003C18EA" w:rsidRPr="00660211">
        <w:rPr>
          <w:rFonts w:ascii="Times New Roman" w:hAnsi="Times New Roman"/>
          <w:b/>
          <w:color w:val="000000"/>
          <w:sz w:val="24"/>
          <w:szCs w:val="24"/>
        </w:rPr>
        <w:t>’</w:t>
      </w:r>
      <w:r w:rsidRPr="00660211">
        <w:rPr>
          <w:rFonts w:ascii="Times New Roman" w:hAnsi="Times New Roman"/>
          <w:b/>
          <w:color w:val="000000"/>
          <w:sz w:val="24"/>
          <w:szCs w:val="24"/>
        </w:rPr>
        <w:t xml:space="preserve"> ROE recommendations in this case compare to the rates of return authorized by other state utility commissions around the country?</w:t>
      </w:r>
    </w:p>
    <w:p w:rsidR="00734B3E" w:rsidRPr="00660211" w:rsidRDefault="002E0CD7" w:rsidP="00660211">
      <w:pPr>
        <w:pStyle w:val="BodyTextIndent2"/>
        <w:widowControl w:val="0"/>
        <w:spacing w:before="0"/>
        <w:jc w:val="left"/>
        <w:rPr>
          <w:rFonts w:ascii="Times New Roman" w:hAnsi="Times New Roman"/>
          <w:b w:val="0"/>
          <w:szCs w:val="24"/>
        </w:rPr>
      </w:pPr>
      <w:r w:rsidRPr="00660211">
        <w:rPr>
          <w:rFonts w:ascii="Times New Roman" w:hAnsi="Times New Roman"/>
          <w:b w:val="0"/>
          <w:color w:val="000000"/>
          <w:szCs w:val="24"/>
        </w:rPr>
        <w:t>A.</w:t>
      </w:r>
      <w:r w:rsidR="004F7E1F" w:rsidRPr="00660211">
        <w:rPr>
          <w:rFonts w:ascii="Times New Roman" w:hAnsi="Times New Roman"/>
          <w:b w:val="0"/>
          <w:color w:val="000000"/>
          <w:szCs w:val="24"/>
        </w:rPr>
        <w:tab/>
        <w:t xml:space="preserve">They are substantially lower.  </w:t>
      </w:r>
      <w:r w:rsidRPr="00660211">
        <w:rPr>
          <w:rFonts w:ascii="Times New Roman" w:hAnsi="Times New Roman"/>
          <w:b w:val="0"/>
          <w:szCs w:val="24"/>
        </w:rPr>
        <w:t>Over the past five years, average</w:t>
      </w:r>
      <w:r w:rsidR="00AF3EAF" w:rsidRPr="00660211">
        <w:rPr>
          <w:rFonts w:ascii="Times New Roman" w:hAnsi="Times New Roman"/>
          <w:b w:val="0"/>
          <w:szCs w:val="24"/>
        </w:rPr>
        <w:t xml:space="preserve"> allowed ROE</w:t>
      </w:r>
      <w:r w:rsidRPr="00660211">
        <w:rPr>
          <w:rFonts w:ascii="Times New Roman" w:hAnsi="Times New Roman"/>
          <w:b w:val="0"/>
          <w:szCs w:val="24"/>
        </w:rPr>
        <w:t xml:space="preserve">s have </w:t>
      </w:r>
      <w:r w:rsidR="00EB6D23" w:rsidRPr="00660211">
        <w:rPr>
          <w:rFonts w:ascii="Times New Roman" w:hAnsi="Times New Roman"/>
          <w:b w:val="0"/>
          <w:szCs w:val="24"/>
        </w:rPr>
        <w:t xml:space="preserve">ranged between </w:t>
      </w:r>
      <w:r w:rsidRPr="00660211">
        <w:rPr>
          <w:rFonts w:ascii="Times New Roman" w:hAnsi="Times New Roman"/>
          <w:b w:val="0"/>
          <w:szCs w:val="24"/>
        </w:rPr>
        <w:t>10.</w:t>
      </w:r>
      <w:r w:rsidR="00EB6D23" w:rsidRPr="00660211">
        <w:rPr>
          <w:rFonts w:ascii="Times New Roman" w:hAnsi="Times New Roman"/>
          <w:b w:val="0"/>
          <w:szCs w:val="24"/>
        </w:rPr>
        <w:t>6</w:t>
      </w:r>
      <w:r w:rsidRPr="00660211">
        <w:rPr>
          <w:rFonts w:ascii="Times New Roman" w:hAnsi="Times New Roman"/>
          <w:b w:val="0"/>
          <w:szCs w:val="24"/>
        </w:rPr>
        <w:t xml:space="preserve"> percent to </w:t>
      </w:r>
      <w:r w:rsidR="00EB6D23" w:rsidRPr="00660211">
        <w:rPr>
          <w:rFonts w:ascii="Times New Roman" w:hAnsi="Times New Roman"/>
          <w:b w:val="0"/>
          <w:szCs w:val="24"/>
        </w:rPr>
        <w:t>9.8</w:t>
      </w:r>
      <w:r w:rsidRPr="00660211">
        <w:rPr>
          <w:rFonts w:ascii="Times New Roman" w:hAnsi="Times New Roman"/>
          <w:b w:val="0"/>
          <w:szCs w:val="24"/>
        </w:rPr>
        <w:t xml:space="preserve"> percent.</w:t>
      </w:r>
      <w:r w:rsidR="00AF3EAF" w:rsidRPr="00660211">
        <w:rPr>
          <w:rFonts w:ascii="Times New Roman" w:hAnsi="Times New Roman"/>
          <w:b w:val="0"/>
          <w:szCs w:val="24"/>
        </w:rPr>
        <w:t xml:space="preserve">  </w:t>
      </w:r>
      <w:r w:rsidRPr="00660211">
        <w:rPr>
          <w:rFonts w:ascii="Times New Roman" w:hAnsi="Times New Roman"/>
          <w:b w:val="0"/>
          <w:szCs w:val="24"/>
        </w:rPr>
        <w:t xml:space="preserve">Table </w:t>
      </w:r>
      <w:r w:rsidR="00075B8D" w:rsidRPr="00660211">
        <w:rPr>
          <w:rFonts w:ascii="Times New Roman" w:hAnsi="Times New Roman"/>
          <w:b w:val="0"/>
          <w:szCs w:val="24"/>
        </w:rPr>
        <w:t>3</w:t>
      </w:r>
      <w:r w:rsidRPr="00660211">
        <w:rPr>
          <w:rFonts w:ascii="Times New Roman" w:hAnsi="Times New Roman"/>
          <w:b w:val="0"/>
          <w:szCs w:val="24"/>
        </w:rPr>
        <w:t xml:space="preserve"> below summarizes the ROE data</w:t>
      </w:r>
      <w:r w:rsidR="00EB6D23" w:rsidRPr="00660211">
        <w:rPr>
          <w:rFonts w:ascii="Times New Roman" w:hAnsi="Times New Roman"/>
          <w:b w:val="0"/>
          <w:szCs w:val="24"/>
        </w:rPr>
        <w:t xml:space="preserve"> for integrated electric utilities like PacifiCorp.</w:t>
      </w:r>
    </w:p>
    <w:p w:rsidR="00BB0D51" w:rsidRPr="00660211" w:rsidRDefault="00C410DD" w:rsidP="00660211">
      <w:pPr>
        <w:pStyle w:val="BodyTextIndent2"/>
        <w:keepNext/>
        <w:suppressLineNumbers/>
        <w:tabs>
          <w:tab w:val="left" w:pos="720"/>
        </w:tabs>
        <w:spacing w:before="0" w:line="240" w:lineRule="auto"/>
        <w:ind w:right="360" w:firstLine="0"/>
        <w:jc w:val="center"/>
        <w:rPr>
          <w:rFonts w:ascii="Times New Roman" w:hAnsi="Times New Roman"/>
          <w:b w:val="0"/>
          <w:szCs w:val="24"/>
        </w:rPr>
      </w:pPr>
      <w:r w:rsidRPr="00660211">
        <w:rPr>
          <w:rFonts w:ascii="Times New Roman" w:hAnsi="Times New Roman"/>
          <w:szCs w:val="24"/>
        </w:rPr>
        <w:t xml:space="preserve">Table </w:t>
      </w:r>
      <w:r w:rsidR="00075B8D" w:rsidRPr="00660211">
        <w:rPr>
          <w:rFonts w:ascii="Times New Roman" w:hAnsi="Times New Roman"/>
          <w:szCs w:val="24"/>
        </w:rPr>
        <w:t>3</w:t>
      </w:r>
    </w:p>
    <w:p w:rsidR="00BB0D51" w:rsidRPr="00660211" w:rsidRDefault="00C410DD" w:rsidP="00660211">
      <w:pPr>
        <w:pStyle w:val="BodyTextIndent2"/>
        <w:keepNext/>
        <w:suppressLineNumbers/>
        <w:tabs>
          <w:tab w:val="left" w:pos="720"/>
          <w:tab w:val="right" w:pos="7560"/>
        </w:tabs>
        <w:spacing w:before="0"/>
        <w:ind w:right="360" w:firstLine="0"/>
        <w:jc w:val="center"/>
        <w:rPr>
          <w:rFonts w:ascii="Times New Roman" w:hAnsi="Times New Roman"/>
          <w:b w:val="0"/>
          <w:szCs w:val="24"/>
        </w:rPr>
      </w:pPr>
      <w:r w:rsidRPr="00660211">
        <w:rPr>
          <w:rFonts w:ascii="Times New Roman" w:hAnsi="Times New Roman"/>
          <w:szCs w:val="24"/>
        </w:rPr>
        <w:t>Authorized Equity Returns for Vertically</w:t>
      </w:r>
      <w:r w:rsidR="00854978">
        <w:rPr>
          <w:rFonts w:ascii="Times New Roman" w:hAnsi="Times New Roman"/>
          <w:szCs w:val="24"/>
        </w:rPr>
        <w:t xml:space="preserve"> </w:t>
      </w:r>
      <w:r w:rsidRPr="00660211">
        <w:rPr>
          <w:rFonts w:ascii="Times New Roman" w:hAnsi="Times New Roman"/>
          <w:szCs w:val="24"/>
        </w:rPr>
        <w:t>Integrated Electric Utilities</w:t>
      </w:r>
    </w:p>
    <w:p w:rsidR="00BB0D51" w:rsidRPr="00660211" w:rsidRDefault="00C410DD" w:rsidP="00660211">
      <w:pPr>
        <w:keepNext/>
        <w:keepLines/>
        <w:suppressLineNumbers/>
        <w:tabs>
          <w:tab w:val="left" w:pos="720"/>
          <w:tab w:val="right" w:pos="2160"/>
          <w:tab w:val="right" w:pos="3420"/>
          <w:tab w:val="right" w:pos="4770"/>
          <w:tab w:val="right" w:pos="6120"/>
          <w:tab w:val="right" w:pos="7380"/>
          <w:tab w:val="right" w:pos="8640"/>
        </w:tabs>
        <w:ind w:right="360"/>
        <w:rPr>
          <w:rFonts w:ascii="Times New Roman" w:hAnsi="Times New Roman"/>
          <w:szCs w:val="24"/>
          <w:u w:val="single"/>
        </w:rPr>
      </w:pPr>
      <w:r w:rsidRPr="00660211">
        <w:rPr>
          <w:rFonts w:ascii="Times New Roman" w:hAnsi="Times New Roman"/>
          <w:szCs w:val="24"/>
        </w:rPr>
        <w:tab/>
      </w:r>
      <w:r w:rsidRPr="00660211">
        <w:rPr>
          <w:rFonts w:ascii="Times New Roman" w:hAnsi="Times New Roman"/>
          <w:szCs w:val="24"/>
          <w:u w:val="single"/>
        </w:rPr>
        <w:tab/>
      </w:r>
      <w:r w:rsidRPr="00660211">
        <w:rPr>
          <w:rFonts w:ascii="Times New Roman" w:hAnsi="Times New Roman"/>
          <w:szCs w:val="24"/>
          <w:u w:val="single"/>
        </w:rPr>
        <w:tab/>
        <w:t>2009</w:t>
      </w:r>
      <w:r w:rsidRPr="00660211">
        <w:rPr>
          <w:rFonts w:ascii="Times New Roman" w:hAnsi="Times New Roman"/>
          <w:szCs w:val="24"/>
          <w:u w:val="single"/>
        </w:rPr>
        <w:tab/>
        <w:t>2010</w:t>
      </w:r>
      <w:r w:rsidRPr="00660211">
        <w:rPr>
          <w:rFonts w:ascii="Times New Roman" w:hAnsi="Times New Roman"/>
          <w:szCs w:val="24"/>
          <w:u w:val="single"/>
        </w:rPr>
        <w:tab/>
        <w:t>2011</w:t>
      </w:r>
      <w:r w:rsidRPr="00660211">
        <w:rPr>
          <w:rFonts w:ascii="Times New Roman" w:hAnsi="Times New Roman"/>
          <w:szCs w:val="24"/>
          <w:u w:val="single"/>
        </w:rPr>
        <w:tab/>
        <w:t>2012</w:t>
      </w:r>
      <w:r w:rsidRPr="00660211">
        <w:rPr>
          <w:rFonts w:ascii="Times New Roman" w:hAnsi="Times New Roman"/>
          <w:szCs w:val="24"/>
          <w:u w:val="single"/>
        </w:rPr>
        <w:tab/>
      </w:r>
      <w:r w:rsidR="00EB6D23" w:rsidRPr="00660211">
        <w:rPr>
          <w:rFonts w:ascii="Times New Roman" w:hAnsi="Times New Roman"/>
          <w:szCs w:val="24"/>
          <w:u w:val="single"/>
        </w:rPr>
        <w:t>2013*</w:t>
      </w:r>
    </w:p>
    <w:p w:rsidR="00BB0D51" w:rsidRPr="00660211" w:rsidRDefault="00C410DD" w:rsidP="00660211">
      <w:pPr>
        <w:keepNext/>
        <w:keepLines/>
        <w:suppressLineNumbers/>
        <w:tabs>
          <w:tab w:val="left" w:pos="720"/>
          <w:tab w:val="left" w:pos="1170"/>
          <w:tab w:val="right" w:pos="2160"/>
          <w:tab w:val="right" w:pos="3600"/>
          <w:tab w:val="right" w:pos="4950"/>
          <w:tab w:val="right" w:pos="6300"/>
          <w:tab w:val="right" w:pos="7560"/>
          <w:tab w:val="right" w:pos="8640"/>
        </w:tabs>
        <w:ind w:right="360"/>
        <w:rPr>
          <w:rFonts w:ascii="Times New Roman" w:hAnsi="Times New Roman"/>
          <w:szCs w:val="24"/>
        </w:rPr>
      </w:pPr>
      <w:r w:rsidRPr="00660211">
        <w:rPr>
          <w:rFonts w:ascii="Times New Roman" w:hAnsi="Times New Roman"/>
          <w:szCs w:val="24"/>
        </w:rPr>
        <w:tab/>
        <w:t>Average</w:t>
      </w:r>
      <w:r w:rsidR="00EB6D23" w:rsidRPr="00660211">
        <w:rPr>
          <w:rFonts w:ascii="Times New Roman" w:hAnsi="Times New Roman"/>
          <w:szCs w:val="24"/>
        </w:rPr>
        <w:t xml:space="preserve"> ROE</w:t>
      </w:r>
      <w:r w:rsidR="00EB6D23" w:rsidRPr="00660211">
        <w:rPr>
          <w:rFonts w:ascii="Times New Roman" w:hAnsi="Times New Roman"/>
          <w:szCs w:val="24"/>
        </w:rPr>
        <w:tab/>
      </w:r>
      <w:r w:rsidRPr="00660211">
        <w:rPr>
          <w:rFonts w:ascii="Times New Roman" w:hAnsi="Times New Roman"/>
          <w:szCs w:val="24"/>
        </w:rPr>
        <w:tab/>
        <w:t>10.63%</w:t>
      </w:r>
      <w:r w:rsidRPr="00660211">
        <w:rPr>
          <w:rFonts w:ascii="Times New Roman" w:hAnsi="Times New Roman"/>
          <w:szCs w:val="24"/>
        </w:rPr>
        <w:tab/>
        <w:t>10.38%</w:t>
      </w:r>
      <w:r w:rsidRPr="00660211">
        <w:rPr>
          <w:rFonts w:ascii="Times New Roman" w:hAnsi="Times New Roman"/>
          <w:szCs w:val="24"/>
        </w:rPr>
        <w:tab/>
        <w:t>10.24%</w:t>
      </w:r>
      <w:r w:rsidRPr="00660211">
        <w:rPr>
          <w:rFonts w:ascii="Times New Roman" w:hAnsi="Times New Roman"/>
          <w:szCs w:val="24"/>
        </w:rPr>
        <w:tab/>
        <w:t>10.</w:t>
      </w:r>
      <w:r w:rsidR="005F549D" w:rsidRPr="00660211">
        <w:rPr>
          <w:rFonts w:ascii="Times New Roman" w:hAnsi="Times New Roman"/>
          <w:szCs w:val="24"/>
        </w:rPr>
        <w:t>10</w:t>
      </w:r>
      <w:r w:rsidRPr="00660211">
        <w:rPr>
          <w:rFonts w:ascii="Times New Roman" w:hAnsi="Times New Roman"/>
          <w:szCs w:val="24"/>
        </w:rPr>
        <w:t>%</w:t>
      </w:r>
      <w:r w:rsidR="00EB6D23" w:rsidRPr="00660211">
        <w:rPr>
          <w:rFonts w:ascii="Times New Roman" w:hAnsi="Times New Roman"/>
          <w:szCs w:val="24"/>
        </w:rPr>
        <w:tab/>
        <w:t>9.84%</w:t>
      </w:r>
    </w:p>
    <w:p w:rsidR="00BB0D51" w:rsidRPr="00660211" w:rsidRDefault="00C410DD" w:rsidP="00660211">
      <w:pPr>
        <w:pStyle w:val="BodyTextIndent2"/>
        <w:keepNext/>
        <w:suppressLineNumbers/>
        <w:tabs>
          <w:tab w:val="left" w:pos="720"/>
        </w:tabs>
        <w:spacing w:before="0" w:line="240" w:lineRule="auto"/>
        <w:ind w:right="360"/>
        <w:jc w:val="left"/>
        <w:rPr>
          <w:rFonts w:ascii="Times New Roman" w:hAnsi="Times New Roman"/>
          <w:b w:val="0"/>
          <w:sz w:val="20"/>
        </w:rPr>
      </w:pPr>
      <w:r w:rsidRPr="00660211">
        <w:rPr>
          <w:rFonts w:ascii="Times New Roman" w:hAnsi="Times New Roman"/>
          <w:b w:val="0"/>
          <w:szCs w:val="24"/>
        </w:rPr>
        <w:tab/>
      </w:r>
      <w:r w:rsidRPr="00660211">
        <w:rPr>
          <w:rFonts w:ascii="Times New Roman" w:hAnsi="Times New Roman"/>
          <w:b w:val="0"/>
          <w:sz w:val="20"/>
        </w:rPr>
        <w:t xml:space="preserve">Source:  Regulatory Focus, SNL Regulatory Research Associates, Major Rate Case Decisions, </w:t>
      </w:r>
      <w:r w:rsidR="00EB6D23" w:rsidRPr="00660211">
        <w:rPr>
          <w:rFonts w:ascii="Times New Roman" w:hAnsi="Times New Roman"/>
          <w:b w:val="0"/>
          <w:sz w:val="20"/>
        </w:rPr>
        <w:t xml:space="preserve">July </w:t>
      </w:r>
      <w:r w:rsidR="005F549D" w:rsidRPr="00660211">
        <w:rPr>
          <w:rFonts w:ascii="Times New Roman" w:hAnsi="Times New Roman"/>
          <w:b w:val="0"/>
          <w:sz w:val="20"/>
        </w:rPr>
        <w:t>9</w:t>
      </w:r>
      <w:r w:rsidRPr="00660211">
        <w:rPr>
          <w:rFonts w:ascii="Times New Roman" w:hAnsi="Times New Roman"/>
          <w:b w:val="0"/>
          <w:sz w:val="20"/>
        </w:rPr>
        <w:t>;</w:t>
      </w:r>
      <w:r w:rsidR="00EB6D23" w:rsidRPr="00660211">
        <w:rPr>
          <w:rFonts w:ascii="Times New Roman" w:hAnsi="Times New Roman"/>
          <w:b w:val="0"/>
          <w:sz w:val="20"/>
        </w:rPr>
        <w:t xml:space="preserve"> 2013 and</w:t>
      </w:r>
      <w:r w:rsidRPr="00660211">
        <w:rPr>
          <w:rFonts w:ascii="Times New Roman" w:hAnsi="Times New Roman"/>
          <w:b w:val="0"/>
          <w:sz w:val="20"/>
        </w:rPr>
        <w:t xml:space="preserve"> Exhibit </w:t>
      </w:r>
      <w:r w:rsidR="00312069" w:rsidRPr="00660211">
        <w:rPr>
          <w:rFonts w:ascii="Times New Roman" w:hAnsi="Times New Roman"/>
          <w:b w:val="0"/>
          <w:sz w:val="20"/>
        </w:rPr>
        <w:t>No.___(</w:t>
      </w:r>
      <w:r w:rsidRPr="00660211">
        <w:rPr>
          <w:rFonts w:ascii="Times New Roman" w:hAnsi="Times New Roman"/>
          <w:b w:val="0"/>
          <w:sz w:val="20"/>
        </w:rPr>
        <w:t>SCH-</w:t>
      </w:r>
      <w:r w:rsidR="00EB6D23" w:rsidRPr="00660211">
        <w:rPr>
          <w:rFonts w:ascii="Times New Roman" w:hAnsi="Times New Roman"/>
          <w:b w:val="0"/>
          <w:sz w:val="20"/>
        </w:rPr>
        <w:t>11</w:t>
      </w:r>
      <w:r w:rsidR="00312069" w:rsidRPr="00660211">
        <w:rPr>
          <w:rFonts w:ascii="Times New Roman" w:hAnsi="Times New Roman"/>
          <w:b w:val="0"/>
          <w:sz w:val="20"/>
        </w:rPr>
        <w:t>)</w:t>
      </w:r>
      <w:r w:rsidR="00EB6D23" w:rsidRPr="00660211">
        <w:rPr>
          <w:rFonts w:ascii="Times New Roman" w:hAnsi="Times New Roman"/>
          <w:b w:val="0"/>
          <w:sz w:val="20"/>
        </w:rPr>
        <w:t>, page 2</w:t>
      </w:r>
      <w:r w:rsidRPr="00660211">
        <w:rPr>
          <w:rFonts w:ascii="Times New Roman" w:hAnsi="Times New Roman"/>
          <w:b w:val="0"/>
          <w:sz w:val="20"/>
        </w:rPr>
        <w:t>.</w:t>
      </w:r>
    </w:p>
    <w:p w:rsidR="00EB6D23" w:rsidRPr="00660211" w:rsidRDefault="00EB6D23" w:rsidP="00660211">
      <w:pPr>
        <w:pStyle w:val="BodyTextIndent2"/>
        <w:keepNext/>
        <w:suppressLineNumbers/>
        <w:tabs>
          <w:tab w:val="left" w:pos="720"/>
        </w:tabs>
        <w:spacing w:before="0" w:after="360" w:line="240" w:lineRule="auto"/>
        <w:ind w:right="360"/>
        <w:rPr>
          <w:rFonts w:ascii="Times New Roman" w:hAnsi="Times New Roman"/>
          <w:b w:val="0"/>
          <w:sz w:val="20"/>
        </w:rPr>
      </w:pPr>
      <w:r w:rsidRPr="00660211">
        <w:rPr>
          <w:rFonts w:ascii="Times New Roman" w:hAnsi="Times New Roman"/>
          <w:b w:val="0"/>
          <w:sz w:val="20"/>
        </w:rPr>
        <w:tab/>
        <w:t>*2013 average is for first two quarters only.</w:t>
      </w:r>
    </w:p>
    <w:p w:rsidR="00BB0D51" w:rsidRPr="00660211" w:rsidRDefault="002E0CD7" w:rsidP="00660211">
      <w:pPr>
        <w:pStyle w:val="BodyTextIndent2"/>
        <w:tabs>
          <w:tab w:val="left" w:pos="720"/>
        </w:tabs>
        <w:spacing w:before="0"/>
        <w:jc w:val="left"/>
        <w:rPr>
          <w:rFonts w:ascii="Times New Roman" w:hAnsi="Times New Roman"/>
          <w:b w:val="0"/>
          <w:szCs w:val="24"/>
        </w:rPr>
      </w:pPr>
      <w:r w:rsidRPr="00660211">
        <w:rPr>
          <w:rFonts w:ascii="Times New Roman" w:hAnsi="Times New Roman"/>
          <w:b w:val="0"/>
          <w:szCs w:val="24"/>
        </w:rPr>
        <w:tab/>
        <w:t>The 9.</w:t>
      </w:r>
      <w:r w:rsidR="00EB6D23" w:rsidRPr="00660211">
        <w:rPr>
          <w:rFonts w:ascii="Times New Roman" w:hAnsi="Times New Roman"/>
          <w:b w:val="0"/>
          <w:szCs w:val="24"/>
        </w:rPr>
        <w:t>0</w:t>
      </w:r>
      <w:r w:rsidRPr="00660211">
        <w:rPr>
          <w:rFonts w:ascii="Times New Roman" w:hAnsi="Times New Roman"/>
          <w:b w:val="0"/>
          <w:szCs w:val="24"/>
        </w:rPr>
        <w:t xml:space="preserve"> percent </w:t>
      </w:r>
      <w:r w:rsidR="00EB6D23" w:rsidRPr="00660211">
        <w:rPr>
          <w:rFonts w:ascii="Times New Roman" w:hAnsi="Times New Roman"/>
          <w:b w:val="0"/>
          <w:szCs w:val="24"/>
        </w:rPr>
        <w:t>and 9</w:t>
      </w:r>
      <w:r w:rsidR="005F549D" w:rsidRPr="00660211">
        <w:rPr>
          <w:rFonts w:ascii="Times New Roman" w:hAnsi="Times New Roman"/>
          <w:b w:val="0"/>
          <w:szCs w:val="24"/>
        </w:rPr>
        <w:t>.</w:t>
      </w:r>
      <w:r w:rsidR="00EB6D23" w:rsidRPr="00660211">
        <w:rPr>
          <w:rFonts w:ascii="Times New Roman" w:hAnsi="Times New Roman"/>
          <w:b w:val="0"/>
          <w:szCs w:val="24"/>
        </w:rPr>
        <w:t xml:space="preserve">2 percent </w:t>
      </w:r>
      <w:r w:rsidRPr="00660211">
        <w:rPr>
          <w:rFonts w:ascii="Times New Roman" w:hAnsi="Times New Roman"/>
          <w:b w:val="0"/>
          <w:szCs w:val="24"/>
        </w:rPr>
        <w:t>ROE</w:t>
      </w:r>
      <w:r w:rsidR="00EB6D23" w:rsidRPr="00660211">
        <w:rPr>
          <w:rFonts w:ascii="Times New Roman" w:hAnsi="Times New Roman"/>
          <w:b w:val="0"/>
          <w:szCs w:val="24"/>
        </w:rPr>
        <w:t>s</w:t>
      </w:r>
      <w:r w:rsidRPr="00660211">
        <w:rPr>
          <w:rFonts w:ascii="Times New Roman" w:hAnsi="Times New Roman"/>
          <w:b w:val="0"/>
          <w:szCs w:val="24"/>
        </w:rPr>
        <w:t xml:space="preserve"> recommended by Mr. Elgin and Mr. Gorman </w:t>
      </w:r>
      <w:r w:rsidR="00EB6D23" w:rsidRPr="00660211">
        <w:rPr>
          <w:rFonts w:ascii="Times New Roman" w:hAnsi="Times New Roman"/>
          <w:b w:val="0"/>
          <w:szCs w:val="24"/>
        </w:rPr>
        <w:t>are</w:t>
      </w:r>
      <w:r w:rsidRPr="00660211">
        <w:rPr>
          <w:rFonts w:ascii="Times New Roman" w:hAnsi="Times New Roman"/>
          <w:b w:val="0"/>
          <w:szCs w:val="24"/>
        </w:rPr>
        <w:t xml:space="preserve"> in stark contrast to the </w:t>
      </w:r>
      <w:r w:rsidR="00220B10">
        <w:rPr>
          <w:rFonts w:ascii="Times New Roman" w:hAnsi="Times New Roman"/>
          <w:b w:val="0"/>
          <w:szCs w:val="24"/>
        </w:rPr>
        <w:t>COE</w:t>
      </w:r>
      <w:r w:rsidRPr="00660211">
        <w:rPr>
          <w:rFonts w:ascii="Times New Roman" w:hAnsi="Times New Roman"/>
          <w:b w:val="0"/>
          <w:szCs w:val="24"/>
        </w:rPr>
        <w:t xml:space="preserve"> deemed appropriate by state regulators around the country.</w:t>
      </w:r>
    </w:p>
    <w:p w:rsidR="00BB0D51" w:rsidRPr="00550A6B" w:rsidRDefault="00637AD6" w:rsidP="00550A6B">
      <w:pPr>
        <w:pStyle w:val="Heading1"/>
      </w:pPr>
      <w:bookmarkStart w:id="3" w:name="_Toc362869157"/>
      <w:r w:rsidRPr="00550A6B">
        <w:t xml:space="preserve">Rebuttal of Staff Witness </w:t>
      </w:r>
      <w:r w:rsidR="00546AC6">
        <w:t xml:space="preserve">Kenneth L. </w:t>
      </w:r>
      <w:r w:rsidRPr="00550A6B">
        <w:t>Elgin</w:t>
      </w:r>
      <w:bookmarkEnd w:id="3"/>
    </w:p>
    <w:p w:rsidR="00BD21FE" w:rsidRPr="00660211" w:rsidRDefault="00BD21FE" w:rsidP="00660211">
      <w:pPr>
        <w:pStyle w:val="EntergyQuestion"/>
        <w:jc w:val="left"/>
        <w:rPr>
          <w:rFonts w:ascii="Times New Roman" w:hAnsi="Times New Roman" w:cs="Times New Roman"/>
          <w:b/>
        </w:rPr>
      </w:pPr>
      <w:r w:rsidRPr="00660211">
        <w:rPr>
          <w:rFonts w:ascii="Times New Roman" w:hAnsi="Times New Roman" w:cs="Times New Roman"/>
          <w:b/>
          <w:caps w:val="0"/>
        </w:rPr>
        <w:t>Q.</w:t>
      </w:r>
      <w:r w:rsidRPr="00660211">
        <w:rPr>
          <w:rFonts w:ascii="Times New Roman" w:hAnsi="Times New Roman" w:cs="Times New Roman"/>
          <w:b/>
          <w:caps w:val="0"/>
        </w:rPr>
        <w:tab/>
        <w:t>What is the basis for Mr. Elgin</w:t>
      </w:r>
      <w:r w:rsidR="003C18EA" w:rsidRPr="00660211">
        <w:rPr>
          <w:rFonts w:ascii="Times New Roman" w:hAnsi="Times New Roman" w:cs="Times New Roman"/>
          <w:b/>
          <w:caps w:val="0"/>
        </w:rPr>
        <w:t>’</w:t>
      </w:r>
      <w:r w:rsidRPr="00660211">
        <w:rPr>
          <w:rFonts w:ascii="Times New Roman" w:hAnsi="Times New Roman" w:cs="Times New Roman"/>
          <w:b/>
          <w:caps w:val="0"/>
        </w:rPr>
        <w:t>s</w:t>
      </w:r>
      <w:r w:rsidRPr="00660211">
        <w:rPr>
          <w:rFonts w:ascii="Times New Roman" w:hAnsi="Times New Roman" w:cs="Times New Roman"/>
          <w:b/>
        </w:rPr>
        <w:t xml:space="preserve"> 9.</w:t>
      </w:r>
      <w:r w:rsidR="001C66B4" w:rsidRPr="00660211">
        <w:rPr>
          <w:rFonts w:ascii="Times New Roman" w:hAnsi="Times New Roman" w:cs="Times New Roman"/>
          <w:b/>
        </w:rPr>
        <w:t>0</w:t>
      </w:r>
      <w:r w:rsidRPr="00660211">
        <w:rPr>
          <w:rFonts w:ascii="Times New Roman" w:hAnsi="Times New Roman" w:cs="Times New Roman"/>
          <w:b/>
          <w:caps w:val="0"/>
        </w:rPr>
        <w:t xml:space="preserve"> percent ROE?</w:t>
      </w:r>
    </w:p>
    <w:p w:rsidR="00A82FAC" w:rsidRPr="00660211" w:rsidRDefault="00BD21FE" w:rsidP="00660211">
      <w:pPr>
        <w:pStyle w:val="EntergyTestimony"/>
        <w:jc w:val="left"/>
        <w:rPr>
          <w:rFonts w:ascii="Times New Roman" w:hAnsi="Times New Roman" w:cs="Times New Roman"/>
        </w:rPr>
      </w:pPr>
      <w:r w:rsidRPr="00660211">
        <w:rPr>
          <w:rFonts w:ascii="Times New Roman" w:hAnsi="Times New Roman" w:cs="Times New Roman"/>
        </w:rPr>
        <w:t>A</w:t>
      </w:r>
      <w:r w:rsidR="008F2898">
        <w:rPr>
          <w:rFonts w:ascii="Times New Roman" w:hAnsi="Times New Roman" w:cs="Times New Roman"/>
        </w:rPr>
        <w:t>.</w:t>
      </w:r>
      <w:r w:rsidRPr="00660211">
        <w:rPr>
          <w:rFonts w:ascii="Times New Roman" w:hAnsi="Times New Roman" w:cs="Times New Roman"/>
        </w:rPr>
        <w:tab/>
        <w:t xml:space="preserve">Mr. Elgin relies primarily on the traditional constant growth DCF model.  </w:t>
      </w:r>
      <w:r w:rsidR="004F255C" w:rsidRPr="00660211">
        <w:rPr>
          <w:rFonts w:ascii="Times New Roman" w:hAnsi="Times New Roman" w:cs="Times New Roman"/>
        </w:rPr>
        <w:t>He also mentions</w:t>
      </w:r>
      <w:r w:rsidRPr="00660211">
        <w:rPr>
          <w:rFonts w:ascii="Times New Roman" w:hAnsi="Times New Roman" w:cs="Times New Roman"/>
        </w:rPr>
        <w:t xml:space="preserve"> CAPM and risk premium analyses</w:t>
      </w:r>
      <w:r w:rsidR="004F255C" w:rsidRPr="00660211">
        <w:rPr>
          <w:rFonts w:ascii="Times New Roman" w:hAnsi="Times New Roman" w:cs="Times New Roman"/>
        </w:rPr>
        <w:t>, but he does not include results for these methods in his final recommendation</w:t>
      </w:r>
      <w:r w:rsidRPr="00660211">
        <w:rPr>
          <w:rFonts w:ascii="Times New Roman" w:hAnsi="Times New Roman" w:cs="Times New Roman"/>
        </w:rPr>
        <w:t>.</w:t>
      </w:r>
      <w:r w:rsidR="004F255C" w:rsidRPr="00660211">
        <w:rPr>
          <w:rFonts w:ascii="Times New Roman" w:hAnsi="Times New Roman" w:cs="Times New Roman"/>
        </w:rPr>
        <w:t xml:space="preserve"> </w:t>
      </w:r>
      <w:r w:rsidRPr="00660211">
        <w:rPr>
          <w:rFonts w:ascii="Times New Roman" w:hAnsi="Times New Roman" w:cs="Times New Roman"/>
        </w:rPr>
        <w:t xml:space="preserve"> From his DCF analysis, he finds a range of </w:t>
      </w:r>
      <w:r w:rsidR="004F255C" w:rsidRPr="00660211">
        <w:rPr>
          <w:rFonts w:ascii="Times New Roman" w:hAnsi="Times New Roman" w:cs="Times New Roman"/>
        </w:rPr>
        <w:t>8.5</w:t>
      </w:r>
      <w:r w:rsidR="00660211">
        <w:rPr>
          <w:rFonts w:ascii="Times New Roman" w:hAnsi="Times New Roman" w:cs="Times New Roman"/>
        </w:rPr>
        <w:t> </w:t>
      </w:r>
      <w:r w:rsidRPr="00660211">
        <w:rPr>
          <w:rFonts w:ascii="Times New Roman" w:hAnsi="Times New Roman" w:cs="Times New Roman"/>
        </w:rPr>
        <w:t>percent to 9.</w:t>
      </w:r>
      <w:r w:rsidR="004F255C" w:rsidRPr="00660211">
        <w:rPr>
          <w:rFonts w:ascii="Times New Roman" w:hAnsi="Times New Roman" w:cs="Times New Roman"/>
        </w:rPr>
        <w:t>0</w:t>
      </w:r>
      <w:r w:rsidRPr="00660211">
        <w:rPr>
          <w:rFonts w:ascii="Times New Roman" w:hAnsi="Times New Roman" w:cs="Times New Roman"/>
        </w:rPr>
        <w:t xml:space="preserve"> percent.</w:t>
      </w:r>
      <w:r w:rsidR="000C4757" w:rsidRPr="005C3E56">
        <w:rPr>
          <w:rFonts w:ascii="Times New Roman" w:hAnsi="Times New Roman" w:cs="Times New Roman"/>
          <w:vertAlign w:val="superscript"/>
        </w:rPr>
        <w:footnoteReference w:id="5"/>
      </w:r>
      <w:r w:rsidRPr="00660211">
        <w:rPr>
          <w:rFonts w:ascii="Times New Roman" w:hAnsi="Times New Roman" w:cs="Times New Roman"/>
        </w:rPr>
        <w:t xml:space="preserve"> </w:t>
      </w:r>
      <w:r w:rsidR="00312069" w:rsidRPr="00660211">
        <w:rPr>
          <w:rFonts w:ascii="Times New Roman" w:hAnsi="Times New Roman" w:cs="Times New Roman"/>
        </w:rPr>
        <w:t xml:space="preserve"> </w:t>
      </w:r>
      <w:r w:rsidR="004F255C" w:rsidRPr="00660211">
        <w:rPr>
          <w:rFonts w:ascii="Times New Roman" w:hAnsi="Times New Roman" w:cs="Times New Roman"/>
        </w:rPr>
        <w:t xml:space="preserve">While he does not perform an independent CAPM or risk premium analysis, he acknowledges that the CAPM </w:t>
      </w:r>
      <w:r w:rsidRPr="00660211">
        <w:rPr>
          <w:rFonts w:ascii="Times New Roman" w:hAnsi="Times New Roman" w:cs="Times New Roman"/>
        </w:rPr>
        <w:t xml:space="preserve">produces a range of </w:t>
      </w:r>
      <w:r w:rsidR="004F255C" w:rsidRPr="00660211">
        <w:rPr>
          <w:rFonts w:ascii="Times New Roman" w:hAnsi="Times New Roman" w:cs="Times New Roman"/>
        </w:rPr>
        <w:t>7.55</w:t>
      </w:r>
      <w:r w:rsidRPr="00660211">
        <w:rPr>
          <w:rFonts w:ascii="Times New Roman" w:hAnsi="Times New Roman" w:cs="Times New Roman"/>
        </w:rPr>
        <w:t xml:space="preserve"> percent to </w:t>
      </w:r>
      <w:r w:rsidR="004F255C" w:rsidRPr="00660211">
        <w:rPr>
          <w:rFonts w:ascii="Times New Roman" w:hAnsi="Times New Roman" w:cs="Times New Roman"/>
        </w:rPr>
        <w:t>8.25</w:t>
      </w:r>
      <w:r w:rsidRPr="00660211">
        <w:rPr>
          <w:rFonts w:ascii="Times New Roman" w:hAnsi="Times New Roman" w:cs="Times New Roman"/>
        </w:rPr>
        <w:t xml:space="preserve"> percent</w:t>
      </w:r>
      <w:r w:rsidR="00312069" w:rsidRPr="00660211">
        <w:rPr>
          <w:rFonts w:ascii="Times New Roman" w:hAnsi="Times New Roman" w:cs="Times New Roman"/>
        </w:rPr>
        <w:t>,</w:t>
      </w:r>
      <w:r w:rsidR="00F54F0B" w:rsidRPr="005C3E56">
        <w:rPr>
          <w:rFonts w:ascii="Times New Roman" w:hAnsi="Times New Roman" w:cs="Times New Roman"/>
          <w:vertAlign w:val="superscript"/>
        </w:rPr>
        <w:footnoteReference w:id="6"/>
      </w:r>
      <w:r w:rsidR="004F255C" w:rsidRPr="005C3E56">
        <w:rPr>
          <w:rFonts w:ascii="Times New Roman" w:hAnsi="Times New Roman" w:cs="Times New Roman"/>
          <w:vertAlign w:val="superscript"/>
        </w:rPr>
        <w:t xml:space="preserve"> </w:t>
      </w:r>
      <w:r w:rsidR="004F255C" w:rsidRPr="00660211">
        <w:rPr>
          <w:rFonts w:ascii="Times New Roman" w:hAnsi="Times New Roman" w:cs="Times New Roman"/>
        </w:rPr>
        <w:t xml:space="preserve">and states that he believes the risk premium (4.5%) implied by his 9.0 percent ROE recommendation is </w:t>
      </w:r>
      <w:r w:rsidR="005D20CB" w:rsidRPr="00660211">
        <w:rPr>
          <w:rFonts w:ascii="Times New Roman" w:hAnsi="Times New Roman" w:cs="Times New Roman"/>
        </w:rPr>
        <w:t xml:space="preserve">“more than </w:t>
      </w:r>
      <w:r w:rsidR="004F255C" w:rsidRPr="00660211">
        <w:rPr>
          <w:rFonts w:ascii="Times New Roman" w:hAnsi="Times New Roman" w:cs="Times New Roman"/>
        </w:rPr>
        <w:t>adequate</w:t>
      </w:r>
      <w:r w:rsidR="005D20CB" w:rsidRPr="00660211">
        <w:rPr>
          <w:rFonts w:ascii="Times New Roman" w:hAnsi="Times New Roman" w:cs="Times New Roman"/>
        </w:rPr>
        <w:t>”</w:t>
      </w:r>
      <w:r w:rsidR="008F2898">
        <w:rPr>
          <w:rFonts w:ascii="Times New Roman" w:hAnsi="Times New Roman" w:cs="Times New Roman"/>
        </w:rPr>
        <w:t>.</w:t>
      </w:r>
      <w:r w:rsidR="00F54F0B" w:rsidRPr="005C3E56">
        <w:rPr>
          <w:rFonts w:ascii="Times New Roman" w:hAnsi="Times New Roman" w:cs="Times New Roman"/>
          <w:vertAlign w:val="superscript"/>
        </w:rPr>
        <w:footnoteReference w:id="7"/>
      </w:r>
      <w:r w:rsidR="005D20CB" w:rsidRPr="00660211">
        <w:rPr>
          <w:rFonts w:ascii="Times New Roman" w:hAnsi="Times New Roman" w:cs="Times New Roman"/>
        </w:rPr>
        <w:t xml:space="preserve"> </w:t>
      </w:r>
      <w:r w:rsidR="004F255C" w:rsidRPr="00660211">
        <w:rPr>
          <w:rFonts w:ascii="Times New Roman" w:hAnsi="Times New Roman" w:cs="Times New Roman"/>
        </w:rPr>
        <w:t xml:space="preserve"> </w:t>
      </w:r>
    </w:p>
    <w:p w:rsidR="00BD21FE" w:rsidRPr="00660211" w:rsidRDefault="00BD21FE" w:rsidP="00660211">
      <w:pPr>
        <w:pStyle w:val="EntergyTestimony"/>
        <w:keepNext/>
        <w:jc w:val="left"/>
        <w:rPr>
          <w:rFonts w:ascii="Times New Roman" w:hAnsi="Times New Roman" w:cs="Times New Roman"/>
          <w:b/>
        </w:rPr>
      </w:pPr>
      <w:r w:rsidRPr="00660211">
        <w:rPr>
          <w:rFonts w:ascii="Times New Roman" w:hAnsi="Times New Roman" w:cs="Times New Roman"/>
          <w:b/>
        </w:rPr>
        <w:t>Q</w:t>
      </w:r>
      <w:r w:rsidR="00023F7F" w:rsidRPr="00660211">
        <w:rPr>
          <w:rFonts w:ascii="Times New Roman" w:hAnsi="Times New Roman" w:cs="Times New Roman"/>
          <w:b/>
        </w:rPr>
        <w:t>.</w:t>
      </w:r>
      <w:r w:rsidRPr="00660211">
        <w:rPr>
          <w:rFonts w:ascii="Times New Roman" w:hAnsi="Times New Roman" w:cs="Times New Roman"/>
          <w:b/>
        </w:rPr>
        <w:tab/>
        <w:t xml:space="preserve">What is your </w:t>
      </w:r>
      <w:r w:rsidR="00AF3EAF" w:rsidRPr="00660211">
        <w:rPr>
          <w:rFonts w:ascii="Times New Roman" w:hAnsi="Times New Roman" w:cs="Times New Roman"/>
          <w:b/>
        </w:rPr>
        <w:t xml:space="preserve">general </w:t>
      </w:r>
      <w:r w:rsidR="00CA3B2B" w:rsidRPr="00660211">
        <w:rPr>
          <w:rFonts w:ascii="Times New Roman" w:hAnsi="Times New Roman" w:cs="Times New Roman"/>
          <w:b/>
        </w:rPr>
        <w:t>impression of</w:t>
      </w:r>
      <w:r w:rsidRPr="00660211">
        <w:rPr>
          <w:rFonts w:ascii="Times New Roman" w:hAnsi="Times New Roman" w:cs="Times New Roman"/>
          <w:b/>
        </w:rPr>
        <w:t xml:space="preserve"> Mr. </w:t>
      </w:r>
      <w:r w:rsidR="00AF3EAF" w:rsidRPr="00660211">
        <w:rPr>
          <w:rFonts w:ascii="Times New Roman" w:hAnsi="Times New Roman" w:cs="Times New Roman"/>
          <w:b/>
        </w:rPr>
        <w:t>Elgin</w:t>
      </w:r>
      <w:r w:rsidR="003C18EA" w:rsidRPr="00660211">
        <w:rPr>
          <w:rFonts w:ascii="Times New Roman" w:hAnsi="Times New Roman" w:cs="Times New Roman"/>
          <w:b/>
        </w:rPr>
        <w:t>’</w:t>
      </w:r>
      <w:r w:rsidR="00AF3EAF" w:rsidRPr="00660211">
        <w:rPr>
          <w:rFonts w:ascii="Times New Roman" w:hAnsi="Times New Roman" w:cs="Times New Roman"/>
          <w:b/>
        </w:rPr>
        <w:t>s</w:t>
      </w:r>
      <w:r w:rsidRPr="00660211">
        <w:rPr>
          <w:rFonts w:ascii="Times New Roman" w:hAnsi="Times New Roman" w:cs="Times New Roman"/>
          <w:b/>
        </w:rPr>
        <w:t xml:space="preserve"> </w:t>
      </w:r>
      <w:r w:rsidR="00CA3B2B" w:rsidRPr="00660211">
        <w:rPr>
          <w:rFonts w:ascii="Times New Roman" w:hAnsi="Times New Roman" w:cs="Times New Roman"/>
          <w:b/>
        </w:rPr>
        <w:t>testimony</w:t>
      </w:r>
      <w:r w:rsidRPr="00660211">
        <w:rPr>
          <w:rFonts w:ascii="Times New Roman" w:hAnsi="Times New Roman" w:cs="Times New Roman"/>
          <w:b/>
        </w:rPr>
        <w:t>?</w:t>
      </w:r>
    </w:p>
    <w:p w:rsidR="00BD21FE" w:rsidRPr="00660211" w:rsidRDefault="00023F7F" w:rsidP="00660211">
      <w:pPr>
        <w:pStyle w:val="EntergyTestimony"/>
        <w:jc w:val="left"/>
        <w:rPr>
          <w:rFonts w:ascii="Times New Roman" w:hAnsi="Times New Roman" w:cs="Times New Roman"/>
        </w:rPr>
      </w:pPr>
      <w:r w:rsidRPr="00660211">
        <w:rPr>
          <w:rFonts w:ascii="Times New Roman" w:hAnsi="Times New Roman" w:cs="Times New Roman"/>
        </w:rPr>
        <w:t>A.</w:t>
      </w:r>
      <w:r w:rsidR="00BD21FE" w:rsidRPr="00660211">
        <w:rPr>
          <w:rFonts w:ascii="Times New Roman" w:hAnsi="Times New Roman" w:cs="Times New Roman"/>
        </w:rPr>
        <w:tab/>
        <w:t xml:space="preserve">I disagree with </w:t>
      </w:r>
      <w:r w:rsidR="008A238F" w:rsidRPr="00660211">
        <w:rPr>
          <w:rFonts w:ascii="Times New Roman" w:hAnsi="Times New Roman" w:cs="Times New Roman"/>
        </w:rPr>
        <w:t>Mr. Elgin’s</w:t>
      </w:r>
      <w:r w:rsidR="00BD21FE" w:rsidRPr="00660211">
        <w:rPr>
          <w:rFonts w:ascii="Times New Roman" w:hAnsi="Times New Roman" w:cs="Times New Roman"/>
        </w:rPr>
        <w:t xml:space="preserve"> </w:t>
      </w:r>
      <w:r w:rsidR="00D155EB" w:rsidRPr="00660211">
        <w:rPr>
          <w:rFonts w:ascii="Times New Roman" w:hAnsi="Times New Roman" w:cs="Times New Roman"/>
        </w:rPr>
        <w:t>interpretation of current economic con</w:t>
      </w:r>
      <w:r w:rsidR="002D72B6" w:rsidRPr="00660211">
        <w:rPr>
          <w:rFonts w:ascii="Times New Roman" w:hAnsi="Times New Roman" w:cs="Times New Roman"/>
        </w:rPr>
        <w:t>ditions</w:t>
      </w:r>
      <w:r w:rsidR="00854978">
        <w:rPr>
          <w:rFonts w:ascii="Times New Roman" w:hAnsi="Times New Roman" w:cs="Times New Roman"/>
        </w:rPr>
        <w:t>,</w:t>
      </w:r>
      <w:r w:rsidR="00D155EB" w:rsidRPr="00660211">
        <w:rPr>
          <w:rFonts w:ascii="Times New Roman" w:hAnsi="Times New Roman" w:cs="Times New Roman"/>
        </w:rPr>
        <w:t xml:space="preserve"> I disagree with his comparable company selections</w:t>
      </w:r>
      <w:r w:rsidR="00854978">
        <w:rPr>
          <w:rFonts w:ascii="Times New Roman" w:hAnsi="Times New Roman" w:cs="Times New Roman"/>
        </w:rPr>
        <w:t>,</w:t>
      </w:r>
      <w:r w:rsidR="00D155EB" w:rsidRPr="00660211">
        <w:rPr>
          <w:rFonts w:ascii="Times New Roman" w:hAnsi="Times New Roman" w:cs="Times New Roman"/>
        </w:rPr>
        <w:t xml:space="preserve"> a</w:t>
      </w:r>
      <w:r w:rsidR="002D72B6" w:rsidRPr="00660211">
        <w:rPr>
          <w:rFonts w:ascii="Times New Roman" w:hAnsi="Times New Roman" w:cs="Times New Roman"/>
        </w:rPr>
        <w:t xml:space="preserve">nd I disagree with the </w:t>
      </w:r>
      <w:r w:rsidR="00D155EB" w:rsidRPr="00660211">
        <w:rPr>
          <w:rFonts w:ascii="Times New Roman" w:hAnsi="Times New Roman" w:cs="Times New Roman"/>
        </w:rPr>
        <w:t>growth rates he uses in his DCF model.</w:t>
      </w:r>
      <w:r w:rsidRPr="00660211">
        <w:rPr>
          <w:rFonts w:ascii="Times New Roman" w:hAnsi="Times New Roman" w:cs="Times New Roman"/>
        </w:rPr>
        <w:t xml:space="preserve"> </w:t>
      </w:r>
      <w:r w:rsidR="00312069" w:rsidRPr="00660211">
        <w:rPr>
          <w:rFonts w:ascii="Times New Roman" w:hAnsi="Times New Roman" w:cs="Times New Roman"/>
        </w:rPr>
        <w:t xml:space="preserve"> </w:t>
      </w:r>
      <w:r w:rsidR="00D155EB" w:rsidRPr="00660211">
        <w:rPr>
          <w:rFonts w:ascii="Times New Roman" w:hAnsi="Times New Roman" w:cs="Times New Roman"/>
        </w:rPr>
        <w:t xml:space="preserve">Contrary to Mr. Elgin’s discussion, economic conditions are improving and interest rates </w:t>
      </w:r>
      <w:r w:rsidR="001E51F4" w:rsidRPr="00660211">
        <w:rPr>
          <w:rFonts w:ascii="Times New Roman" w:hAnsi="Times New Roman" w:cs="Times New Roman"/>
        </w:rPr>
        <w:t xml:space="preserve">are </w:t>
      </w:r>
      <w:r w:rsidR="00D155EB" w:rsidRPr="00660211">
        <w:rPr>
          <w:rFonts w:ascii="Times New Roman" w:hAnsi="Times New Roman" w:cs="Times New Roman"/>
        </w:rPr>
        <w:t>increasing.  Mr. Elgin is also overly selective in his compa</w:t>
      </w:r>
      <w:r w:rsidR="001E06B2" w:rsidRPr="00660211">
        <w:rPr>
          <w:rFonts w:ascii="Times New Roman" w:hAnsi="Times New Roman" w:cs="Times New Roman"/>
        </w:rPr>
        <w:t xml:space="preserve">rable company selections.  </w:t>
      </w:r>
      <w:r w:rsidR="007814BA" w:rsidRPr="00660211">
        <w:rPr>
          <w:rFonts w:ascii="Times New Roman" w:hAnsi="Times New Roman" w:cs="Times New Roman"/>
        </w:rPr>
        <w:t xml:space="preserve">His proxy group, made up of only </w:t>
      </w:r>
      <w:r w:rsidR="005D20CB" w:rsidRPr="00660211">
        <w:rPr>
          <w:rFonts w:ascii="Times New Roman" w:hAnsi="Times New Roman" w:cs="Times New Roman"/>
        </w:rPr>
        <w:t>eight</w:t>
      </w:r>
      <w:r w:rsidR="007814BA" w:rsidRPr="00660211">
        <w:rPr>
          <w:rFonts w:ascii="Times New Roman" w:hAnsi="Times New Roman" w:cs="Times New Roman"/>
        </w:rPr>
        <w:t xml:space="preserve"> companies, is too small to be statistically reliable</w:t>
      </w:r>
      <w:r w:rsidR="00CA3B2B" w:rsidRPr="00660211">
        <w:rPr>
          <w:rFonts w:ascii="Times New Roman" w:hAnsi="Times New Roman" w:cs="Times New Roman"/>
        </w:rPr>
        <w:t xml:space="preserve">, and, as </w:t>
      </w:r>
      <w:r w:rsidR="007814BA" w:rsidRPr="00660211">
        <w:rPr>
          <w:rFonts w:ascii="Times New Roman" w:hAnsi="Times New Roman" w:cs="Times New Roman"/>
        </w:rPr>
        <w:t xml:space="preserve">is obvious from </w:t>
      </w:r>
      <w:r w:rsidR="00CA3B2B" w:rsidRPr="00660211">
        <w:rPr>
          <w:rFonts w:ascii="Times New Roman" w:hAnsi="Times New Roman" w:cs="Times New Roman"/>
        </w:rPr>
        <w:t>his own discussion</w:t>
      </w:r>
      <w:r w:rsidR="007814BA" w:rsidRPr="00660211">
        <w:rPr>
          <w:rFonts w:ascii="Times New Roman" w:hAnsi="Times New Roman" w:cs="Times New Roman"/>
        </w:rPr>
        <w:t xml:space="preserve">, </w:t>
      </w:r>
      <w:r w:rsidR="005D20CB" w:rsidRPr="00660211">
        <w:rPr>
          <w:rFonts w:ascii="Times New Roman" w:hAnsi="Times New Roman" w:cs="Times New Roman"/>
        </w:rPr>
        <w:t>the Commission has noted this problem with his analysis in prior cases.</w:t>
      </w:r>
      <w:r w:rsidR="007814BA" w:rsidRPr="00660211">
        <w:rPr>
          <w:rFonts w:ascii="Times New Roman" w:hAnsi="Times New Roman" w:cs="Times New Roman"/>
        </w:rPr>
        <w:t xml:space="preserve"> </w:t>
      </w:r>
      <w:r w:rsidR="00542CA8" w:rsidRPr="00660211">
        <w:rPr>
          <w:rFonts w:ascii="Times New Roman" w:hAnsi="Times New Roman" w:cs="Times New Roman"/>
        </w:rPr>
        <w:t xml:space="preserve"> Finally, while Mr. Elgin discusses various growth rate methodologies, he relies principally on internal growth rates and growth in book value.  As I will explain, his criticism of analysts’ growth rates is out of sync with methods used by most regulatory economists and entirely contrary </w:t>
      </w:r>
      <w:r w:rsidR="001E51F4" w:rsidRPr="00660211">
        <w:rPr>
          <w:rFonts w:ascii="Times New Roman" w:hAnsi="Times New Roman" w:cs="Times New Roman"/>
        </w:rPr>
        <w:t>to</w:t>
      </w:r>
      <w:r w:rsidR="00542CA8" w:rsidRPr="00660211">
        <w:rPr>
          <w:rFonts w:ascii="Times New Roman" w:hAnsi="Times New Roman" w:cs="Times New Roman"/>
        </w:rPr>
        <w:t xml:space="preserve"> Mr. Gorman’s discussion of analysts’ growth rates.  All these factor</w:t>
      </w:r>
      <w:r w:rsidR="00312069" w:rsidRPr="00660211">
        <w:rPr>
          <w:rFonts w:ascii="Times New Roman" w:hAnsi="Times New Roman" w:cs="Times New Roman"/>
        </w:rPr>
        <w:t>s</w:t>
      </w:r>
      <w:r w:rsidR="00542CA8" w:rsidRPr="00660211">
        <w:rPr>
          <w:rFonts w:ascii="Times New Roman" w:hAnsi="Times New Roman" w:cs="Times New Roman"/>
        </w:rPr>
        <w:t xml:space="preserve"> lead to inappropriately lower outcomes in Mr. Elgin’s analysis.</w:t>
      </w:r>
    </w:p>
    <w:p w:rsidR="00BB0D51" w:rsidRPr="00660211" w:rsidRDefault="005B6964"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r>
      <w:r w:rsidR="00542CA8" w:rsidRPr="00660211">
        <w:rPr>
          <w:rFonts w:ascii="Times New Roman" w:hAnsi="Times New Roman"/>
          <w:b/>
          <w:color w:val="000000"/>
          <w:sz w:val="24"/>
          <w:szCs w:val="24"/>
        </w:rPr>
        <w:t>Why do you disagree with Mr. Elgin’s discussion of current economic conditions?</w:t>
      </w:r>
    </w:p>
    <w:p w:rsidR="00BB0D51" w:rsidRPr="00660211" w:rsidRDefault="005B6964" w:rsidP="005C3E56">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r>
      <w:r w:rsidR="007170CD" w:rsidRPr="00660211">
        <w:rPr>
          <w:rFonts w:ascii="Times New Roman" w:hAnsi="Times New Roman"/>
          <w:color w:val="000000"/>
          <w:sz w:val="24"/>
          <w:szCs w:val="24"/>
        </w:rPr>
        <w:t xml:space="preserve">Mr. Elgin </w:t>
      </w:r>
      <w:r w:rsidR="005D20CB" w:rsidRPr="00660211">
        <w:rPr>
          <w:rFonts w:ascii="Times New Roman" w:hAnsi="Times New Roman"/>
          <w:color w:val="000000"/>
          <w:sz w:val="24"/>
          <w:szCs w:val="24"/>
        </w:rPr>
        <w:t xml:space="preserve">summarizes his view of the economy’s impact on page 8.  In that conclusion </w:t>
      </w:r>
      <w:r w:rsidR="005C3E56">
        <w:rPr>
          <w:rFonts w:ascii="Times New Roman" w:hAnsi="Times New Roman"/>
          <w:color w:val="000000"/>
          <w:sz w:val="24"/>
          <w:szCs w:val="24"/>
        </w:rPr>
        <w:t>he states:  “</w:t>
      </w:r>
      <w:r w:rsidR="005D20CB" w:rsidRPr="00660211">
        <w:rPr>
          <w:rFonts w:ascii="Times New Roman" w:hAnsi="Times New Roman"/>
          <w:color w:val="000000"/>
          <w:sz w:val="24"/>
          <w:szCs w:val="24"/>
        </w:rPr>
        <w:t xml:space="preserve">My general conclusion is that the current macro-economic climate will continue.  The Federal Reserve has been explicit that its monetary policy is designed to stimulate economic activity and will continue </w:t>
      </w:r>
      <w:r w:rsidR="001E1FF5" w:rsidRPr="00660211">
        <w:rPr>
          <w:rFonts w:ascii="Times New Roman" w:hAnsi="Times New Roman"/>
          <w:color w:val="000000"/>
          <w:sz w:val="24"/>
          <w:szCs w:val="24"/>
        </w:rPr>
        <w:t>for the</w:t>
      </w:r>
      <w:r w:rsidR="005D20CB" w:rsidRPr="00660211">
        <w:rPr>
          <w:rFonts w:ascii="Times New Roman" w:hAnsi="Times New Roman"/>
          <w:color w:val="000000"/>
          <w:sz w:val="24"/>
          <w:szCs w:val="24"/>
        </w:rPr>
        <w:t xml:space="preserve"> foreseeable future.</w:t>
      </w:r>
      <w:r w:rsidR="005C3E56">
        <w:rPr>
          <w:rFonts w:ascii="Times New Roman" w:hAnsi="Times New Roman"/>
          <w:color w:val="000000"/>
          <w:sz w:val="24"/>
          <w:szCs w:val="24"/>
        </w:rPr>
        <w:t>”</w:t>
      </w:r>
      <w:r w:rsidR="001E51F4" w:rsidRPr="005C3E56">
        <w:rPr>
          <w:rFonts w:ascii="Times New Roman" w:hAnsi="Times New Roman"/>
          <w:sz w:val="24"/>
          <w:szCs w:val="24"/>
          <w:vertAlign w:val="superscript"/>
        </w:rPr>
        <w:footnoteReference w:id="8"/>
      </w:r>
    </w:p>
    <w:p w:rsidR="00BB0D51" w:rsidRPr="00660211" w:rsidRDefault="0097569D" w:rsidP="005C3E56">
      <w:pPr>
        <w:pStyle w:val="FootnoteText"/>
        <w:keepN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t xml:space="preserve">Is </w:t>
      </w:r>
      <w:r w:rsidR="007170CD" w:rsidRPr="00660211">
        <w:rPr>
          <w:rFonts w:ascii="Times New Roman" w:hAnsi="Times New Roman"/>
          <w:b/>
          <w:color w:val="000000"/>
          <w:sz w:val="24"/>
          <w:szCs w:val="24"/>
        </w:rPr>
        <w:t>Mr. Elgin</w:t>
      </w:r>
      <w:r w:rsidR="003C18EA" w:rsidRPr="00660211">
        <w:rPr>
          <w:rFonts w:ascii="Times New Roman" w:hAnsi="Times New Roman"/>
          <w:b/>
          <w:color w:val="000000"/>
          <w:sz w:val="24"/>
          <w:szCs w:val="24"/>
        </w:rPr>
        <w:t>’</w:t>
      </w:r>
      <w:r w:rsidR="007170CD" w:rsidRPr="00660211">
        <w:rPr>
          <w:rFonts w:ascii="Times New Roman" w:hAnsi="Times New Roman"/>
          <w:b/>
          <w:color w:val="000000"/>
          <w:sz w:val="24"/>
          <w:szCs w:val="24"/>
        </w:rPr>
        <w:t>s conclusion</w:t>
      </w:r>
      <w:r w:rsidRPr="00660211">
        <w:rPr>
          <w:rFonts w:ascii="Times New Roman" w:hAnsi="Times New Roman"/>
          <w:b/>
          <w:color w:val="000000"/>
          <w:sz w:val="24"/>
          <w:szCs w:val="24"/>
        </w:rPr>
        <w:t xml:space="preserve"> consistent with current Fed policy</w:t>
      </w:r>
      <w:r w:rsidR="007170CD" w:rsidRPr="00660211">
        <w:rPr>
          <w:rFonts w:ascii="Times New Roman" w:hAnsi="Times New Roman"/>
          <w:b/>
          <w:color w:val="000000"/>
          <w:sz w:val="24"/>
          <w:szCs w:val="24"/>
        </w:rPr>
        <w:t>?</w:t>
      </w:r>
    </w:p>
    <w:p w:rsidR="00BB0D51" w:rsidRPr="00660211" w:rsidRDefault="007170CD"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r>
      <w:r w:rsidR="0097569D" w:rsidRPr="00660211">
        <w:rPr>
          <w:rFonts w:ascii="Times New Roman" w:hAnsi="Times New Roman"/>
          <w:color w:val="000000"/>
          <w:sz w:val="24"/>
          <w:szCs w:val="24"/>
        </w:rPr>
        <w:t xml:space="preserve">No.  </w:t>
      </w:r>
      <w:r w:rsidR="001E51F4" w:rsidRPr="00660211">
        <w:rPr>
          <w:rFonts w:ascii="Times New Roman" w:hAnsi="Times New Roman"/>
          <w:color w:val="000000"/>
          <w:sz w:val="24"/>
          <w:szCs w:val="24"/>
        </w:rPr>
        <w:t>S</w:t>
      </w:r>
      <w:r w:rsidR="0097569D" w:rsidRPr="00660211">
        <w:rPr>
          <w:rFonts w:ascii="Times New Roman" w:hAnsi="Times New Roman"/>
          <w:color w:val="000000"/>
          <w:sz w:val="24"/>
          <w:szCs w:val="24"/>
        </w:rPr>
        <w:t xml:space="preserve">ome market analysts had predicted </w:t>
      </w:r>
      <w:r w:rsidR="001E51F4" w:rsidRPr="00660211">
        <w:rPr>
          <w:rFonts w:ascii="Times New Roman" w:hAnsi="Times New Roman"/>
          <w:color w:val="000000"/>
          <w:sz w:val="24"/>
          <w:szCs w:val="24"/>
        </w:rPr>
        <w:t xml:space="preserve">in May and early June </w:t>
      </w:r>
      <w:r w:rsidR="0097569D" w:rsidRPr="00660211">
        <w:rPr>
          <w:rFonts w:ascii="Times New Roman" w:hAnsi="Times New Roman"/>
          <w:color w:val="000000"/>
          <w:sz w:val="24"/>
          <w:szCs w:val="24"/>
        </w:rPr>
        <w:t>that the Fed stimulative monetary policy might be tapered down</w:t>
      </w:r>
      <w:r w:rsidR="001E51F4" w:rsidRPr="00660211">
        <w:rPr>
          <w:rFonts w:ascii="Times New Roman" w:hAnsi="Times New Roman"/>
          <w:color w:val="000000"/>
          <w:sz w:val="24"/>
          <w:szCs w:val="24"/>
        </w:rPr>
        <w:t xml:space="preserve"> and this caused downward pressure on utility stock prices during this period.</w:t>
      </w:r>
      <w:r w:rsidR="00726669" w:rsidRPr="00660211">
        <w:rPr>
          <w:rFonts w:ascii="Times New Roman" w:hAnsi="Times New Roman"/>
          <w:color w:val="000000"/>
          <w:sz w:val="24"/>
          <w:szCs w:val="24"/>
        </w:rPr>
        <w:t xml:space="preserve"> </w:t>
      </w:r>
      <w:r w:rsidR="0097569D" w:rsidRPr="00660211">
        <w:rPr>
          <w:rFonts w:ascii="Times New Roman" w:hAnsi="Times New Roman"/>
          <w:color w:val="000000"/>
          <w:sz w:val="24"/>
          <w:szCs w:val="24"/>
        </w:rPr>
        <w:t xml:space="preserve"> Mr. Elgin, in his testimony filed on June 21, </w:t>
      </w:r>
      <w:r w:rsidR="00925280" w:rsidRPr="00660211">
        <w:rPr>
          <w:rFonts w:ascii="Times New Roman" w:hAnsi="Times New Roman"/>
          <w:color w:val="000000"/>
          <w:sz w:val="24"/>
          <w:szCs w:val="24"/>
        </w:rPr>
        <w:t xml:space="preserve">2013, </w:t>
      </w:r>
      <w:r w:rsidR="0097569D" w:rsidRPr="00660211">
        <w:rPr>
          <w:rFonts w:ascii="Times New Roman" w:hAnsi="Times New Roman"/>
          <w:color w:val="000000"/>
          <w:sz w:val="24"/>
          <w:szCs w:val="24"/>
        </w:rPr>
        <w:t xml:space="preserve">did not include </w:t>
      </w:r>
      <w:r w:rsidR="001E51F4" w:rsidRPr="00660211">
        <w:rPr>
          <w:rFonts w:ascii="Times New Roman" w:hAnsi="Times New Roman"/>
          <w:color w:val="000000"/>
          <w:sz w:val="24"/>
          <w:szCs w:val="24"/>
        </w:rPr>
        <w:t xml:space="preserve">any discussion on potential Fed policy changes or </w:t>
      </w:r>
      <w:r w:rsidR="0097569D" w:rsidRPr="00660211">
        <w:rPr>
          <w:rFonts w:ascii="Times New Roman" w:hAnsi="Times New Roman"/>
          <w:color w:val="000000"/>
          <w:sz w:val="24"/>
          <w:szCs w:val="24"/>
        </w:rPr>
        <w:t>the effects of the previously discussed FOMC announcement on June</w:t>
      </w:r>
      <w:r w:rsidR="00837F61" w:rsidRPr="00660211">
        <w:rPr>
          <w:rFonts w:ascii="Times New Roman" w:hAnsi="Times New Roman"/>
          <w:color w:val="000000"/>
          <w:sz w:val="24"/>
          <w:szCs w:val="24"/>
        </w:rPr>
        <w:t xml:space="preserve"> </w:t>
      </w:r>
      <w:r w:rsidR="0097569D" w:rsidRPr="00660211">
        <w:rPr>
          <w:rFonts w:ascii="Times New Roman" w:hAnsi="Times New Roman"/>
          <w:color w:val="000000"/>
          <w:sz w:val="24"/>
          <w:szCs w:val="24"/>
        </w:rPr>
        <w:t>19</w:t>
      </w:r>
      <w:r w:rsidR="00925280" w:rsidRPr="00660211">
        <w:rPr>
          <w:rFonts w:ascii="Times New Roman" w:hAnsi="Times New Roman"/>
          <w:color w:val="000000"/>
          <w:sz w:val="24"/>
          <w:szCs w:val="24"/>
        </w:rPr>
        <w:t>, 2013</w:t>
      </w:r>
      <w:r w:rsidR="0097569D" w:rsidRPr="00660211">
        <w:rPr>
          <w:rFonts w:ascii="Times New Roman" w:hAnsi="Times New Roman"/>
          <w:color w:val="000000"/>
          <w:sz w:val="24"/>
          <w:szCs w:val="24"/>
        </w:rPr>
        <w:t>.  His economic conclusions and his conclusions that low interest rates w</w:t>
      </w:r>
      <w:r w:rsidR="00542CA8" w:rsidRPr="00660211">
        <w:rPr>
          <w:rFonts w:ascii="Times New Roman" w:hAnsi="Times New Roman"/>
          <w:color w:val="000000"/>
          <w:sz w:val="24"/>
          <w:szCs w:val="24"/>
        </w:rPr>
        <w:t>ill</w:t>
      </w:r>
      <w:r w:rsidR="0097569D" w:rsidRPr="00660211">
        <w:rPr>
          <w:rFonts w:ascii="Times New Roman" w:hAnsi="Times New Roman"/>
          <w:color w:val="000000"/>
          <w:sz w:val="24"/>
          <w:szCs w:val="24"/>
        </w:rPr>
        <w:t xml:space="preserve"> continue </w:t>
      </w:r>
      <w:r w:rsidR="001E51F4" w:rsidRPr="00660211">
        <w:rPr>
          <w:rFonts w:ascii="Times New Roman" w:hAnsi="Times New Roman"/>
          <w:color w:val="000000"/>
          <w:sz w:val="24"/>
          <w:szCs w:val="24"/>
        </w:rPr>
        <w:t xml:space="preserve">in the rate effective period </w:t>
      </w:r>
      <w:r w:rsidR="0097569D" w:rsidRPr="00660211">
        <w:rPr>
          <w:rFonts w:ascii="Times New Roman" w:hAnsi="Times New Roman"/>
          <w:color w:val="000000"/>
          <w:sz w:val="24"/>
          <w:szCs w:val="24"/>
        </w:rPr>
        <w:t xml:space="preserve">are incorrect and are </w:t>
      </w:r>
      <w:r w:rsidR="003416AC">
        <w:rPr>
          <w:rFonts w:ascii="Times New Roman" w:hAnsi="Times New Roman"/>
          <w:color w:val="000000"/>
          <w:sz w:val="24"/>
          <w:szCs w:val="24"/>
        </w:rPr>
        <w:t xml:space="preserve">therefore </w:t>
      </w:r>
      <w:r w:rsidR="0097569D" w:rsidRPr="00660211">
        <w:rPr>
          <w:rFonts w:ascii="Times New Roman" w:hAnsi="Times New Roman"/>
          <w:color w:val="000000"/>
          <w:sz w:val="24"/>
          <w:szCs w:val="24"/>
        </w:rPr>
        <w:t xml:space="preserve">not a reasonable foundation for his analysis and resulting low ROE recommendation.  </w:t>
      </w:r>
    </w:p>
    <w:p w:rsidR="00BB0D51" w:rsidRPr="00660211" w:rsidRDefault="008C327F"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t xml:space="preserve">How did Mr. Elgin </w:t>
      </w:r>
      <w:r w:rsidR="00036657" w:rsidRPr="00660211">
        <w:rPr>
          <w:rFonts w:ascii="Times New Roman" w:hAnsi="Times New Roman"/>
          <w:b/>
          <w:color w:val="000000"/>
          <w:sz w:val="24"/>
          <w:szCs w:val="24"/>
        </w:rPr>
        <w:t>select</w:t>
      </w:r>
      <w:r w:rsidRPr="00660211">
        <w:rPr>
          <w:rFonts w:ascii="Times New Roman" w:hAnsi="Times New Roman"/>
          <w:b/>
          <w:color w:val="000000"/>
          <w:sz w:val="24"/>
          <w:szCs w:val="24"/>
        </w:rPr>
        <w:t xml:space="preserve"> </w:t>
      </w:r>
      <w:r w:rsidR="00036657" w:rsidRPr="00660211">
        <w:rPr>
          <w:rFonts w:ascii="Times New Roman" w:hAnsi="Times New Roman"/>
          <w:b/>
          <w:color w:val="000000"/>
          <w:sz w:val="24"/>
          <w:szCs w:val="24"/>
        </w:rPr>
        <w:t>his</w:t>
      </w:r>
      <w:r w:rsidRPr="00660211">
        <w:rPr>
          <w:rFonts w:ascii="Times New Roman" w:hAnsi="Times New Roman"/>
          <w:b/>
          <w:color w:val="000000"/>
          <w:sz w:val="24"/>
          <w:szCs w:val="24"/>
        </w:rPr>
        <w:t xml:space="preserve"> </w:t>
      </w:r>
      <w:r w:rsidR="005D20CB" w:rsidRPr="00660211">
        <w:rPr>
          <w:rFonts w:ascii="Times New Roman" w:hAnsi="Times New Roman"/>
          <w:b/>
          <w:color w:val="000000"/>
          <w:sz w:val="24"/>
          <w:szCs w:val="24"/>
        </w:rPr>
        <w:t>eight</w:t>
      </w:r>
      <w:r w:rsidRPr="00660211">
        <w:rPr>
          <w:rFonts w:ascii="Times New Roman" w:hAnsi="Times New Roman"/>
          <w:b/>
          <w:color w:val="000000"/>
          <w:sz w:val="24"/>
          <w:szCs w:val="24"/>
        </w:rPr>
        <w:t>-company proxy group?</w:t>
      </w:r>
    </w:p>
    <w:p w:rsidR="00BB0D51" w:rsidRPr="00660211" w:rsidRDefault="008C327F"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t xml:space="preserve">He began with my </w:t>
      </w:r>
      <w:r w:rsidR="0097569D" w:rsidRPr="00660211">
        <w:rPr>
          <w:rFonts w:ascii="Times New Roman" w:hAnsi="Times New Roman"/>
          <w:color w:val="000000"/>
          <w:sz w:val="24"/>
          <w:szCs w:val="24"/>
        </w:rPr>
        <w:t>14</w:t>
      </w:r>
      <w:r w:rsidRPr="00660211">
        <w:rPr>
          <w:rFonts w:ascii="Times New Roman" w:hAnsi="Times New Roman"/>
          <w:color w:val="000000"/>
          <w:sz w:val="24"/>
          <w:szCs w:val="24"/>
        </w:rPr>
        <w:t xml:space="preserve">-company group and </w:t>
      </w:r>
      <w:r w:rsidR="00542CA8" w:rsidRPr="00660211">
        <w:rPr>
          <w:rFonts w:ascii="Times New Roman" w:hAnsi="Times New Roman"/>
          <w:color w:val="000000"/>
          <w:sz w:val="24"/>
          <w:szCs w:val="24"/>
        </w:rPr>
        <w:t xml:space="preserve">then </w:t>
      </w:r>
      <w:r w:rsidRPr="00660211">
        <w:rPr>
          <w:rFonts w:ascii="Times New Roman" w:hAnsi="Times New Roman"/>
          <w:color w:val="000000"/>
          <w:sz w:val="24"/>
          <w:szCs w:val="24"/>
        </w:rPr>
        <w:t xml:space="preserve">eliminated six </w:t>
      </w:r>
      <w:r w:rsidR="00542CA8" w:rsidRPr="00660211">
        <w:rPr>
          <w:rFonts w:ascii="Times New Roman" w:hAnsi="Times New Roman"/>
          <w:color w:val="000000"/>
          <w:sz w:val="24"/>
          <w:szCs w:val="24"/>
        </w:rPr>
        <w:t xml:space="preserve">of the comparable </w:t>
      </w:r>
      <w:r w:rsidRPr="00660211">
        <w:rPr>
          <w:rFonts w:ascii="Times New Roman" w:hAnsi="Times New Roman"/>
          <w:color w:val="000000"/>
          <w:sz w:val="24"/>
          <w:szCs w:val="24"/>
        </w:rPr>
        <w:t xml:space="preserve">companies.  </w:t>
      </w:r>
    </w:p>
    <w:p w:rsidR="00BB0D51" w:rsidRPr="00660211" w:rsidRDefault="008C327F"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t>Do you agree with Mr. Elgin</w:t>
      </w:r>
      <w:r w:rsidR="003C18EA" w:rsidRPr="00660211">
        <w:rPr>
          <w:rFonts w:ascii="Times New Roman" w:hAnsi="Times New Roman"/>
          <w:b/>
          <w:color w:val="000000"/>
          <w:sz w:val="24"/>
          <w:szCs w:val="24"/>
        </w:rPr>
        <w:t>’</w:t>
      </w:r>
      <w:r w:rsidRPr="00660211">
        <w:rPr>
          <w:rFonts w:ascii="Times New Roman" w:hAnsi="Times New Roman"/>
          <w:b/>
          <w:color w:val="000000"/>
          <w:sz w:val="24"/>
          <w:szCs w:val="24"/>
        </w:rPr>
        <w:t>s rational</w:t>
      </w:r>
      <w:r w:rsidR="000B15FD" w:rsidRPr="00660211">
        <w:rPr>
          <w:rFonts w:ascii="Times New Roman" w:hAnsi="Times New Roman"/>
          <w:b/>
          <w:color w:val="000000"/>
          <w:sz w:val="24"/>
          <w:szCs w:val="24"/>
        </w:rPr>
        <w:t>e</w:t>
      </w:r>
      <w:r w:rsidRPr="00660211">
        <w:rPr>
          <w:rFonts w:ascii="Times New Roman" w:hAnsi="Times New Roman"/>
          <w:b/>
          <w:color w:val="000000"/>
          <w:sz w:val="24"/>
          <w:szCs w:val="24"/>
        </w:rPr>
        <w:t xml:space="preserve"> for selecting a smaller group?</w:t>
      </w:r>
    </w:p>
    <w:p w:rsidR="00BB0D51" w:rsidRPr="00660211" w:rsidRDefault="008C327F"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t xml:space="preserve">No.  </w:t>
      </w:r>
      <w:r w:rsidR="00F91AE3" w:rsidRPr="00660211">
        <w:rPr>
          <w:rFonts w:ascii="Times New Roman" w:hAnsi="Times New Roman"/>
          <w:color w:val="000000"/>
          <w:sz w:val="24"/>
          <w:szCs w:val="24"/>
        </w:rPr>
        <w:t xml:space="preserve">As noted above, a small proxy group can lead to statistical concerns and, at times, to criticism </w:t>
      </w:r>
      <w:r w:rsidR="00036657" w:rsidRPr="00660211">
        <w:rPr>
          <w:rFonts w:ascii="Times New Roman" w:hAnsi="Times New Roman"/>
          <w:color w:val="000000"/>
          <w:sz w:val="24"/>
          <w:szCs w:val="24"/>
        </w:rPr>
        <w:t>for</w:t>
      </w:r>
      <w:r w:rsidR="00F91AE3" w:rsidRPr="00660211">
        <w:rPr>
          <w:rFonts w:ascii="Times New Roman" w:hAnsi="Times New Roman"/>
          <w:color w:val="000000"/>
          <w:sz w:val="24"/>
          <w:szCs w:val="24"/>
        </w:rPr>
        <w:t xml:space="preserve"> selectivity bias.  While I </w:t>
      </w:r>
      <w:r w:rsidR="00036657" w:rsidRPr="00660211">
        <w:rPr>
          <w:rFonts w:ascii="Times New Roman" w:hAnsi="Times New Roman"/>
          <w:color w:val="000000"/>
          <w:sz w:val="24"/>
          <w:szCs w:val="24"/>
        </w:rPr>
        <w:t xml:space="preserve">obviously </w:t>
      </w:r>
      <w:r w:rsidR="00F91AE3" w:rsidRPr="00660211">
        <w:rPr>
          <w:rFonts w:ascii="Times New Roman" w:hAnsi="Times New Roman"/>
          <w:color w:val="000000"/>
          <w:sz w:val="24"/>
          <w:szCs w:val="24"/>
        </w:rPr>
        <w:t xml:space="preserve">do not disagree with the </w:t>
      </w:r>
      <w:r w:rsidR="0097569D" w:rsidRPr="00660211">
        <w:rPr>
          <w:rFonts w:ascii="Times New Roman" w:hAnsi="Times New Roman"/>
          <w:color w:val="000000"/>
          <w:sz w:val="24"/>
          <w:szCs w:val="24"/>
        </w:rPr>
        <w:t>eight</w:t>
      </w:r>
      <w:r w:rsidR="00036657" w:rsidRPr="00660211">
        <w:rPr>
          <w:rFonts w:ascii="Times New Roman" w:hAnsi="Times New Roman"/>
          <w:color w:val="000000"/>
          <w:sz w:val="24"/>
          <w:szCs w:val="24"/>
        </w:rPr>
        <w:t xml:space="preserve"> </w:t>
      </w:r>
      <w:r w:rsidR="00F91AE3" w:rsidRPr="00660211">
        <w:rPr>
          <w:rFonts w:ascii="Times New Roman" w:hAnsi="Times New Roman"/>
          <w:color w:val="000000"/>
          <w:sz w:val="24"/>
          <w:szCs w:val="24"/>
        </w:rPr>
        <w:t xml:space="preserve">companies </w:t>
      </w:r>
      <w:r w:rsidR="00E03ACC" w:rsidRPr="00660211">
        <w:rPr>
          <w:rFonts w:ascii="Times New Roman" w:hAnsi="Times New Roman"/>
          <w:color w:val="000000"/>
          <w:sz w:val="24"/>
          <w:szCs w:val="24"/>
        </w:rPr>
        <w:t>Mr. Elgin</w:t>
      </w:r>
      <w:r w:rsidR="00F91AE3" w:rsidRPr="00660211">
        <w:rPr>
          <w:rFonts w:ascii="Times New Roman" w:hAnsi="Times New Roman"/>
          <w:color w:val="000000"/>
          <w:sz w:val="24"/>
          <w:szCs w:val="24"/>
        </w:rPr>
        <w:t xml:space="preserve"> selected</w:t>
      </w:r>
      <w:r w:rsidR="009921CA" w:rsidRPr="00660211">
        <w:rPr>
          <w:rFonts w:ascii="Times New Roman" w:hAnsi="Times New Roman"/>
          <w:color w:val="000000"/>
          <w:sz w:val="24"/>
          <w:szCs w:val="24"/>
        </w:rPr>
        <w:t xml:space="preserve"> </w:t>
      </w:r>
      <w:r w:rsidR="00036657" w:rsidRPr="00660211">
        <w:rPr>
          <w:rFonts w:ascii="Times New Roman" w:hAnsi="Times New Roman"/>
          <w:color w:val="000000"/>
          <w:sz w:val="24"/>
          <w:szCs w:val="24"/>
        </w:rPr>
        <w:t>from</w:t>
      </w:r>
      <w:r w:rsidR="00F91AE3" w:rsidRPr="00660211">
        <w:rPr>
          <w:rFonts w:ascii="Times New Roman" w:hAnsi="Times New Roman"/>
          <w:color w:val="000000"/>
          <w:sz w:val="24"/>
          <w:szCs w:val="24"/>
        </w:rPr>
        <w:t xml:space="preserve"> my group</w:t>
      </w:r>
      <w:r w:rsidR="00036657" w:rsidRPr="00660211">
        <w:rPr>
          <w:rFonts w:ascii="Times New Roman" w:hAnsi="Times New Roman"/>
          <w:color w:val="000000"/>
          <w:sz w:val="24"/>
          <w:szCs w:val="24"/>
        </w:rPr>
        <w:t>,</w:t>
      </w:r>
      <w:r w:rsidR="00F91AE3" w:rsidRPr="00660211">
        <w:rPr>
          <w:rFonts w:ascii="Times New Roman" w:hAnsi="Times New Roman"/>
          <w:color w:val="000000"/>
          <w:sz w:val="24"/>
          <w:szCs w:val="24"/>
        </w:rPr>
        <w:t xml:space="preserve"> I do believe that his selection criteria are </w:t>
      </w:r>
      <w:r w:rsidR="0097569D" w:rsidRPr="00660211">
        <w:rPr>
          <w:rFonts w:ascii="Times New Roman" w:hAnsi="Times New Roman"/>
          <w:color w:val="000000"/>
          <w:sz w:val="24"/>
          <w:szCs w:val="24"/>
        </w:rPr>
        <w:t xml:space="preserve">subjective and </w:t>
      </w:r>
      <w:r w:rsidR="00F91AE3" w:rsidRPr="00660211">
        <w:rPr>
          <w:rFonts w:ascii="Times New Roman" w:hAnsi="Times New Roman"/>
          <w:color w:val="000000"/>
          <w:sz w:val="24"/>
          <w:szCs w:val="24"/>
        </w:rPr>
        <w:t>unnecessarily restrictive</w:t>
      </w:r>
      <w:r w:rsidR="0097569D" w:rsidRPr="00660211">
        <w:rPr>
          <w:rFonts w:ascii="Times New Roman" w:hAnsi="Times New Roman"/>
          <w:color w:val="000000"/>
          <w:sz w:val="24"/>
          <w:szCs w:val="24"/>
        </w:rPr>
        <w:t xml:space="preserve">. </w:t>
      </w:r>
      <w:r w:rsidR="00F91AE3" w:rsidRPr="00660211">
        <w:rPr>
          <w:rFonts w:ascii="Times New Roman" w:hAnsi="Times New Roman"/>
          <w:color w:val="000000"/>
          <w:sz w:val="24"/>
          <w:szCs w:val="24"/>
        </w:rPr>
        <w:t xml:space="preserve"> PacifiCorp is a large, diverse electric utility.  If its shares were publicly traded, </w:t>
      </w:r>
      <w:r w:rsidR="009921CA" w:rsidRPr="00660211">
        <w:rPr>
          <w:rFonts w:ascii="Times New Roman" w:hAnsi="Times New Roman"/>
          <w:color w:val="000000"/>
          <w:sz w:val="24"/>
          <w:szCs w:val="24"/>
        </w:rPr>
        <w:t>they</w:t>
      </w:r>
      <w:r w:rsidR="00F91AE3" w:rsidRPr="00660211">
        <w:rPr>
          <w:rFonts w:ascii="Times New Roman" w:hAnsi="Times New Roman"/>
          <w:color w:val="000000"/>
          <w:sz w:val="24"/>
          <w:szCs w:val="24"/>
        </w:rPr>
        <w:t xml:space="preserve"> would likely be held by the same large institution</w:t>
      </w:r>
      <w:r w:rsidR="009921CA" w:rsidRPr="00660211">
        <w:rPr>
          <w:rFonts w:ascii="Times New Roman" w:hAnsi="Times New Roman"/>
          <w:color w:val="000000"/>
          <w:sz w:val="24"/>
          <w:szCs w:val="24"/>
        </w:rPr>
        <w:t>s</w:t>
      </w:r>
      <w:r w:rsidR="00F91AE3" w:rsidRPr="00660211">
        <w:rPr>
          <w:rFonts w:ascii="Times New Roman" w:hAnsi="Times New Roman"/>
          <w:color w:val="000000"/>
          <w:sz w:val="24"/>
          <w:szCs w:val="24"/>
        </w:rPr>
        <w:t xml:space="preserve"> and </w:t>
      </w:r>
      <w:r w:rsidR="009921CA" w:rsidRPr="00660211">
        <w:rPr>
          <w:rFonts w:ascii="Times New Roman" w:hAnsi="Times New Roman"/>
          <w:color w:val="000000"/>
          <w:sz w:val="24"/>
          <w:szCs w:val="24"/>
        </w:rPr>
        <w:t>long-term individual investors that hold most utilit</w:t>
      </w:r>
      <w:r w:rsidR="00DA6DE6" w:rsidRPr="00660211">
        <w:rPr>
          <w:rFonts w:ascii="Times New Roman" w:hAnsi="Times New Roman"/>
          <w:color w:val="000000"/>
          <w:sz w:val="24"/>
          <w:szCs w:val="24"/>
        </w:rPr>
        <w:t>y stocks</w:t>
      </w:r>
      <w:r w:rsidR="009921CA" w:rsidRPr="00660211">
        <w:rPr>
          <w:rFonts w:ascii="Times New Roman" w:hAnsi="Times New Roman"/>
          <w:color w:val="000000"/>
          <w:sz w:val="24"/>
          <w:szCs w:val="24"/>
        </w:rPr>
        <w:t xml:space="preserve">.  For this reason, most regulatory economists use broadly based </w:t>
      </w:r>
      <w:r w:rsidR="00DA6DE6" w:rsidRPr="00660211">
        <w:rPr>
          <w:rFonts w:ascii="Times New Roman" w:hAnsi="Times New Roman"/>
          <w:color w:val="000000"/>
          <w:sz w:val="24"/>
          <w:szCs w:val="24"/>
        </w:rPr>
        <w:t xml:space="preserve">proxy </w:t>
      </w:r>
      <w:r w:rsidR="009921CA" w:rsidRPr="00660211">
        <w:rPr>
          <w:rFonts w:ascii="Times New Roman" w:hAnsi="Times New Roman"/>
          <w:color w:val="000000"/>
          <w:sz w:val="24"/>
          <w:szCs w:val="24"/>
        </w:rPr>
        <w:t>groups with similar risk</w:t>
      </w:r>
      <w:r w:rsidR="0011181E" w:rsidRPr="00660211">
        <w:rPr>
          <w:rFonts w:ascii="Times New Roman" w:hAnsi="Times New Roman"/>
          <w:color w:val="000000"/>
          <w:sz w:val="24"/>
          <w:szCs w:val="24"/>
        </w:rPr>
        <w:t>s</w:t>
      </w:r>
      <w:r w:rsidR="009921CA" w:rsidRPr="00660211">
        <w:rPr>
          <w:rFonts w:ascii="Times New Roman" w:hAnsi="Times New Roman"/>
          <w:color w:val="000000"/>
          <w:sz w:val="24"/>
          <w:szCs w:val="24"/>
        </w:rPr>
        <w:t xml:space="preserve"> and no extraordinary operating characteristics relative to the subject company.</w:t>
      </w:r>
      <w:r w:rsidR="00E03ACC" w:rsidRPr="005C3E56">
        <w:rPr>
          <w:rFonts w:ascii="Times New Roman" w:hAnsi="Times New Roman"/>
          <w:sz w:val="24"/>
          <w:szCs w:val="24"/>
          <w:vertAlign w:val="superscript"/>
        </w:rPr>
        <w:footnoteReference w:id="9"/>
      </w:r>
      <w:r w:rsidR="009921CA" w:rsidRPr="00660211">
        <w:rPr>
          <w:rFonts w:ascii="Times New Roman" w:hAnsi="Times New Roman"/>
          <w:color w:val="000000"/>
          <w:sz w:val="24"/>
          <w:szCs w:val="24"/>
        </w:rPr>
        <w:t xml:space="preserve">  </w:t>
      </w:r>
      <w:r w:rsidR="00036657" w:rsidRPr="00660211">
        <w:rPr>
          <w:rFonts w:ascii="Times New Roman" w:hAnsi="Times New Roman"/>
          <w:color w:val="000000"/>
          <w:sz w:val="24"/>
          <w:szCs w:val="24"/>
        </w:rPr>
        <w:t xml:space="preserve">While it is not possible to pick a perfect comparable company group, </w:t>
      </w:r>
      <w:r w:rsidR="009921CA" w:rsidRPr="00660211">
        <w:rPr>
          <w:rFonts w:ascii="Times New Roman" w:hAnsi="Times New Roman"/>
          <w:color w:val="000000"/>
          <w:sz w:val="24"/>
          <w:szCs w:val="24"/>
        </w:rPr>
        <w:t>Mr.</w:t>
      </w:r>
      <w:r w:rsidR="005C3E56">
        <w:rPr>
          <w:rFonts w:ascii="Times New Roman" w:hAnsi="Times New Roman"/>
          <w:color w:val="000000"/>
          <w:sz w:val="24"/>
          <w:szCs w:val="24"/>
        </w:rPr>
        <w:t> </w:t>
      </w:r>
      <w:r w:rsidR="009921CA" w:rsidRPr="00660211">
        <w:rPr>
          <w:rFonts w:ascii="Times New Roman" w:hAnsi="Times New Roman"/>
          <w:color w:val="000000"/>
          <w:sz w:val="24"/>
          <w:szCs w:val="24"/>
        </w:rPr>
        <w:t xml:space="preserve">Elgin ends up with too small a group and offers criticisms of my group that are not </w:t>
      </w:r>
      <w:r w:rsidR="0011181E" w:rsidRPr="00660211">
        <w:rPr>
          <w:rFonts w:ascii="Times New Roman" w:hAnsi="Times New Roman"/>
          <w:color w:val="000000"/>
          <w:sz w:val="24"/>
          <w:szCs w:val="24"/>
        </w:rPr>
        <w:t>major</w:t>
      </w:r>
      <w:r w:rsidR="009921CA" w:rsidRPr="00660211">
        <w:rPr>
          <w:rFonts w:ascii="Times New Roman" w:hAnsi="Times New Roman"/>
          <w:color w:val="000000"/>
          <w:sz w:val="24"/>
          <w:szCs w:val="24"/>
        </w:rPr>
        <w:t xml:space="preserve"> concerns to investors.</w:t>
      </w:r>
    </w:p>
    <w:p w:rsidR="00BB0D51" w:rsidRPr="00660211" w:rsidRDefault="009921CA"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r>
      <w:r w:rsidR="0011181E" w:rsidRPr="00660211">
        <w:rPr>
          <w:rFonts w:ascii="Times New Roman" w:hAnsi="Times New Roman"/>
          <w:b/>
          <w:color w:val="000000"/>
          <w:sz w:val="24"/>
          <w:szCs w:val="24"/>
        </w:rPr>
        <w:t xml:space="preserve">Does </w:t>
      </w:r>
      <w:r w:rsidR="004C591D" w:rsidRPr="00660211">
        <w:rPr>
          <w:rFonts w:ascii="Times New Roman" w:hAnsi="Times New Roman"/>
          <w:b/>
          <w:color w:val="000000"/>
          <w:sz w:val="24"/>
          <w:szCs w:val="24"/>
        </w:rPr>
        <w:t>Boise</w:t>
      </w:r>
      <w:r w:rsidR="00425777" w:rsidRPr="00660211">
        <w:rPr>
          <w:rFonts w:ascii="Times New Roman" w:hAnsi="Times New Roman"/>
          <w:b/>
          <w:color w:val="000000"/>
          <w:sz w:val="24"/>
          <w:szCs w:val="24"/>
        </w:rPr>
        <w:t xml:space="preserve"> </w:t>
      </w:r>
      <w:r w:rsidR="0011181E" w:rsidRPr="00660211">
        <w:rPr>
          <w:rFonts w:ascii="Times New Roman" w:hAnsi="Times New Roman"/>
          <w:b/>
          <w:color w:val="000000"/>
          <w:sz w:val="24"/>
          <w:szCs w:val="24"/>
        </w:rPr>
        <w:t xml:space="preserve">witness </w:t>
      </w:r>
      <w:r w:rsidR="004010D4" w:rsidRPr="00660211">
        <w:rPr>
          <w:rFonts w:ascii="Times New Roman" w:hAnsi="Times New Roman"/>
          <w:b/>
          <w:color w:val="000000"/>
          <w:sz w:val="24"/>
          <w:szCs w:val="24"/>
        </w:rPr>
        <w:t>Mr.</w:t>
      </w:r>
      <w:r w:rsidR="00701095" w:rsidRPr="00660211">
        <w:rPr>
          <w:rFonts w:ascii="Times New Roman" w:hAnsi="Times New Roman"/>
          <w:b/>
          <w:color w:val="000000"/>
          <w:sz w:val="24"/>
          <w:szCs w:val="24"/>
        </w:rPr>
        <w:t xml:space="preserve"> </w:t>
      </w:r>
      <w:r w:rsidR="0011181E" w:rsidRPr="00660211">
        <w:rPr>
          <w:rFonts w:ascii="Times New Roman" w:hAnsi="Times New Roman"/>
          <w:b/>
          <w:color w:val="000000"/>
          <w:sz w:val="24"/>
          <w:szCs w:val="24"/>
        </w:rPr>
        <w:t xml:space="preserve">Gorman </w:t>
      </w:r>
      <w:r w:rsidR="00CE6C16" w:rsidRPr="00660211">
        <w:rPr>
          <w:rFonts w:ascii="Times New Roman" w:hAnsi="Times New Roman"/>
          <w:b/>
          <w:color w:val="000000"/>
          <w:sz w:val="24"/>
          <w:szCs w:val="24"/>
        </w:rPr>
        <w:t>agree with</w:t>
      </w:r>
      <w:r w:rsidR="0011181E" w:rsidRPr="00660211">
        <w:rPr>
          <w:rFonts w:ascii="Times New Roman" w:hAnsi="Times New Roman"/>
          <w:b/>
          <w:color w:val="000000"/>
          <w:sz w:val="24"/>
          <w:szCs w:val="24"/>
        </w:rPr>
        <w:t xml:space="preserve"> your </w:t>
      </w:r>
      <w:r w:rsidR="00CE6C16" w:rsidRPr="00660211">
        <w:rPr>
          <w:rFonts w:ascii="Times New Roman" w:hAnsi="Times New Roman"/>
          <w:b/>
          <w:color w:val="000000"/>
          <w:sz w:val="24"/>
          <w:szCs w:val="24"/>
        </w:rPr>
        <w:t xml:space="preserve">proxy </w:t>
      </w:r>
      <w:r w:rsidR="0011181E" w:rsidRPr="00660211">
        <w:rPr>
          <w:rFonts w:ascii="Times New Roman" w:hAnsi="Times New Roman"/>
          <w:b/>
          <w:color w:val="000000"/>
          <w:sz w:val="24"/>
          <w:szCs w:val="24"/>
        </w:rPr>
        <w:t xml:space="preserve">group </w:t>
      </w:r>
      <w:r w:rsidR="00CE6C16" w:rsidRPr="00660211">
        <w:rPr>
          <w:rFonts w:ascii="Times New Roman" w:hAnsi="Times New Roman"/>
          <w:b/>
          <w:color w:val="000000"/>
          <w:sz w:val="24"/>
          <w:szCs w:val="24"/>
        </w:rPr>
        <w:t>selection</w:t>
      </w:r>
      <w:r w:rsidR="0011181E" w:rsidRPr="00660211">
        <w:rPr>
          <w:rFonts w:ascii="Times New Roman" w:hAnsi="Times New Roman"/>
          <w:b/>
          <w:color w:val="000000"/>
          <w:sz w:val="24"/>
          <w:szCs w:val="24"/>
        </w:rPr>
        <w:t>?</w:t>
      </w:r>
    </w:p>
    <w:p w:rsidR="00BB0D51" w:rsidRPr="00660211" w:rsidRDefault="0011181E"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r>
      <w:r w:rsidR="004C591D" w:rsidRPr="00660211">
        <w:rPr>
          <w:rFonts w:ascii="Times New Roman" w:hAnsi="Times New Roman"/>
          <w:color w:val="000000"/>
          <w:sz w:val="24"/>
          <w:szCs w:val="24"/>
        </w:rPr>
        <w:t>Generally.  As I will explain in my rebuttal of Mr. Gorman, he accepts my group, but removes Teco Energy because Teco has recently acquired New Mexico Gas Company.</w:t>
      </w:r>
    </w:p>
    <w:p w:rsidR="00BB0D51" w:rsidRPr="00660211" w:rsidRDefault="0011181E"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t>How does Mr. Elgin determine the growth rate in his DCF model?</w:t>
      </w:r>
    </w:p>
    <w:p w:rsidR="00BB0D51" w:rsidRPr="00660211" w:rsidRDefault="0011181E"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r>
      <w:r w:rsidR="00A96FCC" w:rsidRPr="00660211">
        <w:rPr>
          <w:rFonts w:ascii="Times New Roman" w:hAnsi="Times New Roman"/>
          <w:color w:val="000000"/>
          <w:sz w:val="24"/>
          <w:szCs w:val="24"/>
        </w:rPr>
        <w:t xml:space="preserve">Mr. Elgin </w:t>
      </w:r>
      <w:r w:rsidR="004C591D" w:rsidRPr="00660211">
        <w:rPr>
          <w:rFonts w:ascii="Times New Roman" w:hAnsi="Times New Roman"/>
          <w:color w:val="000000"/>
          <w:sz w:val="24"/>
          <w:szCs w:val="24"/>
        </w:rPr>
        <w:t xml:space="preserve">discusses DCF </w:t>
      </w:r>
      <w:r w:rsidR="00A96FCC" w:rsidRPr="00660211">
        <w:rPr>
          <w:rFonts w:ascii="Times New Roman" w:hAnsi="Times New Roman"/>
          <w:color w:val="000000"/>
          <w:sz w:val="24"/>
          <w:szCs w:val="24"/>
        </w:rPr>
        <w:t>growth rate</w:t>
      </w:r>
      <w:r w:rsidR="00542CA8" w:rsidRPr="00660211">
        <w:rPr>
          <w:rFonts w:ascii="Times New Roman" w:hAnsi="Times New Roman"/>
          <w:color w:val="000000"/>
          <w:sz w:val="24"/>
          <w:szCs w:val="24"/>
        </w:rPr>
        <w:t xml:space="preserve"> selection</w:t>
      </w:r>
      <w:r w:rsidR="00A96FCC" w:rsidRPr="00660211">
        <w:rPr>
          <w:rFonts w:ascii="Times New Roman" w:hAnsi="Times New Roman"/>
          <w:color w:val="000000"/>
          <w:sz w:val="24"/>
          <w:szCs w:val="24"/>
        </w:rPr>
        <w:t xml:space="preserve">s </w:t>
      </w:r>
      <w:r w:rsidR="004C591D" w:rsidRPr="00660211">
        <w:rPr>
          <w:rFonts w:ascii="Times New Roman" w:hAnsi="Times New Roman"/>
          <w:color w:val="000000"/>
          <w:sz w:val="24"/>
          <w:szCs w:val="24"/>
        </w:rPr>
        <w:t>at pages 26-32</w:t>
      </w:r>
      <w:r w:rsidR="00E03ACC" w:rsidRPr="00660211">
        <w:rPr>
          <w:rFonts w:ascii="Times New Roman" w:hAnsi="Times New Roman"/>
          <w:color w:val="000000"/>
          <w:sz w:val="24"/>
          <w:szCs w:val="24"/>
        </w:rPr>
        <w:t xml:space="preserve"> of his testimony</w:t>
      </w:r>
      <w:r w:rsidR="004C591D" w:rsidRPr="00660211">
        <w:rPr>
          <w:rFonts w:ascii="Times New Roman" w:hAnsi="Times New Roman"/>
          <w:color w:val="000000"/>
          <w:sz w:val="24"/>
          <w:szCs w:val="24"/>
        </w:rPr>
        <w:t>.  H</w:t>
      </w:r>
      <w:r w:rsidR="004F084B" w:rsidRPr="00660211">
        <w:rPr>
          <w:rFonts w:ascii="Times New Roman" w:hAnsi="Times New Roman"/>
          <w:color w:val="000000"/>
          <w:sz w:val="24"/>
          <w:szCs w:val="24"/>
        </w:rPr>
        <w:t xml:space="preserve">e concludes that investors can reasonably expect a long-term growth </w:t>
      </w:r>
      <w:r w:rsidR="004C591D" w:rsidRPr="00660211">
        <w:rPr>
          <w:rFonts w:ascii="Times New Roman" w:hAnsi="Times New Roman"/>
          <w:color w:val="000000"/>
          <w:sz w:val="24"/>
          <w:szCs w:val="24"/>
        </w:rPr>
        <w:t>in dividends in the range of 4.</w:t>
      </w:r>
      <w:r w:rsidR="004F084B" w:rsidRPr="00660211">
        <w:rPr>
          <w:rFonts w:ascii="Times New Roman" w:hAnsi="Times New Roman"/>
          <w:color w:val="000000"/>
          <w:sz w:val="24"/>
          <w:szCs w:val="24"/>
        </w:rPr>
        <w:t xml:space="preserve">0 percent to </w:t>
      </w:r>
      <w:r w:rsidR="004C591D" w:rsidRPr="00660211">
        <w:rPr>
          <w:rFonts w:ascii="Times New Roman" w:hAnsi="Times New Roman"/>
          <w:color w:val="000000"/>
          <w:sz w:val="24"/>
          <w:szCs w:val="24"/>
        </w:rPr>
        <w:t>4.5</w:t>
      </w:r>
      <w:r w:rsidR="004F084B" w:rsidRPr="00660211">
        <w:rPr>
          <w:rFonts w:ascii="Times New Roman" w:hAnsi="Times New Roman"/>
          <w:color w:val="000000"/>
          <w:sz w:val="24"/>
          <w:szCs w:val="24"/>
        </w:rPr>
        <w:t xml:space="preserve"> percent</w:t>
      </w:r>
      <w:r w:rsidR="00E03ACC" w:rsidRPr="00660211">
        <w:rPr>
          <w:rFonts w:ascii="Times New Roman" w:hAnsi="Times New Roman"/>
          <w:color w:val="000000"/>
          <w:sz w:val="24"/>
          <w:szCs w:val="24"/>
        </w:rPr>
        <w:t>.</w:t>
      </w:r>
      <w:r w:rsidR="00E03ACC" w:rsidRPr="005C3E56">
        <w:rPr>
          <w:rFonts w:ascii="Times New Roman" w:hAnsi="Times New Roman"/>
          <w:sz w:val="24"/>
          <w:szCs w:val="24"/>
          <w:vertAlign w:val="superscript"/>
        </w:rPr>
        <w:footnoteReference w:id="10"/>
      </w:r>
      <w:r w:rsidR="004C591D" w:rsidRPr="00660211">
        <w:rPr>
          <w:rFonts w:ascii="Times New Roman" w:hAnsi="Times New Roman"/>
          <w:color w:val="000000"/>
          <w:sz w:val="24"/>
          <w:szCs w:val="24"/>
        </w:rPr>
        <w:t xml:space="preserve"> </w:t>
      </w:r>
      <w:r w:rsidR="00BA5368" w:rsidRPr="00660211">
        <w:rPr>
          <w:rFonts w:ascii="Times New Roman" w:hAnsi="Times New Roman"/>
          <w:color w:val="000000"/>
          <w:sz w:val="24"/>
          <w:szCs w:val="24"/>
        </w:rPr>
        <w:t xml:space="preserve"> </w:t>
      </w:r>
      <w:r w:rsidR="001D2789" w:rsidRPr="00660211">
        <w:rPr>
          <w:rFonts w:ascii="Times New Roman" w:hAnsi="Times New Roman"/>
          <w:color w:val="000000"/>
          <w:sz w:val="24"/>
          <w:szCs w:val="24"/>
        </w:rPr>
        <w:t xml:space="preserve">Interestingly, Mr. Elgin’s recommended long-term growth rate in the present case is </w:t>
      </w:r>
      <w:r w:rsidR="00382003" w:rsidRPr="00660211">
        <w:rPr>
          <w:rFonts w:ascii="Times New Roman" w:hAnsi="Times New Roman"/>
          <w:color w:val="000000"/>
          <w:sz w:val="24"/>
          <w:szCs w:val="24"/>
        </w:rPr>
        <w:t>50</w:t>
      </w:r>
      <w:r w:rsidR="001D2789" w:rsidRPr="00660211">
        <w:rPr>
          <w:rFonts w:ascii="Times New Roman" w:hAnsi="Times New Roman"/>
          <w:color w:val="000000"/>
          <w:sz w:val="24"/>
          <w:szCs w:val="24"/>
        </w:rPr>
        <w:t xml:space="preserve"> basis points lower than he found for a similarly small comparable group in the prior PacifiCorp case</w:t>
      </w:r>
      <w:r w:rsidR="00542CA8" w:rsidRPr="00660211">
        <w:rPr>
          <w:rFonts w:ascii="Times New Roman" w:hAnsi="Times New Roman"/>
          <w:color w:val="000000"/>
          <w:sz w:val="24"/>
          <w:szCs w:val="24"/>
        </w:rPr>
        <w:t xml:space="preserve"> in which ROE was litigated before the Commission</w:t>
      </w:r>
      <w:r w:rsidR="001D2789" w:rsidRPr="00660211">
        <w:rPr>
          <w:rFonts w:ascii="Times New Roman" w:hAnsi="Times New Roman"/>
          <w:color w:val="000000"/>
          <w:sz w:val="24"/>
          <w:szCs w:val="24"/>
        </w:rPr>
        <w:t>.</w:t>
      </w:r>
      <w:r w:rsidR="00E03ACC" w:rsidRPr="005C3E56">
        <w:rPr>
          <w:rFonts w:ascii="Times New Roman" w:hAnsi="Times New Roman"/>
          <w:sz w:val="24"/>
          <w:szCs w:val="24"/>
          <w:vertAlign w:val="superscript"/>
        </w:rPr>
        <w:footnoteReference w:id="11"/>
      </w:r>
      <w:r w:rsidR="00BA5368" w:rsidRPr="00660211">
        <w:rPr>
          <w:rFonts w:ascii="Times New Roman" w:hAnsi="Times New Roman"/>
          <w:color w:val="000000"/>
          <w:sz w:val="24"/>
          <w:szCs w:val="24"/>
        </w:rPr>
        <w:t xml:space="preserve"> </w:t>
      </w:r>
      <w:r w:rsidR="001D2789" w:rsidRPr="00660211">
        <w:rPr>
          <w:rFonts w:ascii="Times New Roman" w:hAnsi="Times New Roman"/>
          <w:color w:val="000000"/>
          <w:sz w:val="24"/>
          <w:szCs w:val="24"/>
        </w:rPr>
        <w:t xml:space="preserve"> </w:t>
      </w:r>
      <w:r w:rsidR="00036657" w:rsidRPr="00660211">
        <w:rPr>
          <w:rFonts w:ascii="Times New Roman" w:hAnsi="Times New Roman"/>
          <w:color w:val="000000"/>
          <w:sz w:val="24"/>
          <w:szCs w:val="24"/>
        </w:rPr>
        <w:t>Although</w:t>
      </w:r>
      <w:r w:rsidR="00484BA6" w:rsidRPr="00660211">
        <w:rPr>
          <w:rFonts w:ascii="Times New Roman" w:hAnsi="Times New Roman"/>
          <w:color w:val="000000"/>
          <w:sz w:val="24"/>
          <w:szCs w:val="24"/>
        </w:rPr>
        <w:t xml:space="preserve"> </w:t>
      </w:r>
      <w:r w:rsidR="00A96FCC" w:rsidRPr="00660211">
        <w:rPr>
          <w:rFonts w:ascii="Times New Roman" w:hAnsi="Times New Roman"/>
          <w:color w:val="000000"/>
          <w:sz w:val="24"/>
          <w:szCs w:val="24"/>
        </w:rPr>
        <w:t>Mr. Elgin</w:t>
      </w:r>
      <w:r w:rsidR="00484BA6" w:rsidRPr="00660211">
        <w:rPr>
          <w:rFonts w:ascii="Times New Roman" w:hAnsi="Times New Roman"/>
          <w:color w:val="000000"/>
          <w:sz w:val="24"/>
          <w:szCs w:val="24"/>
        </w:rPr>
        <w:t xml:space="preserve"> discusses numerous alternatives for growth rate data</w:t>
      </w:r>
      <w:r w:rsidR="00260418" w:rsidRPr="00660211">
        <w:rPr>
          <w:rFonts w:ascii="Times New Roman" w:hAnsi="Times New Roman"/>
          <w:color w:val="000000"/>
          <w:sz w:val="24"/>
          <w:szCs w:val="24"/>
        </w:rPr>
        <w:t>,</w:t>
      </w:r>
      <w:r w:rsidR="00484BA6" w:rsidRPr="00660211">
        <w:rPr>
          <w:rFonts w:ascii="Times New Roman" w:hAnsi="Times New Roman"/>
          <w:color w:val="000000"/>
          <w:sz w:val="24"/>
          <w:szCs w:val="24"/>
        </w:rPr>
        <w:t xml:space="preserve"> </w:t>
      </w:r>
      <w:r w:rsidR="00260418" w:rsidRPr="00660211">
        <w:rPr>
          <w:rFonts w:ascii="Times New Roman" w:hAnsi="Times New Roman"/>
          <w:color w:val="000000"/>
          <w:sz w:val="24"/>
          <w:szCs w:val="24"/>
        </w:rPr>
        <w:t>he</w:t>
      </w:r>
      <w:r w:rsidR="00484BA6" w:rsidRPr="00660211">
        <w:rPr>
          <w:rFonts w:ascii="Times New Roman" w:hAnsi="Times New Roman"/>
          <w:color w:val="000000"/>
          <w:sz w:val="24"/>
          <w:szCs w:val="24"/>
        </w:rPr>
        <w:t xml:space="preserve"> </w:t>
      </w:r>
      <w:r w:rsidR="004C591D" w:rsidRPr="00660211">
        <w:rPr>
          <w:rFonts w:ascii="Times New Roman" w:hAnsi="Times New Roman"/>
          <w:color w:val="000000"/>
          <w:sz w:val="24"/>
          <w:szCs w:val="24"/>
        </w:rPr>
        <w:t>ultimately relies on Value Line’s projected growth in book value and so-call</w:t>
      </w:r>
      <w:r w:rsidR="00C47A39" w:rsidRPr="00660211">
        <w:rPr>
          <w:rFonts w:ascii="Times New Roman" w:hAnsi="Times New Roman"/>
          <w:color w:val="000000"/>
          <w:sz w:val="24"/>
          <w:szCs w:val="24"/>
        </w:rPr>
        <w:t>ed</w:t>
      </w:r>
      <w:r w:rsidR="004C591D" w:rsidRPr="00660211">
        <w:rPr>
          <w:rFonts w:ascii="Times New Roman" w:hAnsi="Times New Roman"/>
          <w:color w:val="000000"/>
          <w:sz w:val="24"/>
          <w:szCs w:val="24"/>
        </w:rPr>
        <w:t xml:space="preserve"> i</w:t>
      </w:r>
      <w:r w:rsidR="005C3E56">
        <w:rPr>
          <w:rFonts w:ascii="Times New Roman" w:hAnsi="Times New Roman"/>
          <w:color w:val="000000"/>
          <w:sz w:val="24"/>
          <w:szCs w:val="24"/>
        </w:rPr>
        <w:t>nternal or “b times r” growth.</w:t>
      </w:r>
    </w:p>
    <w:p w:rsidR="00BB0D51" w:rsidRPr="00660211" w:rsidRDefault="006D7A9A"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r>
      <w:r w:rsidR="009C3A67" w:rsidRPr="00660211">
        <w:rPr>
          <w:rFonts w:ascii="Times New Roman" w:hAnsi="Times New Roman"/>
          <w:b/>
          <w:color w:val="000000"/>
          <w:sz w:val="24"/>
          <w:szCs w:val="24"/>
        </w:rPr>
        <w:t xml:space="preserve">Do you believe that the </w:t>
      </w:r>
      <w:r w:rsidR="003C18EA" w:rsidRPr="00660211">
        <w:rPr>
          <w:rFonts w:ascii="Times New Roman" w:hAnsi="Times New Roman"/>
          <w:b/>
          <w:color w:val="000000"/>
          <w:sz w:val="24"/>
          <w:szCs w:val="24"/>
        </w:rPr>
        <w:t>“</w:t>
      </w:r>
      <w:r w:rsidRPr="00660211">
        <w:rPr>
          <w:rFonts w:ascii="Times New Roman" w:hAnsi="Times New Roman"/>
          <w:b/>
          <w:color w:val="000000"/>
          <w:sz w:val="24"/>
          <w:szCs w:val="24"/>
        </w:rPr>
        <w:t>b times r</w:t>
      </w:r>
      <w:r w:rsidR="003C18EA" w:rsidRPr="00660211">
        <w:rPr>
          <w:rFonts w:ascii="Times New Roman" w:hAnsi="Times New Roman"/>
          <w:b/>
          <w:color w:val="000000"/>
          <w:sz w:val="24"/>
          <w:szCs w:val="24"/>
        </w:rPr>
        <w:t>”</w:t>
      </w:r>
      <w:r w:rsidRPr="00660211">
        <w:rPr>
          <w:rFonts w:ascii="Times New Roman" w:hAnsi="Times New Roman"/>
          <w:b/>
          <w:color w:val="000000"/>
          <w:sz w:val="24"/>
          <w:szCs w:val="24"/>
        </w:rPr>
        <w:t xml:space="preserve"> growth rate </w:t>
      </w:r>
      <w:r w:rsidR="009C3A67" w:rsidRPr="00660211">
        <w:rPr>
          <w:rFonts w:ascii="Times New Roman" w:hAnsi="Times New Roman"/>
          <w:b/>
          <w:color w:val="000000"/>
          <w:sz w:val="24"/>
          <w:szCs w:val="24"/>
        </w:rPr>
        <w:t>methodology is an appropriate means to estimate future dividend growth in a DCF model</w:t>
      </w:r>
      <w:r w:rsidRPr="00660211">
        <w:rPr>
          <w:rFonts w:ascii="Times New Roman" w:hAnsi="Times New Roman"/>
          <w:b/>
          <w:color w:val="000000"/>
          <w:sz w:val="24"/>
          <w:szCs w:val="24"/>
        </w:rPr>
        <w:t>?</w:t>
      </w:r>
    </w:p>
    <w:p w:rsidR="00BB0D51" w:rsidRPr="00660211" w:rsidRDefault="006D7A9A"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r>
      <w:r w:rsidR="009C3A67" w:rsidRPr="00660211">
        <w:rPr>
          <w:rFonts w:ascii="Times New Roman" w:hAnsi="Times New Roman"/>
          <w:color w:val="000000"/>
          <w:sz w:val="24"/>
          <w:szCs w:val="24"/>
        </w:rPr>
        <w:t>No.</w:t>
      </w:r>
      <w:r w:rsidRPr="00660211">
        <w:rPr>
          <w:rFonts w:ascii="Times New Roman" w:hAnsi="Times New Roman"/>
          <w:color w:val="000000"/>
          <w:sz w:val="24"/>
          <w:szCs w:val="24"/>
        </w:rPr>
        <w:t xml:space="preserve">  Because of the </w:t>
      </w:r>
      <w:r w:rsidR="00621864" w:rsidRPr="00660211">
        <w:rPr>
          <w:rFonts w:ascii="Times New Roman" w:hAnsi="Times New Roman"/>
          <w:color w:val="000000"/>
          <w:sz w:val="24"/>
          <w:szCs w:val="24"/>
        </w:rPr>
        <w:t xml:space="preserve">circularity and </w:t>
      </w:r>
      <w:r w:rsidRPr="00660211">
        <w:rPr>
          <w:rFonts w:ascii="Times New Roman" w:hAnsi="Times New Roman"/>
          <w:color w:val="000000"/>
          <w:sz w:val="24"/>
          <w:szCs w:val="24"/>
        </w:rPr>
        <w:t xml:space="preserve">volatile nature of </w:t>
      </w:r>
      <w:r w:rsidR="00AC6FE5" w:rsidRPr="00660211">
        <w:rPr>
          <w:rFonts w:ascii="Times New Roman" w:hAnsi="Times New Roman"/>
          <w:color w:val="000000"/>
          <w:sz w:val="24"/>
          <w:szCs w:val="24"/>
        </w:rPr>
        <w:t xml:space="preserve">the </w:t>
      </w:r>
      <w:r w:rsidR="003C18EA" w:rsidRPr="00660211">
        <w:rPr>
          <w:rFonts w:ascii="Times New Roman" w:hAnsi="Times New Roman"/>
          <w:color w:val="000000"/>
          <w:sz w:val="24"/>
          <w:szCs w:val="24"/>
        </w:rPr>
        <w:t>“</w:t>
      </w:r>
      <w:r w:rsidRPr="00660211">
        <w:rPr>
          <w:rFonts w:ascii="Times New Roman" w:hAnsi="Times New Roman"/>
          <w:color w:val="000000"/>
          <w:sz w:val="24"/>
          <w:szCs w:val="24"/>
        </w:rPr>
        <w:t>b times r</w:t>
      </w:r>
      <w:r w:rsidR="003C18EA" w:rsidRPr="00660211">
        <w:rPr>
          <w:rFonts w:ascii="Times New Roman" w:hAnsi="Times New Roman"/>
          <w:color w:val="000000"/>
          <w:sz w:val="24"/>
          <w:szCs w:val="24"/>
        </w:rPr>
        <w:t>”</w:t>
      </w:r>
      <w:r w:rsidRPr="00660211">
        <w:rPr>
          <w:rFonts w:ascii="Times New Roman" w:hAnsi="Times New Roman"/>
          <w:color w:val="000000"/>
          <w:sz w:val="24"/>
          <w:szCs w:val="24"/>
        </w:rPr>
        <w:t xml:space="preserve"> </w:t>
      </w:r>
      <w:r w:rsidR="00AC6FE5" w:rsidRPr="00660211">
        <w:rPr>
          <w:rFonts w:ascii="Times New Roman" w:hAnsi="Times New Roman"/>
          <w:color w:val="000000"/>
          <w:sz w:val="24"/>
          <w:szCs w:val="24"/>
        </w:rPr>
        <w:t>approach</w:t>
      </w:r>
      <w:r w:rsidRPr="00660211">
        <w:rPr>
          <w:rFonts w:ascii="Times New Roman" w:hAnsi="Times New Roman"/>
          <w:color w:val="000000"/>
          <w:sz w:val="24"/>
          <w:szCs w:val="24"/>
        </w:rPr>
        <w:t xml:space="preserve">, most regulatory economists do not use </w:t>
      </w:r>
      <w:r w:rsidR="00AC6FE5" w:rsidRPr="00660211">
        <w:rPr>
          <w:rFonts w:ascii="Times New Roman" w:hAnsi="Times New Roman"/>
          <w:color w:val="000000"/>
          <w:sz w:val="24"/>
          <w:szCs w:val="24"/>
        </w:rPr>
        <w:t>it</w:t>
      </w:r>
      <w:r w:rsidRPr="00660211">
        <w:rPr>
          <w:rFonts w:ascii="Times New Roman" w:hAnsi="Times New Roman"/>
          <w:color w:val="000000"/>
          <w:sz w:val="24"/>
          <w:szCs w:val="24"/>
        </w:rPr>
        <w:t xml:space="preserve">.  </w:t>
      </w:r>
      <w:r w:rsidR="00621864" w:rsidRPr="00660211">
        <w:rPr>
          <w:rFonts w:ascii="Times New Roman" w:hAnsi="Times New Roman"/>
          <w:sz w:val="24"/>
          <w:szCs w:val="24"/>
        </w:rPr>
        <w:t xml:space="preserve">The “b times r” approach has generally been </w:t>
      </w:r>
      <w:r w:rsidR="001E1FF5" w:rsidRPr="00660211">
        <w:rPr>
          <w:rFonts w:ascii="Times New Roman" w:hAnsi="Times New Roman"/>
          <w:sz w:val="24"/>
          <w:szCs w:val="24"/>
        </w:rPr>
        <w:t>rejected because</w:t>
      </w:r>
      <w:r w:rsidR="00621864" w:rsidRPr="00660211">
        <w:rPr>
          <w:rFonts w:ascii="Times New Roman" w:hAnsi="Times New Roman"/>
          <w:sz w:val="24"/>
          <w:szCs w:val="24"/>
        </w:rPr>
        <w:t xml:space="preserve"> it fails to include growth rate sources beyond earnings retention and new common stock sales above book value, and because the method itself is circular.  The method is circular because the “r” in the “b</w:t>
      </w:r>
      <w:r w:rsidR="003416AC">
        <w:rPr>
          <w:rFonts w:ascii="Times New Roman" w:hAnsi="Times New Roman"/>
          <w:sz w:val="24"/>
          <w:szCs w:val="24"/>
        </w:rPr>
        <w:t xml:space="preserve"> times </w:t>
      </w:r>
      <w:r w:rsidR="00621864" w:rsidRPr="00660211">
        <w:rPr>
          <w:rFonts w:ascii="Times New Roman" w:hAnsi="Times New Roman"/>
          <w:sz w:val="24"/>
          <w:szCs w:val="24"/>
        </w:rPr>
        <w:t>r” portion of the formula is the rate of return that utility companies are expected to earn.  And the earned rate of return is itself in large part determined by the allowed rate of return in regulatory proceedings.  The “b times r” result, therefore, depends on the allowe</w:t>
      </w:r>
      <w:r w:rsidR="005C3E56">
        <w:rPr>
          <w:rFonts w:ascii="Times New Roman" w:hAnsi="Times New Roman"/>
          <w:sz w:val="24"/>
          <w:szCs w:val="24"/>
        </w:rPr>
        <w:t>d rate of return and, if the “b </w:t>
      </w:r>
      <w:r w:rsidR="00621864" w:rsidRPr="00660211">
        <w:rPr>
          <w:rFonts w:ascii="Times New Roman" w:hAnsi="Times New Roman"/>
          <w:sz w:val="24"/>
          <w:szCs w:val="24"/>
        </w:rPr>
        <w:t>times r” approach is used in the regulatory process, the allowed rate of return depends on the rate of return expected to be earned by the utility.</w:t>
      </w:r>
    </w:p>
    <w:p w:rsidR="00BB0D51" w:rsidRPr="00660211" w:rsidRDefault="00F740DA"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r>
      <w:r w:rsidR="00621864" w:rsidRPr="00660211">
        <w:rPr>
          <w:rFonts w:ascii="Times New Roman" w:hAnsi="Times New Roman"/>
          <w:b/>
          <w:color w:val="000000"/>
          <w:sz w:val="24"/>
          <w:szCs w:val="24"/>
        </w:rPr>
        <w:t>Mr. Elgin claims that your testimony contains evidence that criticizes analysts’ growth estimates as being overly optimistic.</w:t>
      </w:r>
      <w:r w:rsidR="00C47A39" w:rsidRPr="00A32BB9">
        <w:rPr>
          <w:rFonts w:ascii="Times New Roman" w:hAnsi="Times New Roman"/>
          <w:b/>
          <w:sz w:val="24"/>
          <w:szCs w:val="24"/>
          <w:vertAlign w:val="superscript"/>
        </w:rPr>
        <w:footnoteReference w:id="12"/>
      </w:r>
      <w:r w:rsidR="00621864" w:rsidRPr="00660211">
        <w:rPr>
          <w:rFonts w:ascii="Times New Roman" w:hAnsi="Times New Roman"/>
          <w:b/>
          <w:color w:val="000000"/>
          <w:sz w:val="24"/>
          <w:szCs w:val="24"/>
        </w:rPr>
        <w:t xml:space="preserve">  Is this a legitimate criticism of analyst’s growth rate estimates for utility companies?</w:t>
      </w:r>
    </w:p>
    <w:p w:rsidR="00BB0D51" w:rsidRPr="00660211" w:rsidRDefault="00F740DA"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t>No.</w:t>
      </w:r>
      <w:r w:rsidR="00D02038" w:rsidRPr="00660211">
        <w:rPr>
          <w:rFonts w:ascii="Times New Roman" w:hAnsi="Times New Roman"/>
          <w:color w:val="000000"/>
          <w:sz w:val="24"/>
          <w:szCs w:val="24"/>
        </w:rPr>
        <w:t xml:space="preserve">  While I would agree that </w:t>
      </w:r>
      <w:r w:rsidR="00957620" w:rsidRPr="00660211">
        <w:rPr>
          <w:rFonts w:ascii="Times New Roman" w:hAnsi="Times New Roman"/>
          <w:color w:val="000000"/>
          <w:sz w:val="24"/>
          <w:szCs w:val="24"/>
        </w:rPr>
        <w:t xml:space="preserve">some </w:t>
      </w:r>
      <w:r w:rsidR="00D02038" w:rsidRPr="00660211">
        <w:rPr>
          <w:rFonts w:ascii="Times New Roman" w:hAnsi="Times New Roman"/>
          <w:color w:val="000000"/>
          <w:sz w:val="24"/>
          <w:szCs w:val="24"/>
        </w:rPr>
        <w:t>analysts</w:t>
      </w:r>
      <w:r w:rsidR="003C18EA" w:rsidRPr="00660211">
        <w:rPr>
          <w:rFonts w:ascii="Times New Roman" w:hAnsi="Times New Roman"/>
          <w:color w:val="000000"/>
          <w:sz w:val="24"/>
          <w:szCs w:val="24"/>
        </w:rPr>
        <w:t>’</w:t>
      </w:r>
      <w:r w:rsidR="00D02038" w:rsidRPr="00660211">
        <w:rPr>
          <w:rFonts w:ascii="Times New Roman" w:hAnsi="Times New Roman"/>
          <w:color w:val="000000"/>
          <w:sz w:val="24"/>
          <w:szCs w:val="24"/>
        </w:rPr>
        <w:t xml:space="preserve"> estimates for high tech companies were overstated during the tech market bubble</w:t>
      </w:r>
      <w:r w:rsidR="00226CA7" w:rsidRPr="00660211">
        <w:rPr>
          <w:rFonts w:ascii="Times New Roman" w:hAnsi="Times New Roman"/>
          <w:color w:val="000000"/>
          <w:sz w:val="24"/>
          <w:szCs w:val="24"/>
        </w:rPr>
        <w:t xml:space="preserve"> of the late 1990s</w:t>
      </w:r>
      <w:r w:rsidR="00D02038" w:rsidRPr="00660211">
        <w:rPr>
          <w:rFonts w:ascii="Times New Roman" w:hAnsi="Times New Roman"/>
          <w:color w:val="000000"/>
          <w:sz w:val="24"/>
          <w:szCs w:val="24"/>
        </w:rPr>
        <w:t xml:space="preserve">, </w:t>
      </w:r>
      <w:r w:rsidR="00226CA7" w:rsidRPr="00660211">
        <w:rPr>
          <w:rFonts w:ascii="Times New Roman" w:hAnsi="Times New Roman"/>
          <w:color w:val="000000"/>
          <w:sz w:val="24"/>
          <w:szCs w:val="24"/>
        </w:rPr>
        <w:t xml:space="preserve">and that </w:t>
      </w:r>
      <w:r w:rsidR="00957620" w:rsidRPr="00660211">
        <w:rPr>
          <w:rFonts w:ascii="Times New Roman" w:hAnsi="Times New Roman"/>
          <w:color w:val="000000"/>
          <w:sz w:val="24"/>
          <w:szCs w:val="24"/>
        </w:rPr>
        <w:t xml:space="preserve">those </w:t>
      </w:r>
      <w:r w:rsidR="00226CA7" w:rsidRPr="00660211">
        <w:rPr>
          <w:rFonts w:ascii="Times New Roman" w:hAnsi="Times New Roman"/>
          <w:color w:val="000000"/>
          <w:sz w:val="24"/>
          <w:szCs w:val="24"/>
        </w:rPr>
        <w:t xml:space="preserve">analysts were severely criticized, </w:t>
      </w:r>
      <w:r w:rsidR="00D02038" w:rsidRPr="00660211">
        <w:rPr>
          <w:rFonts w:ascii="Times New Roman" w:hAnsi="Times New Roman"/>
          <w:color w:val="000000"/>
          <w:sz w:val="24"/>
          <w:szCs w:val="24"/>
        </w:rPr>
        <w:t xml:space="preserve">I have not seen </w:t>
      </w:r>
      <w:r w:rsidR="001B566E" w:rsidRPr="00660211">
        <w:rPr>
          <w:rFonts w:ascii="Times New Roman" w:hAnsi="Times New Roman"/>
          <w:color w:val="000000"/>
          <w:sz w:val="24"/>
          <w:szCs w:val="24"/>
        </w:rPr>
        <w:t xml:space="preserve">convincing </w:t>
      </w:r>
      <w:r w:rsidR="00226CA7" w:rsidRPr="00660211">
        <w:rPr>
          <w:rFonts w:ascii="Times New Roman" w:hAnsi="Times New Roman"/>
          <w:color w:val="000000"/>
          <w:sz w:val="24"/>
          <w:szCs w:val="24"/>
        </w:rPr>
        <w:t xml:space="preserve">evidence that </w:t>
      </w:r>
      <w:r w:rsidR="00D02038" w:rsidRPr="00660211">
        <w:rPr>
          <w:rFonts w:ascii="Times New Roman" w:hAnsi="Times New Roman"/>
          <w:color w:val="000000"/>
          <w:sz w:val="24"/>
          <w:szCs w:val="24"/>
        </w:rPr>
        <w:t>analys</w:t>
      </w:r>
      <w:r w:rsidR="00226CA7" w:rsidRPr="00660211">
        <w:rPr>
          <w:rFonts w:ascii="Times New Roman" w:hAnsi="Times New Roman"/>
          <w:color w:val="000000"/>
          <w:sz w:val="24"/>
          <w:szCs w:val="24"/>
        </w:rPr>
        <w:t>t</w:t>
      </w:r>
      <w:r w:rsidR="00D02038" w:rsidRPr="00660211">
        <w:rPr>
          <w:rFonts w:ascii="Times New Roman" w:hAnsi="Times New Roman"/>
          <w:color w:val="000000"/>
          <w:sz w:val="24"/>
          <w:szCs w:val="24"/>
        </w:rPr>
        <w:t xml:space="preserve">s </w:t>
      </w:r>
      <w:r w:rsidR="00226CA7" w:rsidRPr="00660211">
        <w:rPr>
          <w:rFonts w:ascii="Times New Roman" w:hAnsi="Times New Roman"/>
          <w:color w:val="000000"/>
          <w:sz w:val="24"/>
          <w:szCs w:val="24"/>
        </w:rPr>
        <w:t xml:space="preserve">have been optimistic about </w:t>
      </w:r>
      <w:r w:rsidR="00E10911" w:rsidRPr="00660211">
        <w:rPr>
          <w:rFonts w:ascii="Times New Roman" w:hAnsi="Times New Roman"/>
          <w:i/>
          <w:sz w:val="24"/>
          <w:szCs w:val="24"/>
        </w:rPr>
        <w:t>utility growth rates</w:t>
      </w:r>
      <w:r w:rsidR="00226CA7" w:rsidRPr="00660211">
        <w:rPr>
          <w:rFonts w:ascii="Times New Roman" w:hAnsi="Times New Roman"/>
          <w:color w:val="000000"/>
          <w:sz w:val="24"/>
          <w:szCs w:val="24"/>
        </w:rPr>
        <w:t xml:space="preserve">.  </w:t>
      </w:r>
      <w:r w:rsidRPr="00660211">
        <w:rPr>
          <w:rFonts w:ascii="Times New Roman" w:hAnsi="Times New Roman"/>
          <w:color w:val="000000"/>
          <w:sz w:val="24"/>
          <w:szCs w:val="24"/>
        </w:rPr>
        <w:t>Mr. Elgin</w:t>
      </w:r>
      <w:r w:rsidR="003C18EA" w:rsidRPr="00660211">
        <w:rPr>
          <w:rFonts w:ascii="Times New Roman" w:hAnsi="Times New Roman"/>
          <w:color w:val="000000"/>
          <w:sz w:val="24"/>
          <w:szCs w:val="24"/>
        </w:rPr>
        <w:t>’</w:t>
      </w:r>
      <w:r w:rsidRPr="00660211">
        <w:rPr>
          <w:rFonts w:ascii="Times New Roman" w:hAnsi="Times New Roman"/>
          <w:color w:val="000000"/>
          <w:sz w:val="24"/>
          <w:szCs w:val="24"/>
        </w:rPr>
        <w:t xml:space="preserve">s </w:t>
      </w:r>
      <w:r w:rsidR="00226CA7" w:rsidRPr="00660211">
        <w:rPr>
          <w:rFonts w:ascii="Times New Roman" w:hAnsi="Times New Roman"/>
          <w:color w:val="000000"/>
          <w:sz w:val="24"/>
          <w:szCs w:val="24"/>
        </w:rPr>
        <w:t>quotation</w:t>
      </w:r>
      <w:r w:rsidRPr="00660211">
        <w:rPr>
          <w:rFonts w:ascii="Times New Roman" w:hAnsi="Times New Roman"/>
          <w:color w:val="000000"/>
          <w:sz w:val="24"/>
          <w:szCs w:val="24"/>
        </w:rPr>
        <w:t xml:space="preserve"> is taken out of context from an academic article that supports using GDP </w:t>
      </w:r>
      <w:r w:rsidR="00226CA7" w:rsidRPr="00660211">
        <w:rPr>
          <w:rFonts w:ascii="Times New Roman" w:hAnsi="Times New Roman"/>
          <w:color w:val="000000"/>
          <w:sz w:val="24"/>
          <w:szCs w:val="24"/>
        </w:rPr>
        <w:t>gro</w:t>
      </w:r>
      <w:r w:rsidR="005C3E56">
        <w:rPr>
          <w:rFonts w:ascii="Times New Roman" w:hAnsi="Times New Roman"/>
          <w:color w:val="000000"/>
          <w:sz w:val="24"/>
          <w:szCs w:val="24"/>
        </w:rPr>
        <w:t>wth rates in the DCF model.  It </w:t>
      </w:r>
      <w:r w:rsidR="00226CA7" w:rsidRPr="00660211">
        <w:rPr>
          <w:rFonts w:ascii="Times New Roman" w:hAnsi="Times New Roman"/>
          <w:color w:val="000000"/>
          <w:sz w:val="24"/>
          <w:szCs w:val="24"/>
        </w:rPr>
        <w:t xml:space="preserve">does not support his contention that </w:t>
      </w:r>
      <w:r w:rsidR="00D65D09" w:rsidRPr="00660211">
        <w:rPr>
          <w:rFonts w:ascii="Times New Roman" w:hAnsi="Times New Roman"/>
          <w:color w:val="000000"/>
          <w:sz w:val="24"/>
          <w:szCs w:val="24"/>
        </w:rPr>
        <w:t>analysts</w:t>
      </w:r>
      <w:r w:rsidR="003C18EA" w:rsidRPr="00660211">
        <w:rPr>
          <w:rFonts w:ascii="Times New Roman" w:hAnsi="Times New Roman"/>
          <w:color w:val="000000"/>
          <w:sz w:val="24"/>
          <w:szCs w:val="24"/>
        </w:rPr>
        <w:t>’</w:t>
      </w:r>
      <w:r w:rsidR="00D65D09" w:rsidRPr="00660211">
        <w:rPr>
          <w:rFonts w:ascii="Times New Roman" w:hAnsi="Times New Roman"/>
          <w:color w:val="000000"/>
          <w:sz w:val="24"/>
          <w:szCs w:val="24"/>
        </w:rPr>
        <w:t xml:space="preserve"> estimates should not </w:t>
      </w:r>
      <w:r w:rsidR="009C3A67" w:rsidRPr="00660211">
        <w:rPr>
          <w:rFonts w:ascii="Times New Roman" w:hAnsi="Times New Roman"/>
          <w:color w:val="000000"/>
          <w:sz w:val="24"/>
          <w:szCs w:val="24"/>
        </w:rPr>
        <w:t xml:space="preserve">be </w:t>
      </w:r>
      <w:r w:rsidR="00957620" w:rsidRPr="00660211">
        <w:rPr>
          <w:rFonts w:ascii="Times New Roman" w:hAnsi="Times New Roman"/>
          <w:color w:val="000000"/>
          <w:sz w:val="24"/>
          <w:szCs w:val="24"/>
        </w:rPr>
        <w:t>used to assess</w:t>
      </w:r>
      <w:r w:rsidR="00D65D09" w:rsidRPr="00660211">
        <w:rPr>
          <w:rFonts w:ascii="Times New Roman" w:hAnsi="Times New Roman"/>
          <w:color w:val="000000"/>
          <w:sz w:val="24"/>
          <w:szCs w:val="24"/>
        </w:rPr>
        <w:t xml:space="preserve"> investors</w:t>
      </w:r>
      <w:r w:rsidR="003C18EA" w:rsidRPr="00660211">
        <w:rPr>
          <w:rFonts w:ascii="Times New Roman" w:hAnsi="Times New Roman"/>
          <w:color w:val="000000"/>
          <w:sz w:val="24"/>
          <w:szCs w:val="24"/>
        </w:rPr>
        <w:t>’</w:t>
      </w:r>
      <w:r w:rsidR="00D65D09" w:rsidRPr="00660211">
        <w:rPr>
          <w:rFonts w:ascii="Times New Roman" w:hAnsi="Times New Roman"/>
          <w:color w:val="000000"/>
          <w:sz w:val="24"/>
          <w:szCs w:val="24"/>
        </w:rPr>
        <w:t xml:space="preserve"> long-term growth rate expectations.</w:t>
      </w:r>
    </w:p>
    <w:p w:rsidR="00BB0D51" w:rsidRPr="00660211" w:rsidRDefault="00804BE2"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t>What does Boise witness Mr. Gorman have to say about using analysts’ growth rate estimates in the DCF model?</w:t>
      </w:r>
    </w:p>
    <w:p w:rsidR="00BB0D51" w:rsidRPr="00660211" w:rsidRDefault="00804BE2"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t>Mr. Gorman states, “As predictors of future returns, security analysts’ growth estimates have been shown to be more accurate than growth rates derived from historical data.”</w:t>
      </w:r>
      <w:r w:rsidR="008D5ADE" w:rsidRPr="005C3E56">
        <w:rPr>
          <w:rFonts w:ascii="Times New Roman" w:hAnsi="Times New Roman"/>
          <w:sz w:val="24"/>
          <w:szCs w:val="24"/>
          <w:vertAlign w:val="superscript"/>
        </w:rPr>
        <w:footnoteReference w:id="13"/>
      </w:r>
    </w:p>
    <w:p w:rsidR="00BB0D51" w:rsidRPr="00660211" w:rsidRDefault="000A38B0" w:rsidP="005C3E56">
      <w:pPr>
        <w:pStyle w:val="FootnoteText"/>
        <w:keepN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t xml:space="preserve">Mr. Elgin critiques your </w:t>
      </w:r>
      <w:r w:rsidR="00020743" w:rsidRPr="00660211">
        <w:rPr>
          <w:rFonts w:ascii="Times New Roman" w:hAnsi="Times New Roman"/>
          <w:b/>
          <w:color w:val="000000"/>
          <w:sz w:val="24"/>
          <w:szCs w:val="24"/>
        </w:rPr>
        <w:t>5.7</w:t>
      </w:r>
      <w:r w:rsidRPr="00660211">
        <w:rPr>
          <w:rFonts w:ascii="Times New Roman" w:hAnsi="Times New Roman"/>
          <w:b/>
          <w:color w:val="000000"/>
          <w:sz w:val="24"/>
          <w:szCs w:val="24"/>
        </w:rPr>
        <w:t xml:space="preserve"> percent GDP growth rate forecast</w:t>
      </w:r>
      <w:r w:rsidR="00020743" w:rsidRPr="00660211">
        <w:rPr>
          <w:rFonts w:ascii="Times New Roman" w:hAnsi="Times New Roman"/>
          <w:b/>
          <w:color w:val="000000"/>
          <w:sz w:val="24"/>
          <w:szCs w:val="24"/>
        </w:rPr>
        <w:t>.</w:t>
      </w:r>
      <w:r w:rsidR="00E4095A" w:rsidRPr="007855DE">
        <w:rPr>
          <w:rFonts w:ascii="Times New Roman" w:hAnsi="Times New Roman"/>
          <w:b/>
          <w:sz w:val="24"/>
          <w:szCs w:val="24"/>
          <w:vertAlign w:val="superscript"/>
        </w:rPr>
        <w:footnoteReference w:id="14"/>
      </w:r>
      <w:r w:rsidR="00020743" w:rsidRPr="007855DE">
        <w:rPr>
          <w:rFonts w:ascii="Times New Roman" w:hAnsi="Times New Roman"/>
          <w:b/>
          <w:color w:val="000000"/>
          <w:sz w:val="24"/>
          <w:szCs w:val="24"/>
        </w:rPr>
        <w:t xml:space="preserve"> </w:t>
      </w:r>
      <w:r w:rsidR="00020743" w:rsidRPr="00660211">
        <w:rPr>
          <w:rFonts w:ascii="Times New Roman" w:hAnsi="Times New Roman"/>
          <w:b/>
          <w:color w:val="000000"/>
          <w:sz w:val="24"/>
          <w:szCs w:val="24"/>
        </w:rPr>
        <w:t xml:space="preserve"> Are his criticisms valid?</w:t>
      </w:r>
    </w:p>
    <w:p w:rsidR="00BB0D51" w:rsidRPr="00660211" w:rsidRDefault="00C1645C"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r>
      <w:r w:rsidR="00020743" w:rsidRPr="00660211">
        <w:rPr>
          <w:rFonts w:ascii="Times New Roman" w:hAnsi="Times New Roman"/>
          <w:color w:val="000000"/>
          <w:sz w:val="24"/>
          <w:szCs w:val="24"/>
        </w:rPr>
        <w:t xml:space="preserve">No.  </w:t>
      </w:r>
      <w:r w:rsidR="00D7423A" w:rsidRPr="00660211">
        <w:rPr>
          <w:rFonts w:ascii="Times New Roman" w:hAnsi="Times New Roman"/>
          <w:color w:val="000000"/>
          <w:sz w:val="24"/>
          <w:szCs w:val="24"/>
        </w:rPr>
        <w:t>A</w:t>
      </w:r>
      <w:r w:rsidRPr="00660211">
        <w:rPr>
          <w:rFonts w:ascii="Times New Roman" w:hAnsi="Times New Roman"/>
          <w:color w:val="000000"/>
          <w:sz w:val="24"/>
          <w:szCs w:val="24"/>
        </w:rPr>
        <w:t>s I explained in my direct testimony</w:t>
      </w:r>
      <w:r w:rsidR="00D7423A" w:rsidRPr="00660211">
        <w:rPr>
          <w:rFonts w:ascii="Times New Roman" w:hAnsi="Times New Roman"/>
          <w:color w:val="000000"/>
          <w:sz w:val="24"/>
          <w:szCs w:val="24"/>
        </w:rPr>
        <w:t xml:space="preserve">, there are </w:t>
      </w:r>
      <w:r w:rsidR="00C47A39" w:rsidRPr="00660211">
        <w:rPr>
          <w:rFonts w:ascii="Times New Roman" w:hAnsi="Times New Roman"/>
          <w:color w:val="000000"/>
          <w:sz w:val="24"/>
          <w:szCs w:val="24"/>
        </w:rPr>
        <w:t>several</w:t>
      </w:r>
      <w:r w:rsidR="00D7423A" w:rsidRPr="00660211">
        <w:rPr>
          <w:rFonts w:ascii="Times New Roman" w:hAnsi="Times New Roman"/>
          <w:color w:val="000000"/>
          <w:sz w:val="24"/>
          <w:szCs w:val="24"/>
        </w:rPr>
        <w:t xml:space="preserve"> reasons why my GDP growth </w:t>
      </w:r>
      <w:r w:rsidR="00264699" w:rsidRPr="00660211">
        <w:rPr>
          <w:rFonts w:ascii="Times New Roman" w:hAnsi="Times New Roman"/>
          <w:color w:val="000000"/>
          <w:sz w:val="24"/>
          <w:szCs w:val="24"/>
        </w:rPr>
        <w:t>estimate</w:t>
      </w:r>
      <w:r w:rsidR="00D7423A" w:rsidRPr="00660211">
        <w:rPr>
          <w:rFonts w:ascii="Times New Roman" w:hAnsi="Times New Roman"/>
          <w:color w:val="000000"/>
          <w:sz w:val="24"/>
          <w:szCs w:val="24"/>
        </w:rPr>
        <w:t xml:space="preserve"> is appropriate as one estimate of investors</w:t>
      </w:r>
      <w:r w:rsidR="003C18EA" w:rsidRPr="00660211">
        <w:rPr>
          <w:rFonts w:ascii="Times New Roman" w:hAnsi="Times New Roman"/>
          <w:color w:val="000000"/>
          <w:sz w:val="24"/>
          <w:szCs w:val="24"/>
        </w:rPr>
        <w:t>’</w:t>
      </w:r>
      <w:r w:rsidR="00D7423A" w:rsidRPr="00660211">
        <w:rPr>
          <w:rFonts w:ascii="Times New Roman" w:hAnsi="Times New Roman"/>
          <w:color w:val="000000"/>
          <w:sz w:val="24"/>
          <w:szCs w:val="24"/>
        </w:rPr>
        <w:t xml:space="preserve"> long-term growth rate expectations</w:t>
      </w:r>
      <w:r w:rsidR="00CD541C" w:rsidRPr="00660211">
        <w:rPr>
          <w:rFonts w:ascii="Times New Roman" w:hAnsi="Times New Roman"/>
          <w:color w:val="000000"/>
          <w:sz w:val="24"/>
          <w:szCs w:val="24"/>
        </w:rPr>
        <w:t xml:space="preserve"> in the DCF model</w:t>
      </w:r>
      <w:r w:rsidR="00D7423A" w:rsidRPr="00660211">
        <w:rPr>
          <w:rFonts w:ascii="Times New Roman" w:hAnsi="Times New Roman"/>
          <w:color w:val="000000"/>
          <w:sz w:val="24"/>
          <w:szCs w:val="24"/>
        </w:rPr>
        <w:t>.  As in essentially all econometric forecasts, I use</w:t>
      </w:r>
      <w:r w:rsidR="00CD541C" w:rsidRPr="00660211">
        <w:rPr>
          <w:rFonts w:ascii="Times New Roman" w:hAnsi="Times New Roman"/>
          <w:color w:val="000000"/>
          <w:sz w:val="24"/>
          <w:szCs w:val="24"/>
        </w:rPr>
        <w:t>d</w:t>
      </w:r>
      <w:r w:rsidR="00D7423A" w:rsidRPr="00660211">
        <w:rPr>
          <w:rFonts w:ascii="Times New Roman" w:hAnsi="Times New Roman"/>
          <w:color w:val="000000"/>
          <w:sz w:val="24"/>
          <w:szCs w:val="24"/>
        </w:rPr>
        <w:t xml:space="preserve"> historical data</w:t>
      </w:r>
      <w:r w:rsidR="00264699" w:rsidRPr="00660211">
        <w:rPr>
          <w:rFonts w:ascii="Times New Roman" w:hAnsi="Times New Roman"/>
          <w:color w:val="000000"/>
          <w:sz w:val="24"/>
          <w:szCs w:val="24"/>
        </w:rPr>
        <w:t>, as</w:t>
      </w:r>
      <w:r w:rsidR="00CD541C" w:rsidRPr="00660211">
        <w:rPr>
          <w:rFonts w:ascii="Times New Roman" w:hAnsi="Times New Roman"/>
          <w:color w:val="000000"/>
          <w:sz w:val="24"/>
          <w:szCs w:val="24"/>
        </w:rPr>
        <w:t xml:space="preserve"> </w:t>
      </w:r>
      <w:r w:rsidR="00D7423A" w:rsidRPr="00660211">
        <w:rPr>
          <w:rFonts w:ascii="Times New Roman" w:hAnsi="Times New Roman"/>
          <w:color w:val="000000"/>
          <w:sz w:val="24"/>
          <w:szCs w:val="24"/>
        </w:rPr>
        <w:t>reported by the St. Louis Federal Reserve Bank</w:t>
      </w:r>
      <w:r w:rsidR="00264699" w:rsidRPr="00660211">
        <w:rPr>
          <w:rFonts w:ascii="Times New Roman" w:hAnsi="Times New Roman"/>
          <w:color w:val="000000"/>
          <w:sz w:val="24"/>
          <w:szCs w:val="24"/>
        </w:rPr>
        <w:t>,</w:t>
      </w:r>
      <w:r w:rsidR="00D7423A" w:rsidRPr="00660211">
        <w:rPr>
          <w:rFonts w:ascii="Times New Roman" w:hAnsi="Times New Roman"/>
          <w:color w:val="000000"/>
          <w:sz w:val="24"/>
          <w:szCs w:val="24"/>
        </w:rPr>
        <w:t xml:space="preserve"> to develop my GDP growth estimate</w:t>
      </w:r>
      <w:r w:rsidR="00264699" w:rsidRPr="00660211">
        <w:rPr>
          <w:rFonts w:ascii="Times New Roman" w:hAnsi="Times New Roman"/>
          <w:color w:val="000000"/>
          <w:sz w:val="24"/>
          <w:szCs w:val="24"/>
        </w:rPr>
        <w:t xml:space="preserve">.  However, my GDP forecast is </w:t>
      </w:r>
      <w:r w:rsidR="00264699" w:rsidRPr="00660211">
        <w:rPr>
          <w:rFonts w:ascii="Times New Roman" w:hAnsi="Times New Roman"/>
          <w:color w:val="000000"/>
          <w:sz w:val="24"/>
          <w:szCs w:val="24"/>
          <w:u w:val="single"/>
        </w:rPr>
        <w:t>not</w:t>
      </w:r>
      <w:r w:rsidR="00264699" w:rsidRPr="00660211">
        <w:rPr>
          <w:rFonts w:ascii="Times New Roman" w:hAnsi="Times New Roman"/>
          <w:color w:val="000000"/>
          <w:sz w:val="24"/>
          <w:szCs w:val="24"/>
        </w:rPr>
        <w:t xml:space="preserve"> a historical average.</w:t>
      </w:r>
      <w:r w:rsidR="001F0EE6" w:rsidRPr="005C3E56">
        <w:rPr>
          <w:rFonts w:ascii="Times New Roman" w:hAnsi="Times New Roman"/>
          <w:sz w:val="24"/>
          <w:szCs w:val="24"/>
          <w:vertAlign w:val="superscript"/>
        </w:rPr>
        <w:footnoteReference w:id="15"/>
      </w:r>
      <w:r w:rsidR="00D7423A" w:rsidRPr="00660211">
        <w:rPr>
          <w:rFonts w:ascii="Times New Roman" w:hAnsi="Times New Roman"/>
          <w:color w:val="000000"/>
          <w:sz w:val="24"/>
          <w:szCs w:val="24"/>
        </w:rPr>
        <w:t xml:space="preserve">  </w:t>
      </w:r>
      <w:r w:rsidR="00264699" w:rsidRPr="00660211">
        <w:rPr>
          <w:rFonts w:ascii="Times New Roman" w:hAnsi="Times New Roman"/>
          <w:color w:val="000000"/>
          <w:sz w:val="24"/>
          <w:szCs w:val="24"/>
        </w:rPr>
        <w:t>The average historical growth rate for the 60</w:t>
      </w:r>
      <w:r w:rsidR="008E4E51" w:rsidRPr="00660211">
        <w:rPr>
          <w:rFonts w:ascii="Times New Roman" w:hAnsi="Times New Roman"/>
          <w:color w:val="000000"/>
          <w:sz w:val="24"/>
          <w:szCs w:val="24"/>
        </w:rPr>
        <w:t xml:space="preserve"> </w:t>
      </w:r>
      <w:r w:rsidR="00264699" w:rsidRPr="00660211">
        <w:rPr>
          <w:rFonts w:ascii="Times New Roman" w:hAnsi="Times New Roman"/>
          <w:color w:val="000000"/>
          <w:sz w:val="24"/>
          <w:szCs w:val="24"/>
        </w:rPr>
        <w:t xml:space="preserve">years in my </w:t>
      </w:r>
      <w:r w:rsidR="00020743" w:rsidRPr="00660211">
        <w:rPr>
          <w:rFonts w:ascii="Times New Roman" w:hAnsi="Times New Roman"/>
          <w:color w:val="000000"/>
          <w:sz w:val="24"/>
          <w:szCs w:val="24"/>
        </w:rPr>
        <w:t xml:space="preserve">update </w:t>
      </w:r>
      <w:r w:rsidR="00264699" w:rsidRPr="00660211">
        <w:rPr>
          <w:rFonts w:ascii="Times New Roman" w:hAnsi="Times New Roman"/>
          <w:color w:val="000000"/>
          <w:sz w:val="24"/>
          <w:szCs w:val="24"/>
        </w:rPr>
        <w:t>study</w:t>
      </w:r>
      <w:r w:rsidR="003416AC" w:rsidRPr="003416AC">
        <w:rPr>
          <w:rFonts w:ascii="Times New Roman" w:hAnsi="Times New Roman"/>
          <w:sz w:val="24"/>
          <w:szCs w:val="24"/>
          <w:vertAlign w:val="superscript"/>
        </w:rPr>
        <w:footnoteReference w:id="16"/>
      </w:r>
      <w:r w:rsidR="00020743" w:rsidRPr="00660211">
        <w:rPr>
          <w:rFonts w:ascii="Times New Roman" w:hAnsi="Times New Roman"/>
          <w:color w:val="000000"/>
          <w:sz w:val="24"/>
          <w:szCs w:val="24"/>
        </w:rPr>
        <w:t xml:space="preserve"> </w:t>
      </w:r>
      <w:r w:rsidR="00264699" w:rsidRPr="00660211">
        <w:rPr>
          <w:rFonts w:ascii="Times New Roman" w:hAnsi="Times New Roman"/>
          <w:color w:val="000000"/>
          <w:sz w:val="24"/>
          <w:szCs w:val="24"/>
        </w:rPr>
        <w:t>is 6.</w:t>
      </w:r>
      <w:r w:rsidR="00020743" w:rsidRPr="00660211">
        <w:rPr>
          <w:rFonts w:ascii="Times New Roman" w:hAnsi="Times New Roman"/>
          <w:color w:val="000000"/>
          <w:sz w:val="24"/>
          <w:szCs w:val="24"/>
        </w:rPr>
        <w:t>5</w:t>
      </w:r>
      <w:r w:rsidR="00264699" w:rsidRPr="00660211">
        <w:rPr>
          <w:rFonts w:ascii="Times New Roman" w:hAnsi="Times New Roman"/>
          <w:color w:val="000000"/>
          <w:sz w:val="24"/>
          <w:szCs w:val="24"/>
        </w:rPr>
        <w:t xml:space="preserve"> percent; whereas my forecast </w:t>
      </w:r>
      <w:r w:rsidR="00CD541C" w:rsidRPr="00660211">
        <w:rPr>
          <w:rFonts w:ascii="Times New Roman" w:hAnsi="Times New Roman"/>
          <w:color w:val="000000"/>
          <w:sz w:val="24"/>
          <w:szCs w:val="24"/>
        </w:rPr>
        <w:t xml:space="preserve">for the future </w:t>
      </w:r>
      <w:r w:rsidR="00020743" w:rsidRPr="00660211">
        <w:rPr>
          <w:rFonts w:ascii="Times New Roman" w:hAnsi="Times New Roman"/>
          <w:color w:val="000000"/>
          <w:sz w:val="24"/>
          <w:szCs w:val="24"/>
        </w:rPr>
        <w:t>is 5.6</w:t>
      </w:r>
      <w:r w:rsidR="005C3E56">
        <w:rPr>
          <w:rFonts w:ascii="Times New Roman" w:hAnsi="Times New Roman"/>
          <w:color w:val="000000"/>
          <w:sz w:val="24"/>
          <w:szCs w:val="24"/>
        </w:rPr>
        <w:t> </w:t>
      </w:r>
      <w:r w:rsidR="00264699" w:rsidRPr="00660211">
        <w:rPr>
          <w:rFonts w:ascii="Times New Roman" w:hAnsi="Times New Roman"/>
          <w:color w:val="000000"/>
          <w:sz w:val="24"/>
          <w:szCs w:val="24"/>
        </w:rPr>
        <w:t xml:space="preserve">percent.  My forecast is lower because </w:t>
      </w:r>
      <w:r w:rsidR="00CD541C" w:rsidRPr="00660211">
        <w:rPr>
          <w:rFonts w:ascii="Times New Roman" w:hAnsi="Times New Roman"/>
          <w:color w:val="000000"/>
          <w:sz w:val="24"/>
          <w:szCs w:val="24"/>
        </w:rPr>
        <w:t>I</w:t>
      </w:r>
      <w:r w:rsidR="00264699" w:rsidRPr="00660211">
        <w:rPr>
          <w:rFonts w:ascii="Times New Roman" w:hAnsi="Times New Roman"/>
          <w:color w:val="000000"/>
          <w:sz w:val="24"/>
          <w:szCs w:val="24"/>
        </w:rPr>
        <w:t xml:space="preserve"> give more weight to the more recent years.  For gauging investors</w:t>
      </w:r>
      <w:r w:rsidR="003C18EA" w:rsidRPr="00660211">
        <w:rPr>
          <w:rFonts w:ascii="Times New Roman" w:hAnsi="Times New Roman"/>
          <w:color w:val="000000"/>
          <w:sz w:val="24"/>
          <w:szCs w:val="24"/>
        </w:rPr>
        <w:t>’</w:t>
      </w:r>
      <w:r w:rsidR="00264699" w:rsidRPr="00660211">
        <w:rPr>
          <w:rFonts w:ascii="Times New Roman" w:hAnsi="Times New Roman"/>
          <w:color w:val="000000"/>
          <w:sz w:val="24"/>
          <w:szCs w:val="24"/>
        </w:rPr>
        <w:t xml:space="preserve"> long-term expectations, this is an appropriate approach.  Finally, </w:t>
      </w:r>
      <w:r w:rsidR="00020743" w:rsidRPr="00660211">
        <w:rPr>
          <w:rFonts w:ascii="Times New Roman" w:hAnsi="Times New Roman"/>
          <w:color w:val="000000"/>
          <w:sz w:val="24"/>
          <w:szCs w:val="24"/>
        </w:rPr>
        <w:t xml:space="preserve">the </w:t>
      </w:r>
      <w:r w:rsidR="00264699" w:rsidRPr="00660211">
        <w:rPr>
          <w:rFonts w:ascii="Times New Roman" w:hAnsi="Times New Roman"/>
          <w:color w:val="000000"/>
          <w:sz w:val="24"/>
          <w:szCs w:val="24"/>
        </w:rPr>
        <w:t xml:space="preserve">Congressional </w:t>
      </w:r>
      <w:r w:rsidRPr="00660211">
        <w:rPr>
          <w:rFonts w:ascii="Times New Roman" w:hAnsi="Times New Roman"/>
          <w:color w:val="000000"/>
          <w:sz w:val="24"/>
          <w:szCs w:val="24"/>
        </w:rPr>
        <w:t>Budget Office</w:t>
      </w:r>
      <w:r w:rsidR="00D56643" w:rsidRPr="00660211">
        <w:rPr>
          <w:rFonts w:ascii="Times New Roman" w:hAnsi="Times New Roman"/>
          <w:color w:val="000000"/>
          <w:sz w:val="24"/>
          <w:szCs w:val="24"/>
        </w:rPr>
        <w:t>’s</w:t>
      </w:r>
      <w:r w:rsidRPr="00660211">
        <w:rPr>
          <w:rFonts w:ascii="Times New Roman" w:hAnsi="Times New Roman"/>
          <w:color w:val="000000"/>
          <w:sz w:val="24"/>
          <w:szCs w:val="24"/>
        </w:rPr>
        <w:t xml:space="preserve"> estimate of GDP growth</w:t>
      </w:r>
      <w:r w:rsidR="001D562B" w:rsidRPr="001D562B">
        <w:rPr>
          <w:sz w:val="24"/>
          <w:vertAlign w:val="superscript"/>
        </w:rPr>
        <w:footnoteReference w:id="17"/>
      </w:r>
      <w:r w:rsidRPr="00660211">
        <w:rPr>
          <w:rFonts w:ascii="Times New Roman" w:hAnsi="Times New Roman"/>
          <w:color w:val="000000"/>
          <w:sz w:val="24"/>
          <w:szCs w:val="24"/>
        </w:rPr>
        <w:t xml:space="preserve"> for the next 10 years at 4.</w:t>
      </w:r>
      <w:r w:rsidR="00D04B1F" w:rsidRPr="00660211">
        <w:rPr>
          <w:rFonts w:ascii="Times New Roman" w:hAnsi="Times New Roman"/>
          <w:color w:val="000000"/>
          <w:sz w:val="24"/>
          <w:szCs w:val="24"/>
        </w:rPr>
        <w:t>3</w:t>
      </w:r>
      <w:r w:rsidRPr="00660211">
        <w:rPr>
          <w:rFonts w:ascii="Times New Roman" w:hAnsi="Times New Roman"/>
          <w:color w:val="000000"/>
          <w:sz w:val="24"/>
          <w:szCs w:val="24"/>
        </w:rPr>
        <w:t xml:space="preserve"> percent</w:t>
      </w:r>
      <w:r w:rsidR="00264699" w:rsidRPr="00660211">
        <w:rPr>
          <w:rFonts w:ascii="Times New Roman" w:hAnsi="Times New Roman"/>
          <w:color w:val="000000"/>
          <w:sz w:val="24"/>
          <w:szCs w:val="24"/>
        </w:rPr>
        <w:t xml:space="preserve"> </w:t>
      </w:r>
      <w:r w:rsidR="00C1315F" w:rsidRPr="00660211">
        <w:rPr>
          <w:rFonts w:ascii="Times New Roman" w:hAnsi="Times New Roman"/>
          <w:color w:val="000000"/>
          <w:sz w:val="24"/>
          <w:szCs w:val="24"/>
        </w:rPr>
        <w:t>is an</w:t>
      </w:r>
      <w:r w:rsidR="00D04B1F" w:rsidRPr="00660211">
        <w:rPr>
          <w:rFonts w:ascii="Times New Roman" w:hAnsi="Times New Roman"/>
          <w:color w:val="000000"/>
          <w:sz w:val="24"/>
          <w:szCs w:val="24"/>
        </w:rPr>
        <w:t xml:space="preserve"> </w:t>
      </w:r>
      <w:r w:rsidR="00CD541C" w:rsidRPr="00660211">
        <w:rPr>
          <w:rFonts w:ascii="Times New Roman" w:hAnsi="Times New Roman"/>
          <w:color w:val="000000"/>
          <w:sz w:val="24"/>
          <w:szCs w:val="24"/>
        </w:rPr>
        <w:t xml:space="preserve">unreasonably low estimate of the long-run future because </w:t>
      </w:r>
      <w:r w:rsidR="00D04B1F" w:rsidRPr="00660211">
        <w:rPr>
          <w:rFonts w:ascii="Times New Roman" w:hAnsi="Times New Roman"/>
          <w:color w:val="000000"/>
          <w:sz w:val="24"/>
          <w:szCs w:val="24"/>
        </w:rPr>
        <w:t>it is</w:t>
      </w:r>
      <w:r w:rsidR="00CD541C" w:rsidRPr="00660211">
        <w:rPr>
          <w:rFonts w:ascii="Times New Roman" w:hAnsi="Times New Roman"/>
          <w:color w:val="000000"/>
          <w:sz w:val="24"/>
          <w:szCs w:val="24"/>
        </w:rPr>
        <w:t xml:space="preserve"> </w:t>
      </w:r>
      <w:r w:rsidR="00264699" w:rsidRPr="00660211">
        <w:rPr>
          <w:rFonts w:ascii="Times New Roman" w:hAnsi="Times New Roman"/>
          <w:color w:val="000000"/>
          <w:sz w:val="24"/>
          <w:szCs w:val="24"/>
        </w:rPr>
        <w:t>dominated by recent economic turmoil</w:t>
      </w:r>
      <w:r w:rsidR="00D04B1F" w:rsidRPr="00660211">
        <w:rPr>
          <w:rFonts w:ascii="Times New Roman" w:hAnsi="Times New Roman"/>
          <w:color w:val="000000"/>
          <w:sz w:val="24"/>
          <w:szCs w:val="24"/>
        </w:rPr>
        <w:t xml:space="preserve"> (real growth of 2.3%)</w:t>
      </w:r>
      <w:r w:rsidR="00264699" w:rsidRPr="00660211">
        <w:rPr>
          <w:rFonts w:ascii="Times New Roman" w:hAnsi="Times New Roman"/>
          <w:color w:val="000000"/>
          <w:sz w:val="24"/>
          <w:szCs w:val="24"/>
        </w:rPr>
        <w:t xml:space="preserve"> </w:t>
      </w:r>
      <w:r w:rsidR="00D04B1F" w:rsidRPr="00660211">
        <w:rPr>
          <w:rFonts w:ascii="Times New Roman" w:hAnsi="Times New Roman"/>
          <w:color w:val="000000"/>
          <w:sz w:val="24"/>
          <w:szCs w:val="24"/>
        </w:rPr>
        <w:t xml:space="preserve">and a </w:t>
      </w:r>
      <w:r w:rsidR="00264699" w:rsidRPr="00660211">
        <w:rPr>
          <w:rFonts w:ascii="Times New Roman" w:hAnsi="Times New Roman"/>
          <w:color w:val="000000"/>
          <w:sz w:val="24"/>
          <w:szCs w:val="24"/>
        </w:rPr>
        <w:t>low inflation rate</w:t>
      </w:r>
      <w:r w:rsidR="00D04B1F" w:rsidRPr="00660211">
        <w:rPr>
          <w:rFonts w:ascii="Times New Roman" w:hAnsi="Times New Roman"/>
          <w:color w:val="000000"/>
          <w:sz w:val="24"/>
          <w:szCs w:val="24"/>
        </w:rPr>
        <w:t xml:space="preserve"> (2.0%)</w:t>
      </w:r>
      <w:r w:rsidR="00264699" w:rsidRPr="00660211">
        <w:rPr>
          <w:rFonts w:ascii="Times New Roman" w:hAnsi="Times New Roman"/>
          <w:color w:val="000000"/>
          <w:sz w:val="24"/>
          <w:szCs w:val="24"/>
        </w:rPr>
        <w:t xml:space="preserve"> that ha</w:t>
      </w:r>
      <w:r w:rsidR="00D04B1F" w:rsidRPr="00660211">
        <w:rPr>
          <w:rFonts w:ascii="Times New Roman" w:hAnsi="Times New Roman"/>
          <w:color w:val="000000"/>
          <w:sz w:val="24"/>
          <w:szCs w:val="24"/>
        </w:rPr>
        <w:t xml:space="preserve">s </w:t>
      </w:r>
      <w:r w:rsidR="00264699" w:rsidRPr="00660211">
        <w:rPr>
          <w:rFonts w:ascii="Times New Roman" w:hAnsi="Times New Roman"/>
          <w:color w:val="000000"/>
          <w:sz w:val="24"/>
          <w:szCs w:val="24"/>
        </w:rPr>
        <w:t>resulted</w:t>
      </w:r>
      <w:r w:rsidR="00D04B1F" w:rsidRPr="00660211">
        <w:rPr>
          <w:rFonts w:ascii="Times New Roman" w:hAnsi="Times New Roman"/>
          <w:color w:val="000000"/>
          <w:sz w:val="24"/>
          <w:szCs w:val="24"/>
        </w:rPr>
        <w:t>.</w:t>
      </w:r>
      <w:r w:rsidR="005111A7" w:rsidRPr="00660211">
        <w:rPr>
          <w:rFonts w:ascii="Times New Roman" w:hAnsi="Times New Roman"/>
          <w:color w:val="000000"/>
          <w:sz w:val="24"/>
          <w:szCs w:val="24"/>
        </w:rPr>
        <w:t xml:space="preserve"> </w:t>
      </w:r>
      <w:r w:rsidR="00D04B1F" w:rsidRPr="00660211">
        <w:rPr>
          <w:rFonts w:ascii="Times New Roman" w:hAnsi="Times New Roman"/>
          <w:color w:val="000000"/>
          <w:sz w:val="24"/>
          <w:szCs w:val="24"/>
        </w:rPr>
        <w:t xml:space="preserve"> </w:t>
      </w:r>
      <w:r w:rsidR="00264699" w:rsidRPr="00660211">
        <w:rPr>
          <w:rFonts w:ascii="Times New Roman" w:hAnsi="Times New Roman"/>
          <w:color w:val="000000"/>
          <w:sz w:val="24"/>
          <w:szCs w:val="24"/>
        </w:rPr>
        <w:t>Such permanently low estimates of real growth and inflation</w:t>
      </w:r>
      <w:r w:rsidR="00510E8A" w:rsidRPr="00660211">
        <w:rPr>
          <w:rFonts w:ascii="Times New Roman" w:hAnsi="Times New Roman"/>
          <w:color w:val="000000"/>
          <w:sz w:val="24"/>
          <w:szCs w:val="24"/>
        </w:rPr>
        <w:t xml:space="preserve"> would mean that the future U.S. economy will grow at rates that are </w:t>
      </w:r>
      <w:r w:rsidR="00D04B1F" w:rsidRPr="00660211">
        <w:rPr>
          <w:rFonts w:ascii="Times New Roman" w:hAnsi="Times New Roman"/>
          <w:color w:val="000000"/>
          <w:sz w:val="24"/>
          <w:szCs w:val="24"/>
        </w:rPr>
        <w:t xml:space="preserve">more than </w:t>
      </w:r>
      <w:r w:rsidR="003416AC">
        <w:rPr>
          <w:rFonts w:ascii="Times New Roman" w:hAnsi="Times New Roman"/>
          <w:color w:val="000000"/>
          <w:sz w:val="24"/>
          <w:szCs w:val="24"/>
        </w:rPr>
        <w:t>two</w:t>
      </w:r>
      <w:r w:rsidR="003416AC" w:rsidRPr="00660211">
        <w:rPr>
          <w:rFonts w:ascii="Times New Roman" w:hAnsi="Times New Roman"/>
          <w:color w:val="000000"/>
          <w:sz w:val="24"/>
          <w:szCs w:val="24"/>
        </w:rPr>
        <w:t xml:space="preserve"> </w:t>
      </w:r>
      <w:r w:rsidR="00510E8A" w:rsidRPr="00660211">
        <w:rPr>
          <w:rFonts w:ascii="Times New Roman" w:hAnsi="Times New Roman"/>
          <w:color w:val="000000"/>
          <w:sz w:val="24"/>
          <w:szCs w:val="24"/>
        </w:rPr>
        <w:t>percentage points lower than the historical average (6.</w:t>
      </w:r>
      <w:r w:rsidR="00D04B1F" w:rsidRPr="00660211">
        <w:rPr>
          <w:rFonts w:ascii="Times New Roman" w:hAnsi="Times New Roman"/>
          <w:color w:val="000000"/>
          <w:sz w:val="24"/>
          <w:szCs w:val="24"/>
        </w:rPr>
        <w:t>5</w:t>
      </w:r>
      <w:r w:rsidR="00510E8A" w:rsidRPr="00660211">
        <w:rPr>
          <w:rFonts w:ascii="Times New Roman" w:hAnsi="Times New Roman"/>
          <w:color w:val="000000"/>
          <w:sz w:val="24"/>
          <w:szCs w:val="24"/>
        </w:rPr>
        <w:t xml:space="preserve">% - </w:t>
      </w:r>
      <w:r w:rsidR="00D04B1F" w:rsidRPr="00660211">
        <w:rPr>
          <w:rFonts w:ascii="Times New Roman" w:hAnsi="Times New Roman"/>
          <w:color w:val="000000"/>
          <w:sz w:val="24"/>
          <w:szCs w:val="24"/>
        </w:rPr>
        <w:t>4.3</w:t>
      </w:r>
      <w:r w:rsidR="00510E8A" w:rsidRPr="00660211">
        <w:rPr>
          <w:rFonts w:ascii="Times New Roman" w:hAnsi="Times New Roman"/>
          <w:color w:val="000000"/>
          <w:sz w:val="24"/>
          <w:szCs w:val="24"/>
        </w:rPr>
        <w:t xml:space="preserve">% = </w:t>
      </w:r>
      <w:r w:rsidR="00D04B1F" w:rsidRPr="00660211">
        <w:rPr>
          <w:rFonts w:ascii="Times New Roman" w:hAnsi="Times New Roman"/>
          <w:color w:val="000000"/>
          <w:sz w:val="24"/>
          <w:szCs w:val="24"/>
        </w:rPr>
        <w:t>2.3</w:t>
      </w:r>
      <w:r w:rsidR="00510E8A" w:rsidRPr="00660211">
        <w:rPr>
          <w:rFonts w:ascii="Times New Roman" w:hAnsi="Times New Roman"/>
          <w:color w:val="000000"/>
          <w:sz w:val="24"/>
          <w:szCs w:val="24"/>
        </w:rPr>
        <w:t>%</w:t>
      </w:r>
      <w:r w:rsidR="00D04B1F" w:rsidRPr="00660211">
        <w:rPr>
          <w:rFonts w:ascii="Times New Roman" w:hAnsi="Times New Roman"/>
          <w:color w:val="000000"/>
          <w:sz w:val="24"/>
          <w:szCs w:val="24"/>
        </w:rPr>
        <w:t xml:space="preserve">). </w:t>
      </w:r>
      <w:r w:rsidR="00510E8A" w:rsidRPr="00660211">
        <w:rPr>
          <w:rFonts w:ascii="Times New Roman" w:hAnsi="Times New Roman"/>
          <w:color w:val="000000"/>
          <w:sz w:val="24"/>
          <w:szCs w:val="24"/>
        </w:rPr>
        <w:t xml:space="preserve"> While future prospects for the country may have been dampened by recent economic performance, </w:t>
      </w:r>
      <w:r w:rsidR="00CD541C" w:rsidRPr="00660211">
        <w:rPr>
          <w:rFonts w:ascii="Times New Roman" w:hAnsi="Times New Roman"/>
          <w:color w:val="000000"/>
          <w:sz w:val="24"/>
          <w:szCs w:val="24"/>
        </w:rPr>
        <w:t>permanent</w:t>
      </w:r>
      <w:r w:rsidR="00C1315F" w:rsidRPr="00660211">
        <w:rPr>
          <w:rFonts w:ascii="Times New Roman" w:hAnsi="Times New Roman"/>
          <w:color w:val="000000"/>
          <w:sz w:val="24"/>
          <w:szCs w:val="24"/>
        </w:rPr>
        <w:t>ly low growth rates</w:t>
      </w:r>
      <w:r w:rsidR="00510E8A" w:rsidRPr="00660211">
        <w:rPr>
          <w:rFonts w:ascii="Times New Roman" w:hAnsi="Times New Roman"/>
          <w:color w:val="000000"/>
          <w:sz w:val="24"/>
          <w:szCs w:val="24"/>
        </w:rPr>
        <w:t xml:space="preserve"> are not reasonable assessments of investors</w:t>
      </w:r>
      <w:r w:rsidR="003C18EA" w:rsidRPr="00660211">
        <w:rPr>
          <w:rFonts w:ascii="Times New Roman" w:hAnsi="Times New Roman"/>
          <w:color w:val="000000"/>
          <w:sz w:val="24"/>
          <w:szCs w:val="24"/>
        </w:rPr>
        <w:t>’</w:t>
      </w:r>
      <w:r w:rsidR="00510E8A" w:rsidRPr="00660211">
        <w:rPr>
          <w:rFonts w:ascii="Times New Roman" w:hAnsi="Times New Roman"/>
          <w:color w:val="000000"/>
          <w:sz w:val="24"/>
          <w:szCs w:val="24"/>
        </w:rPr>
        <w:t xml:space="preserve"> long-term expectations to be used in the DCF model.  My </w:t>
      </w:r>
      <w:r w:rsidR="00D04B1F" w:rsidRPr="00660211">
        <w:rPr>
          <w:rFonts w:ascii="Times New Roman" w:hAnsi="Times New Roman"/>
          <w:color w:val="000000"/>
          <w:sz w:val="24"/>
          <w:szCs w:val="24"/>
        </w:rPr>
        <w:t>5.</w:t>
      </w:r>
      <w:r w:rsidR="00510E8A" w:rsidRPr="00660211">
        <w:rPr>
          <w:rFonts w:ascii="Times New Roman" w:hAnsi="Times New Roman"/>
          <w:color w:val="000000"/>
          <w:sz w:val="24"/>
          <w:szCs w:val="24"/>
        </w:rPr>
        <w:t xml:space="preserve">6 percent growth forecast is consistent with a more balanced view of </w:t>
      </w:r>
      <w:r w:rsidR="00CD541C" w:rsidRPr="00660211">
        <w:rPr>
          <w:rFonts w:ascii="Times New Roman" w:hAnsi="Times New Roman"/>
          <w:color w:val="000000"/>
          <w:sz w:val="24"/>
          <w:szCs w:val="24"/>
        </w:rPr>
        <w:t xml:space="preserve">long-term </w:t>
      </w:r>
      <w:r w:rsidR="00510E8A" w:rsidRPr="00660211">
        <w:rPr>
          <w:rFonts w:ascii="Times New Roman" w:hAnsi="Times New Roman"/>
          <w:color w:val="000000"/>
          <w:sz w:val="24"/>
          <w:szCs w:val="24"/>
        </w:rPr>
        <w:t xml:space="preserve">future </w:t>
      </w:r>
      <w:r w:rsidR="00CD541C" w:rsidRPr="00660211">
        <w:rPr>
          <w:rFonts w:ascii="Times New Roman" w:hAnsi="Times New Roman"/>
          <w:color w:val="000000"/>
          <w:sz w:val="24"/>
          <w:szCs w:val="24"/>
        </w:rPr>
        <w:t xml:space="preserve">prospects. </w:t>
      </w:r>
    </w:p>
    <w:p w:rsidR="00BB0D51" w:rsidRPr="00660211" w:rsidRDefault="001A01FD" w:rsidP="00660211">
      <w:pPr>
        <w:pStyle w:val="FootnoteText"/>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t>Please summarize you</w:t>
      </w:r>
      <w:r w:rsidR="008A238F" w:rsidRPr="00660211">
        <w:rPr>
          <w:rFonts w:ascii="Times New Roman" w:hAnsi="Times New Roman"/>
          <w:b/>
          <w:color w:val="000000"/>
          <w:sz w:val="24"/>
          <w:szCs w:val="24"/>
        </w:rPr>
        <w:t>r</w:t>
      </w:r>
      <w:r w:rsidRPr="00660211">
        <w:rPr>
          <w:rFonts w:ascii="Times New Roman" w:hAnsi="Times New Roman"/>
          <w:b/>
          <w:color w:val="000000"/>
          <w:sz w:val="24"/>
          <w:szCs w:val="24"/>
        </w:rPr>
        <w:t xml:space="preserve"> rebuttal of Mr. Elgin's ROE recommendation.</w:t>
      </w:r>
    </w:p>
    <w:p w:rsidR="00BB0D51" w:rsidRPr="00660211" w:rsidRDefault="001A01FD"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t>Mr. Elgin</w:t>
      </w:r>
      <w:r w:rsidR="003416AC">
        <w:rPr>
          <w:rFonts w:ascii="Times New Roman" w:hAnsi="Times New Roman"/>
          <w:color w:val="000000"/>
          <w:sz w:val="24"/>
          <w:szCs w:val="24"/>
        </w:rPr>
        <w:t>’</w:t>
      </w:r>
      <w:r w:rsidRPr="00660211">
        <w:rPr>
          <w:rFonts w:ascii="Times New Roman" w:hAnsi="Times New Roman"/>
          <w:color w:val="000000"/>
          <w:sz w:val="24"/>
          <w:szCs w:val="24"/>
        </w:rPr>
        <w:t>s ROE recommendation is far below PacifiCorp</w:t>
      </w:r>
      <w:r w:rsidR="00220B10">
        <w:rPr>
          <w:rFonts w:ascii="Times New Roman" w:hAnsi="Times New Roman"/>
          <w:color w:val="000000"/>
          <w:sz w:val="24"/>
          <w:szCs w:val="24"/>
        </w:rPr>
        <w:t>’</w:t>
      </w:r>
      <w:r w:rsidRPr="00660211">
        <w:rPr>
          <w:rFonts w:ascii="Times New Roman" w:hAnsi="Times New Roman"/>
          <w:color w:val="000000"/>
          <w:sz w:val="24"/>
          <w:szCs w:val="24"/>
        </w:rPr>
        <w:t xml:space="preserve">s </w:t>
      </w:r>
      <w:r w:rsidR="00B4236F" w:rsidRPr="00660211">
        <w:rPr>
          <w:rFonts w:ascii="Times New Roman" w:hAnsi="Times New Roman"/>
          <w:color w:val="000000"/>
          <w:sz w:val="24"/>
          <w:szCs w:val="24"/>
        </w:rPr>
        <w:t>COE</w:t>
      </w:r>
      <w:r w:rsidRPr="00660211">
        <w:rPr>
          <w:rFonts w:ascii="Times New Roman" w:hAnsi="Times New Roman"/>
          <w:color w:val="000000"/>
          <w:sz w:val="24"/>
          <w:szCs w:val="24"/>
        </w:rPr>
        <w:t xml:space="preserve">.  He appears to mistakenly believe that the </w:t>
      </w:r>
      <w:r w:rsidR="00B4236F" w:rsidRPr="00660211">
        <w:rPr>
          <w:rFonts w:ascii="Times New Roman" w:hAnsi="Times New Roman"/>
          <w:color w:val="000000"/>
          <w:sz w:val="24"/>
          <w:szCs w:val="24"/>
        </w:rPr>
        <w:t>COE</w:t>
      </w:r>
      <w:r w:rsidRPr="00660211">
        <w:rPr>
          <w:rFonts w:ascii="Times New Roman" w:hAnsi="Times New Roman"/>
          <w:color w:val="000000"/>
          <w:sz w:val="24"/>
          <w:szCs w:val="24"/>
        </w:rPr>
        <w:t xml:space="preserve"> has declined </w:t>
      </w:r>
      <w:r w:rsidR="00B4236F" w:rsidRPr="00660211">
        <w:rPr>
          <w:rFonts w:ascii="Times New Roman" w:hAnsi="Times New Roman"/>
          <w:color w:val="000000"/>
          <w:sz w:val="24"/>
          <w:szCs w:val="24"/>
        </w:rPr>
        <w:t xml:space="preserve">since the Commission most recent ROE decisions </w:t>
      </w:r>
      <w:r w:rsidR="00020743" w:rsidRPr="00660211">
        <w:rPr>
          <w:rFonts w:ascii="Times New Roman" w:hAnsi="Times New Roman"/>
          <w:color w:val="000000"/>
          <w:sz w:val="24"/>
          <w:szCs w:val="24"/>
        </w:rPr>
        <w:t xml:space="preserve">and that interest rates are expected to remain low. </w:t>
      </w:r>
      <w:r w:rsidRPr="00660211">
        <w:rPr>
          <w:rFonts w:ascii="Times New Roman" w:hAnsi="Times New Roman"/>
          <w:color w:val="000000"/>
          <w:sz w:val="24"/>
          <w:szCs w:val="24"/>
        </w:rPr>
        <w:t xml:space="preserve"> </w:t>
      </w:r>
      <w:r w:rsidR="00020743" w:rsidRPr="00660211">
        <w:rPr>
          <w:rFonts w:ascii="Times New Roman" w:hAnsi="Times New Roman"/>
          <w:color w:val="000000"/>
          <w:sz w:val="24"/>
          <w:szCs w:val="24"/>
        </w:rPr>
        <w:t xml:space="preserve">This conclusion is incorrect.  Fed policy has moderated and interest rates have increased and </w:t>
      </w:r>
      <w:r w:rsidR="00B4236F" w:rsidRPr="00660211">
        <w:rPr>
          <w:rFonts w:ascii="Times New Roman" w:hAnsi="Times New Roman"/>
          <w:color w:val="000000"/>
          <w:sz w:val="24"/>
          <w:szCs w:val="24"/>
        </w:rPr>
        <w:t xml:space="preserve">are </w:t>
      </w:r>
      <w:r w:rsidR="00020743" w:rsidRPr="00660211">
        <w:rPr>
          <w:rFonts w:ascii="Times New Roman" w:hAnsi="Times New Roman"/>
          <w:color w:val="000000"/>
          <w:sz w:val="24"/>
          <w:szCs w:val="24"/>
        </w:rPr>
        <w:t xml:space="preserve">expected to rise more in the coming year.  </w:t>
      </w:r>
      <w:r w:rsidRPr="00660211">
        <w:rPr>
          <w:rFonts w:ascii="Times New Roman" w:hAnsi="Times New Roman"/>
          <w:color w:val="000000"/>
          <w:sz w:val="24"/>
          <w:szCs w:val="24"/>
        </w:rPr>
        <w:t xml:space="preserve">His analysis is limited and </w:t>
      </w:r>
      <w:r w:rsidR="00B4236F" w:rsidRPr="00660211">
        <w:rPr>
          <w:rFonts w:ascii="Times New Roman" w:hAnsi="Times New Roman"/>
          <w:color w:val="000000"/>
          <w:sz w:val="24"/>
          <w:szCs w:val="24"/>
        </w:rPr>
        <w:t>contrary to direction provided in prior Commission orders.</w:t>
      </w:r>
      <w:r w:rsidRPr="00660211">
        <w:rPr>
          <w:rFonts w:ascii="Times New Roman" w:hAnsi="Times New Roman"/>
          <w:color w:val="000000"/>
          <w:sz w:val="24"/>
          <w:szCs w:val="24"/>
        </w:rPr>
        <w:t xml:space="preserve">  For </w:t>
      </w:r>
      <w:r w:rsidR="003416AC" w:rsidRPr="00660211">
        <w:rPr>
          <w:rFonts w:ascii="Times New Roman" w:hAnsi="Times New Roman"/>
          <w:color w:val="000000"/>
          <w:sz w:val="24"/>
          <w:szCs w:val="24"/>
        </w:rPr>
        <w:t>th</w:t>
      </w:r>
      <w:r w:rsidR="003416AC">
        <w:rPr>
          <w:rFonts w:ascii="Times New Roman" w:hAnsi="Times New Roman"/>
          <w:color w:val="000000"/>
          <w:sz w:val="24"/>
          <w:szCs w:val="24"/>
        </w:rPr>
        <w:t>ese</w:t>
      </w:r>
      <w:r w:rsidR="003416AC" w:rsidRPr="00660211">
        <w:rPr>
          <w:rFonts w:ascii="Times New Roman" w:hAnsi="Times New Roman"/>
          <w:color w:val="000000"/>
          <w:sz w:val="24"/>
          <w:szCs w:val="24"/>
        </w:rPr>
        <w:t xml:space="preserve"> </w:t>
      </w:r>
      <w:r w:rsidRPr="00660211">
        <w:rPr>
          <w:rFonts w:ascii="Times New Roman" w:hAnsi="Times New Roman"/>
          <w:color w:val="000000"/>
          <w:sz w:val="24"/>
          <w:szCs w:val="24"/>
        </w:rPr>
        <w:t>reason</w:t>
      </w:r>
      <w:r w:rsidR="003416AC">
        <w:rPr>
          <w:rFonts w:ascii="Times New Roman" w:hAnsi="Times New Roman"/>
          <w:color w:val="000000"/>
          <w:sz w:val="24"/>
          <w:szCs w:val="24"/>
        </w:rPr>
        <w:t>s</w:t>
      </w:r>
      <w:r w:rsidR="00D37115" w:rsidRPr="00660211">
        <w:rPr>
          <w:rFonts w:ascii="Times New Roman" w:hAnsi="Times New Roman"/>
          <w:color w:val="000000"/>
          <w:sz w:val="24"/>
          <w:szCs w:val="24"/>
        </w:rPr>
        <w:t>,</w:t>
      </w:r>
      <w:r w:rsidRPr="00660211">
        <w:rPr>
          <w:rFonts w:ascii="Times New Roman" w:hAnsi="Times New Roman"/>
          <w:color w:val="000000"/>
          <w:sz w:val="24"/>
          <w:szCs w:val="24"/>
        </w:rPr>
        <w:t xml:space="preserve"> his </w:t>
      </w:r>
      <w:r w:rsidR="00D37115" w:rsidRPr="00660211">
        <w:rPr>
          <w:rFonts w:ascii="Times New Roman" w:hAnsi="Times New Roman"/>
          <w:color w:val="000000"/>
          <w:sz w:val="24"/>
          <w:szCs w:val="24"/>
        </w:rPr>
        <w:t xml:space="preserve">analysis and the conclusions he draws from that analysis provide </w:t>
      </w:r>
      <w:r w:rsidR="004E59E2" w:rsidRPr="00660211">
        <w:rPr>
          <w:rFonts w:ascii="Times New Roman" w:hAnsi="Times New Roman"/>
          <w:color w:val="000000"/>
          <w:sz w:val="24"/>
          <w:szCs w:val="24"/>
        </w:rPr>
        <w:t xml:space="preserve">little </w:t>
      </w:r>
      <w:r w:rsidR="00D37115" w:rsidRPr="00660211">
        <w:rPr>
          <w:rFonts w:ascii="Times New Roman" w:hAnsi="Times New Roman"/>
          <w:color w:val="000000"/>
          <w:sz w:val="24"/>
          <w:szCs w:val="24"/>
        </w:rPr>
        <w:t>meaning</w:t>
      </w:r>
      <w:r w:rsidR="009C3A67" w:rsidRPr="00660211">
        <w:rPr>
          <w:rFonts w:ascii="Times New Roman" w:hAnsi="Times New Roman"/>
          <w:color w:val="000000"/>
          <w:sz w:val="24"/>
          <w:szCs w:val="24"/>
        </w:rPr>
        <w:t>ful</w:t>
      </w:r>
      <w:r w:rsidR="00D37115" w:rsidRPr="00660211">
        <w:rPr>
          <w:rFonts w:ascii="Times New Roman" w:hAnsi="Times New Roman"/>
          <w:color w:val="000000"/>
          <w:sz w:val="24"/>
          <w:szCs w:val="24"/>
        </w:rPr>
        <w:t xml:space="preserve"> evidence about </w:t>
      </w:r>
      <w:r w:rsidR="003416AC" w:rsidRPr="00660211">
        <w:rPr>
          <w:rFonts w:ascii="Times New Roman" w:hAnsi="Times New Roman"/>
          <w:color w:val="000000"/>
          <w:sz w:val="24"/>
          <w:szCs w:val="24"/>
        </w:rPr>
        <w:t>PacifiCorp</w:t>
      </w:r>
      <w:r w:rsidR="003416AC">
        <w:rPr>
          <w:rFonts w:ascii="Times New Roman" w:hAnsi="Times New Roman"/>
          <w:color w:val="000000"/>
          <w:sz w:val="24"/>
          <w:szCs w:val="24"/>
        </w:rPr>
        <w:t>’</w:t>
      </w:r>
      <w:r w:rsidR="003416AC" w:rsidRPr="00660211">
        <w:rPr>
          <w:rFonts w:ascii="Times New Roman" w:hAnsi="Times New Roman"/>
          <w:color w:val="000000"/>
          <w:sz w:val="24"/>
          <w:szCs w:val="24"/>
        </w:rPr>
        <w:t xml:space="preserve">s </w:t>
      </w:r>
      <w:r w:rsidR="00220B10">
        <w:rPr>
          <w:rFonts w:ascii="Times New Roman" w:hAnsi="Times New Roman"/>
          <w:color w:val="000000"/>
          <w:sz w:val="24"/>
          <w:szCs w:val="24"/>
        </w:rPr>
        <w:t>COE</w:t>
      </w:r>
      <w:r w:rsidR="00D37115" w:rsidRPr="00660211">
        <w:rPr>
          <w:rFonts w:ascii="Times New Roman" w:hAnsi="Times New Roman"/>
          <w:color w:val="000000"/>
          <w:sz w:val="24"/>
          <w:szCs w:val="24"/>
        </w:rPr>
        <w:t>.</w:t>
      </w:r>
    </w:p>
    <w:p w:rsidR="00BB0D51" w:rsidRPr="00550A6B" w:rsidRDefault="00425777" w:rsidP="00550A6B">
      <w:pPr>
        <w:pStyle w:val="Heading1"/>
      </w:pPr>
      <w:bookmarkStart w:id="4" w:name="_Toc362869158"/>
      <w:r w:rsidRPr="00550A6B">
        <w:t xml:space="preserve">Rebuttal of Boise </w:t>
      </w:r>
      <w:r w:rsidR="003E0B55" w:rsidRPr="00550A6B">
        <w:t>Witness Michael P. Gorman</w:t>
      </w:r>
      <w:bookmarkEnd w:id="4"/>
    </w:p>
    <w:p w:rsidR="0033273D" w:rsidRPr="00660211" w:rsidRDefault="0033273D" w:rsidP="00660211">
      <w:pPr>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What is the basis for Mr. Gorman’s 9.20 percent ROE recommendation?</w:t>
      </w:r>
    </w:p>
    <w:p w:rsidR="0033273D" w:rsidRPr="00660211" w:rsidRDefault="001E1FF5"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r>
      <w:r w:rsidR="0033273D" w:rsidRPr="00660211">
        <w:rPr>
          <w:rFonts w:ascii="Times New Roman" w:hAnsi="Times New Roman"/>
          <w:szCs w:val="24"/>
        </w:rPr>
        <w:t xml:space="preserve">Based on three DCF models (two constant growth models and one multi-stage growth model), a risk premium analysis, and the CAPM, </w:t>
      </w:r>
      <w:r w:rsidR="00B4236F" w:rsidRPr="00660211">
        <w:rPr>
          <w:rFonts w:ascii="Times New Roman" w:hAnsi="Times New Roman"/>
          <w:szCs w:val="24"/>
        </w:rPr>
        <w:t>Mr. Gorman</w:t>
      </w:r>
      <w:r w:rsidR="0033273D" w:rsidRPr="00660211">
        <w:rPr>
          <w:rFonts w:ascii="Times New Roman" w:hAnsi="Times New Roman"/>
          <w:szCs w:val="24"/>
        </w:rPr>
        <w:t xml:space="preserve"> concludes that the reasonable ROE range is 9.1 percent to 9.25 percent.</w:t>
      </w:r>
      <w:r w:rsidR="00B4236F" w:rsidRPr="005B672B">
        <w:rPr>
          <w:rFonts w:ascii="Times New Roman" w:hAnsi="Times New Roman"/>
          <w:vertAlign w:val="superscript"/>
        </w:rPr>
        <w:footnoteReference w:id="18"/>
      </w:r>
      <w:r w:rsidR="0033273D" w:rsidRPr="00660211">
        <w:rPr>
          <w:rFonts w:ascii="Times New Roman" w:hAnsi="Times New Roman"/>
          <w:szCs w:val="24"/>
        </w:rPr>
        <w:t xml:space="preserve">  His recommended ROE of 9.2 percent falls within this range.</w:t>
      </w:r>
    </w:p>
    <w:p w:rsidR="0033273D" w:rsidRPr="00660211" w:rsidRDefault="0033273D" w:rsidP="00660211">
      <w:pPr>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Mr. Gorman compares his 9.2 percent ROE recommendation in this case to PacifiCorp’s last authorized ROE of 9.8 percent.  He claims that his lower recommendation is justified due to a drop in capital market costs that has occurred since PacifiCorp’s last case.</w:t>
      </w:r>
      <w:r w:rsidR="001D562B" w:rsidRPr="00C35117">
        <w:rPr>
          <w:rFonts w:ascii="Times New Roman" w:hAnsi="Times New Roman"/>
          <w:b/>
          <w:szCs w:val="24"/>
          <w:vertAlign w:val="superscript"/>
        </w:rPr>
        <w:footnoteReference w:id="19"/>
      </w:r>
      <w:r w:rsidRPr="00660211">
        <w:rPr>
          <w:rFonts w:ascii="Times New Roman" w:hAnsi="Times New Roman"/>
          <w:b/>
          <w:szCs w:val="24"/>
        </w:rPr>
        <w:t xml:space="preserve">  Do you agree?</w:t>
      </w:r>
    </w:p>
    <w:p w:rsidR="00C24AF2" w:rsidRDefault="0033273D">
      <w:pPr>
        <w:widowControl w:val="0"/>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No.  Mr. Gorman’</w:t>
      </w:r>
      <w:r w:rsidR="008B7803" w:rsidRPr="00660211">
        <w:rPr>
          <w:rFonts w:ascii="Times New Roman" w:hAnsi="Times New Roman"/>
          <w:szCs w:val="24"/>
        </w:rPr>
        <w:t>s</w:t>
      </w:r>
      <w:r w:rsidRPr="00660211">
        <w:rPr>
          <w:rFonts w:ascii="Times New Roman" w:hAnsi="Times New Roman"/>
          <w:szCs w:val="24"/>
        </w:rPr>
        <w:t xml:space="preserve"> conclusion is incorrect because he does not consider the increase in interest rates that has occurred since the Fed began signaling an end to its quantitative easing program.  As shown in </w:t>
      </w:r>
      <w:r w:rsidR="002D1884" w:rsidRPr="00660211">
        <w:rPr>
          <w:rFonts w:ascii="Times New Roman" w:hAnsi="Times New Roman"/>
          <w:szCs w:val="24"/>
        </w:rPr>
        <w:t xml:space="preserve">both </w:t>
      </w:r>
      <w:r w:rsidR="004A1D61" w:rsidRPr="00660211">
        <w:rPr>
          <w:rFonts w:ascii="Times New Roman" w:hAnsi="Times New Roman"/>
          <w:szCs w:val="24"/>
        </w:rPr>
        <w:t xml:space="preserve">page 1 of my </w:t>
      </w:r>
      <w:r w:rsidRPr="00660211">
        <w:rPr>
          <w:rFonts w:ascii="Times New Roman" w:hAnsi="Times New Roman"/>
          <w:szCs w:val="24"/>
        </w:rPr>
        <w:t xml:space="preserve">Exhibit </w:t>
      </w:r>
      <w:r w:rsidR="008B7803" w:rsidRPr="00660211">
        <w:rPr>
          <w:rFonts w:ascii="Times New Roman" w:hAnsi="Times New Roman"/>
          <w:szCs w:val="24"/>
        </w:rPr>
        <w:t>No.___(</w:t>
      </w:r>
      <w:r w:rsidRPr="00660211">
        <w:rPr>
          <w:rFonts w:ascii="Times New Roman" w:hAnsi="Times New Roman"/>
          <w:szCs w:val="24"/>
        </w:rPr>
        <w:t>SCH-</w:t>
      </w:r>
      <w:r w:rsidR="00813AC1" w:rsidRPr="00660211">
        <w:rPr>
          <w:rFonts w:ascii="Times New Roman" w:hAnsi="Times New Roman"/>
          <w:szCs w:val="24"/>
        </w:rPr>
        <w:t>12</w:t>
      </w:r>
      <w:r w:rsidR="008B7803" w:rsidRPr="00660211">
        <w:rPr>
          <w:rFonts w:ascii="Times New Roman" w:hAnsi="Times New Roman"/>
          <w:szCs w:val="24"/>
        </w:rPr>
        <w:t>)</w:t>
      </w:r>
      <w:r w:rsidRPr="00660211">
        <w:rPr>
          <w:rFonts w:ascii="Times New Roman" w:hAnsi="Times New Roman"/>
          <w:szCs w:val="24"/>
        </w:rPr>
        <w:t xml:space="preserve"> </w:t>
      </w:r>
      <w:r w:rsidR="002D1884" w:rsidRPr="00660211">
        <w:rPr>
          <w:rFonts w:ascii="Times New Roman" w:hAnsi="Times New Roman"/>
          <w:szCs w:val="24"/>
        </w:rPr>
        <w:t xml:space="preserve">and Table 1 of Mr. Gorman’s testimony, </w:t>
      </w:r>
      <w:r w:rsidRPr="00660211">
        <w:rPr>
          <w:rFonts w:ascii="Times New Roman" w:hAnsi="Times New Roman"/>
          <w:szCs w:val="24"/>
        </w:rPr>
        <w:t xml:space="preserve">around the time of </w:t>
      </w:r>
      <w:r w:rsidR="000A0D07" w:rsidRPr="00660211">
        <w:rPr>
          <w:rFonts w:ascii="Times New Roman" w:hAnsi="Times New Roman"/>
          <w:szCs w:val="24"/>
        </w:rPr>
        <w:t xml:space="preserve">the </w:t>
      </w:r>
      <w:r w:rsidR="008B7803" w:rsidRPr="00660211">
        <w:rPr>
          <w:rFonts w:ascii="Times New Roman" w:hAnsi="Times New Roman"/>
          <w:szCs w:val="24"/>
        </w:rPr>
        <w:t xml:space="preserve">February 2012 settlement of </w:t>
      </w:r>
      <w:r w:rsidRPr="00660211">
        <w:rPr>
          <w:rFonts w:ascii="Times New Roman" w:hAnsi="Times New Roman"/>
          <w:szCs w:val="24"/>
        </w:rPr>
        <w:t xml:space="preserve">PacifiCorp’s </w:t>
      </w:r>
      <w:r w:rsidR="005A2371" w:rsidRPr="00660211">
        <w:rPr>
          <w:rFonts w:ascii="Times New Roman" w:hAnsi="Times New Roman"/>
          <w:szCs w:val="24"/>
        </w:rPr>
        <w:t xml:space="preserve">2011 </w:t>
      </w:r>
      <w:r w:rsidR="008B7803" w:rsidRPr="00660211">
        <w:rPr>
          <w:rFonts w:ascii="Times New Roman" w:hAnsi="Times New Roman"/>
          <w:szCs w:val="24"/>
        </w:rPr>
        <w:t xml:space="preserve">Washington </w:t>
      </w:r>
      <w:r w:rsidR="005A2371" w:rsidRPr="00660211">
        <w:rPr>
          <w:rFonts w:ascii="Times New Roman" w:hAnsi="Times New Roman"/>
          <w:szCs w:val="24"/>
        </w:rPr>
        <w:t>R</w:t>
      </w:r>
      <w:r w:rsidR="008B7803" w:rsidRPr="00660211">
        <w:rPr>
          <w:rFonts w:ascii="Times New Roman" w:hAnsi="Times New Roman"/>
          <w:szCs w:val="24"/>
        </w:rPr>
        <w:t xml:space="preserve">ate </w:t>
      </w:r>
      <w:r w:rsidR="005A2371" w:rsidRPr="00660211">
        <w:rPr>
          <w:rFonts w:ascii="Times New Roman" w:hAnsi="Times New Roman"/>
          <w:szCs w:val="24"/>
        </w:rPr>
        <w:t>C</w:t>
      </w:r>
      <w:r w:rsidRPr="00660211">
        <w:rPr>
          <w:rFonts w:ascii="Times New Roman" w:hAnsi="Times New Roman"/>
          <w:szCs w:val="24"/>
        </w:rPr>
        <w:t>ase</w:t>
      </w:r>
      <w:r w:rsidR="008B7803" w:rsidRPr="00660211">
        <w:rPr>
          <w:rFonts w:ascii="Times New Roman" w:hAnsi="Times New Roman"/>
          <w:szCs w:val="24"/>
        </w:rPr>
        <w:t xml:space="preserve"> </w:t>
      </w:r>
      <w:r w:rsidR="005A2371" w:rsidRPr="00660211">
        <w:rPr>
          <w:rFonts w:ascii="Times New Roman" w:hAnsi="Times New Roman"/>
          <w:szCs w:val="24"/>
        </w:rPr>
        <w:t>(</w:t>
      </w:r>
      <w:r w:rsidR="008B7803" w:rsidRPr="00660211">
        <w:rPr>
          <w:rFonts w:ascii="Times New Roman" w:hAnsi="Times New Roman"/>
          <w:szCs w:val="24"/>
        </w:rPr>
        <w:t>Docket UE-111</w:t>
      </w:r>
      <w:r w:rsidR="002D1884" w:rsidRPr="00660211">
        <w:rPr>
          <w:rFonts w:ascii="Times New Roman" w:hAnsi="Times New Roman"/>
          <w:szCs w:val="24"/>
        </w:rPr>
        <w:t>190</w:t>
      </w:r>
      <w:r w:rsidR="005A2371" w:rsidRPr="00660211">
        <w:rPr>
          <w:rFonts w:ascii="Times New Roman" w:hAnsi="Times New Roman"/>
          <w:szCs w:val="24"/>
        </w:rPr>
        <w:t>)</w:t>
      </w:r>
      <w:r w:rsidRPr="00660211">
        <w:rPr>
          <w:rFonts w:ascii="Times New Roman" w:hAnsi="Times New Roman"/>
          <w:szCs w:val="24"/>
        </w:rPr>
        <w:t xml:space="preserve">, interest rates for single-A utilities were </w:t>
      </w:r>
      <w:r w:rsidR="002D1884" w:rsidRPr="00660211">
        <w:rPr>
          <w:rFonts w:ascii="Times New Roman" w:hAnsi="Times New Roman"/>
          <w:szCs w:val="24"/>
        </w:rPr>
        <w:t>approximately</w:t>
      </w:r>
      <w:r w:rsidRPr="00660211">
        <w:rPr>
          <w:rFonts w:ascii="Times New Roman" w:hAnsi="Times New Roman"/>
          <w:szCs w:val="24"/>
        </w:rPr>
        <w:t xml:space="preserve"> 4.3</w:t>
      </w:r>
      <w:r w:rsidR="002D1884" w:rsidRPr="00660211">
        <w:rPr>
          <w:rFonts w:ascii="Times New Roman" w:hAnsi="Times New Roman"/>
          <w:szCs w:val="24"/>
        </w:rPr>
        <w:t>5</w:t>
      </w:r>
      <w:r w:rsidRPr="00660211">
        <w:rPr>
          <w:rFonts w:ascii="Times New Roman" w:hAnsi="Times New Roman"/>
          <w:szCs w:val="24"/>
        </w:rPr>
        <w:t xml:space="preserve"> percent.  As discussed previously, the average single-A rate for June 2013 was above 4.5 percent, and, most recently, in July, </w:t>
      </w:r>
      <w:r w:rsidR="00BF0BF4" w:rsidRPr="00660211">
        <w:rPr>
          <w:rFonts w:ascii="Times New Roman" w:hAnsi="Times New Roman"/>
          <w:szCs w:val="24"/>
        </w:rPr>
        <w:t>rates have been closer to 4.8 percent</w:t>
      </w:r>
      <w:r w:rsidRPr="00660211">
        <w:rPr>
          <w:rFonts w:ascii="Times New Roman" w:hAnsi="Times New Roman"/>
          <w:szCs w:val="24"/>
        </w:rPr>
        <w:t xml:space="preserve">.  </w:t>
      </w:r>
      <w:r w:rsidR="002D1884" w:rsidRPr="00660211">
        <w:rPr>
          <w:rFonts w:ascii="Times New Roman" w:hAnsi="Times New Roman"/>
          <w:szCs w:val="24"/>
        </w:rPr>
        <w:t xml:space="preserve">Because the premise of </w:t>
      </w:r>
      <w:r w:rsidRPr="00660211">
        <w:rPr>
          <w:rFonts w:ascii="Times New Roman" w:hAnsi="Times New Roman"/>
          <w:szCs w:val="24"/>
        </w:rPr>
        <w:t xml:space="preserve">Mr. Gorman’s </w:t>
      </w:r>
      <w:r w:rsidR="002D1884" w:rsidRPr="00660211">
        <w:rPr>
          <w:rFonts w:ascii="Times New Roman" w:hAnsi="Times New Roman"/>
          <w:szCs w:val="24"/>
        </w:rPr>
        <w:t>recommendation reducing PacifiCorp’s allowed ROE is incorrect, his recommendation</w:t>
      </w:r>
      <w:r w:rsidRPr="00660211">
        <w:rPr>
          <w:rFonts w:ascii="Times New Roman" w:hAnsi="Times New Roman"/>
          <w:szCs w:val="24"/>
        </w:rPr>
        <w:t xml:space="preserve"> should be rejected.</w:t>
      </w:r>
    </w:p>
    <w:p w:rsidR="0033273D" w:rsidRPr="00660211" w:rsidRDefault="0033273D" w:rsidP="00660211">
      <w:pPr>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What is your technical assessment of Mr. Gorman’s ROE testimony and recommendation?</w:t>
      </w:r>
    </w:p>
    <w:p w:rsidR="0033273D" w:rsidRPr="00660211" w:rsidRDefault="0033273D"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 xml:space="preserve">Mr. Gorman’s recommendation is understated because he applies incorrect and inconsistent approaches to reach his final ROE estimate.  There are several specific factors that detract from Mr. Gorman’s analysis.  In his multi-stage DCF analysis, the result is low because Mr. Gorman applies a long-term GDP growth rate that is understated.  In his risk premium analysis, the result is </w:t>
      </w:r>
      <w:r w:rsidR="00F41F32" w:rsidRPr="00660211">
        <w:rPr>
          <w:rFonts w:ascii="Times New Roman" w:hAnsi="Times New Roman"/>
          <w:szCs w:val="24"/>
        </w:rPr>
        <w:t xml:space="preserve">also </w:t>
      </w:r>
      <w:r w:rsidRPr="00660211">
        <w:rPr>
          <w:rFonts w:ascii="Times New Roman" w:hAnsi="Times New Roman"/>
          <w:szCs w:val="24"/>
        </w:rPr>
        <w:t>flawed because Mr.</w:t>
      </w:r>
      <w:r w:rsidR="003E0F74">
        <w:rPr>
          <w:rFonts w:ascii="Times New Roman" w:hAnsi="Times New Roman"/>
          <w:szCs w:val="24"/>
        </w:rPr>
        <w:t> </w:t>
      </w:r>
      <w:r w:rsidRPr="00660211">
        <w:rPr>
          <w:rFonts w:ascii="Times New Roman" w:hAnsi="Times New Roman"/>
          <w:szCs w:val="24"/>
        </w:rPr>
        <w:t>Gorman rejects the well</w:t>
      </w:r>
      <w:r w:rsidR="003E0F74">
        <w:rPr>
          <w:rFonts w:ascii="Times New Roman" w:hAnsi="Times New Roman"/>
          <w:szCs w:val="24"/>
        </w:rPr>
        <w:t>-</w:t>
      </w:r>
      <w:r w:rsidRPr="00660211">
        <w:rPr>
          <w:rFonts w:ascii="Times New Roman" w:hAnsi="Times New Roman"/>
          <w:szCs w:val="24"/>
        </w:rPr>
        <w:t xml:space="preserve">documented, inverse relationship that exists between equity risk premiums and the level of interest rates.  Equity risk premiums increase when interest rates are low and decrease when interest rates are higher.  When corrections are made to these areas of Mr. Gorman’s analysis, his results support an ROE </w:t>
      </w:r>
      <w:r w:rsidR="00F41F32" w:rsidRPr="00660211">
        <w:rPr>
          <w:rFonts w:ascii="Times New Roman" w:hAnsi="Times New Roman"/>
          <w:szCs w:val="24"/>
        </w:rPr>
        <w:t>in the range of 10</w:t>
      </w:r>
      <w:r w:rsidRPr="00660211">
        <w:rPr>
          <w:rFonts w:ascii="Times New Roman" w:hAnsi="Times New Roman"/>
          <w:szCs w:val="24"/>
        </w:rPr>
        <w:t xml:space="preserve"> percent.</w:t>
      </w:r>
    </w:p>
    <w:p w:rsidR="00C24AF2" w:rsidRDefault="0033273D">
      <w:pPr>
        <w:keepNext/>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 xml:space="preserve">What are your </w:t>
      </w:r>
      <w:r w:rsidR="00F41F32" w:rsidRPr="00660211">
        <w:rPr>
          <w:rFonts w:ascii="Times New Roman" w:hAnsi="Times New Roman"/>
          <w:b/>
          <w:szCs w:val="24"/>
        </w:rPr>
        <w:t xml:space="preserve">principal </w:t>
      </w:r>
      <w:r w:rsidRPr="00660211">
        <w:rPr>
          <w:rFonts w:ascii="Times New Roman" w:hAnsi="Times New Roman"/>
          <w:b/>
          <w:szCs w:val="24"/>
        </w:rPr>
        <w:t>areas of disagreement with Mr. Gorman?</w:t>
      </w:r>
    </w:p>
    <w:p w:rsidR="0033273D" w:rsidRPr="00660211" w:rsidRDefault="0033273D"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 xml:space="preserve">Mr. Gorman’s analysis is negatively skewed by his assumptions and his application of the models.  While Mr. Gorman applies a non-constant growth DCF model similar to mine and agrees that GDP growth is an acceptable input for that model, </w:t>
      </w:r>
      <w:r w:rsidR="003E0B55" w:rsidRPr="00660211">
        <w:rPr>
          <w:rFonts w:ascii="Times New Roman" w:hAnsi="Times New Roman"/>
          <w:szCs w:val="24"/>
        </w:rPr>
        <w:t>for his long-term growth rate</w:t>
      </w:r>
      <w:r w:rsidR="002D1884" w:rsidRPr="00660211">
        <w:rPr>
          <w:rFonts w:ascii="Times New Roman" w:hAnsi="Times New Roman"/>
          <w:szCs w:val="24"/>
        </w:rPr>
        <w:t>,</w:t>
      </w:r>
      <w:r w:rsidR="003E0B55" w:rsidRPr="00660211">
        <w:rPr>
          <w:rFonts w:ascii="Times New Roman" w:hAnsi="Times New Roman"/>
          <w:szCs w:val="24"/>
        </w:rPr>
        <w:t xml:space="preserve"> </w:t>
      </w:r>
      <w:r w:rsidRPr="00660211">
        <w:rPr>
          <w:rFonts w:ascii="Times New Roman" w:hAnsi="Times New Roman"/>
          <w:szCs w:val="24"/>
        </w:rPr>
        <w:t>he relies on relatively short-term GDP growth rate forecasts that are dominated by recent historically low inflation.  Mr. Gorman’s GDP growth forecast contains inflation estimates that are almost a full percentage point below longer-term historical averages.  This approach is inconsistent with the long-term growth rate assumption required in the DCF model.</w:t>
      </w:r>
    </w:p>
    <w:p w:rsidR="0033273D" w:rsidRPr="00660211" w:rsidRDefault="0033273D" w:rsidP="00660211">
      <w:pPr>
        <w:ind w:firstLine="720"/>
        <w:jc w:val="left"/>
        <w:rPr>
          <w:rFonts w:ascii="Times New Roman" w:hAnsi="Times New Roman"/>
          <w:szCs w:val="24"/>
        </w:rPr>
      </w:pPr>
      <w:r w:rsidRPr="00660211">
        <w:rPr>
          <w:rFonts w:ascii="Times New Roman" w:hAnsi="Times New Roman"/>
          <w:szCs w:val="24"/>
        </w:rPr>
        <w:t>In his risk premium analysis, Mr. Gorman selects risk premiums that are not consistent with recent risk premium data because he fails to include the well</w:t>
      </w:r>
      <w:r w:rsidR="003E0F74">
        <w:rPr>
          <w:rFonts w:ascii="Times New Roman" w:hAnsi="Times New Roman"/>
          <w:szCs w:val="24"/>
        </w:rPr>
        <w:t>-</w:t>
      </w:r>
      <w:r w:rsidRPr="00660211">
        <w:rPr>
          <w:rFonts w:ascii="Times New Roman" w:hAnsi="Times New Roman"/>
          <w:szCs w:val="24"/>
        </w:rPr>
        <w:t>documented inverse relationship between risk premiums and interest rates, i.e., the tendency for risk premiums to widen when interest rates are low and narrow when interest rates are high.</w:t>
      </w:r>
      <w:r w:rsidR="000B15FD" w:rsidRPr="00660211">
        <w:rPr>
          <w:rFonts w:ascii="Times New Roman" w:hAnsi="Times New Roman"/>
          <w:szCs w:val="24"/>
        </w:rPr>
        <w:t xml:space="preserve"> </w:t>
      </w:r>
      <w:r w:rsidRPr="00660211">
        <w:rPr>
          <w:rFonts w:ascii="Times New Roman" w:hAnsi="Times New Roman"/>
          <w:szCs w:val="24"/>
        </w:rPr>
        <w:t xml:space="preserve"> This omission causes Mr. Gorman’s risk premium estimates to be significantly understated.</w:t>
      </w:r>
    </w:p>
    <w:p w:rsidR="0033273D" w:rsidRPr="00660211" w:rsidRDefault="0033273D" w:rsidP="00660211">
      <w:pPr>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Please elaborate on your specific disagreements with Mr. Gorman’s multi-stage DCF analyses.</w:t>
      </w:r>
    </w:p>
    <w:p w:rsidR="0033273D" w:rsidRPr="00660211" w:rsidRDefault="0033273D" w:rsidP="003E0F74">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Mr. Gorman uses analysts’ growth forecasts in the first five years of</w:t>
      </w:r>
      <w:r w:rsidR="00D56643" w:rsidRPr="00660211">
        <w:rPr>
          <w:rFonts w:ascii="Times New Roman" w:hAnsi="Times New Roman"/>
          <w:szCs w:val="24"/>
        </w:rPr>
        <w:t xml:space="preserve"> his multi-stage analysis and </w:t>
      </w:r>
      <w:r w:rsidRPr="00660211">
        <w:rPr>
          <w:rFonts w:ascii="Times New Roman" w:hAnsi="Times New Roman"/>
          <w:szCs w:val="24"/>
        </w:rPr>
        <w:t xml:space="preserve">then </w:t>
      </w:r>
      <w:r w:rsidR="00D56643" w:rsidRPr="00660211">
        <w:rPr>
          <w:rFonts w:ascii="Times New Roman" w:hAnsi="Times New Roman"/>
          <w:szCs w:val="24"/>
        </w:rPr>
        <w:t xml:space="preserve">a </w:t>
      </w:r>
      <w:r w:rsidRPr="00660211">
        <w:rPr>
          <w:rFonts w:ascii="Times New Roman" w:hAnsi="Times New Roman"/>
          <w:szCs w:val="24"/>
        </w:rPr>
        <w:t>GDP growth forecast for years 11 and later.  In the intermediate years, six through 10, he interpolates between the first and third stages.  Mr.</w:t>
      </w:r>
      <w:r w:rsidR="003E0F74">
        <w:rPr>
          <w:rFonts w:ascii="Times New Roman" w:hAnsi="Times New Roman"/>
          <w:szCs w:val="24"/>
        </w:rPr>
        <w:t> </w:t>
      </w:r>
      <w:r w:rsidRPr="00660211">
        <w:rPr>
          <w:rFonts w:ascii="Times New Roman" w:hAnsi="Times New Roman"/>
          <w:szCs w:val="24"/>
        </w:rPr>
        <w:t>Gorman’s estimate of future GDP growth is far too low.  His forecasts for five- and 10-year periods are from the Blue Chip Financial Forecasts.  The current Blue Chip consensus is low because it is dominated by recent, virtually zero growth in the economy, and it is based on assumed long-term inflation rates of only about 2.0 percent.</w:t>
      </w:r>
    </w:p>
    <w:p w:rsidR="0033273D" w:rsidRPr="00660211" w:rsidRDefault="0033273D" w:rsidP="00660211">
      <w:pPr>
        <w:ind w:firstLine="720"/>
        <w:jc w:val="left"/>
        <w:rPr>
          <w:rFonts w:ascii="Times New Roman" w:hAnsi="Times New Roman"/>
          <w:szCs w:val="24"/>
        </w:rPr>
      </w:pPr>
      <w:r w:rsidRPr="00660211">
        <w:rPr>
          <w:rFonts w:ascii="Times New Roman" w:hAnsi="Times New Roman"/>
          <w:szCs w:val="24"/>
        </w:rPr>
        <w:t>As shown in my upda</w:t>
      </w:r>
      <w:r w:rsidR="00F41F32" w:rsidRPr="00660211">
        <w:rPr>
          <w:rFonts w:ascii="Times New Roman" w:hAnsi="Times New Roman"/>
          <w:szCs w:val="24"/>
        </w:rPr>
        <w:t xml:space="preserve">ted GDP forecast </w:t>
      </w:r>
      <w:r w:rsidRPr="00660211">
        <w:rPr>
          <w:rFonts w:ascii="Times New Roman" w:hAnsi="Times New Roman"/>
          <w:szCs w:val="24"/>
        </w:rPr>
        <w:t>,</w:t>
      </w:r>
      <w:r w:rsidR="001D562B" w:rsidRPr="007E7957">
        <w:rPr>
          <w:rFonts w:ascii="Times New Roman" w:hAnsi="Times New Roman"/>
          <w:vertAlign w:val="superscript"/>
        </w:rPr>
        <w:footnoteReference w:id="20"/>
      </w:r>
      <w:r w:rsidRPr="00660211">
        <w:rPr>
          <w:rFonts w:ascii="Times New Roman" w:hAnsi="Times New Roman"/>
          <w:szCs w:val="24"/>
        </w:rPr>
        <w:t xml:space="preserve"> these inflation rates are lower than four out of six 10-year periods in the last 60 years.  The nominal 4.9 percent growth rate that Mr. Gorman uses is itself lower than nominal GDP growth in most of the 10-year periods (other than the most recent periods, which include GDP growth rates of -1.2 percent and 0.4 percent for 2008 and 2009, respectively).  Mr. Gorman’s use of recently depressed, short-term data for his long-term DCF growth rate creates an unrealistically low estimate of ROE. </w:t>
      </w:r>
    </w:p>
    <w:p w:rsidR="0033273D" w:rsidRPr="00660211" w:rsidRDefault="0033273D" w:rsidP="00660211">
      <w:pPr>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In his DCF analysis, Mr. Gorman uses your comparable group, except he removes Teco Energy because it is involved in an acquisition of New Mexico Gas Company, which Teco announced on May 28, 2013.  Do you agree that Teco Energy should be removed from your comparable group?</w:t>
      </w:r>
    </w:p>
    <w:p w:rsidR="0033273D" w:rsidRPr="00660211" w:rsidRDefault="0033273D"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No.  This acquisition does not have a material effect on the suitability of Teco Energy for inclusion in my comparable group.  In the acquisition announcement, Teco states that New Mexico Gas will be acquired for an aggregate value of $950 million, including the assumption of $200 million of debt.  For the year ended January 31, 2013, New Mexico Gas had net income of $23.2 million.  By comparison, Teco Energy had total assets of $7.4 billion and total long-term debt of $3.0 billion at year-end 2012.  For 2012, Teco Energy reported net income from continuing operations of $246 million.  In this context, Teco Energy’s financial situation is not materially affected by this acquisition.</w:t>
      </w:r>
    </w:p>
    <w:p w:rsidR="0033273D" w:rsidRPr="00660211" w:rsidRDefault="0033273D" w:rsidP="005B672B">
      <w:pPr>
        <w:keepNex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Why do you disagree with Mr. Gorman’s risk premium analysis?</w:t>
      </w:r>
    </w:p>
    <w:p w:rsidR="0033273D" w:rsidRPr="00660211" w:rsidRDefault="0033273D"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Mr. Gorman’s risk premium analysis fails to include the well-documented tendency for risk premiums to expand when interest rates are low.  When his analysis is modified to properly reflect wider risk premiums when interest rates are lower, Mr.</w:t>
      </w:r>
      <w:r w:rsidR="003E0F74">
        <w:rPr>
          <w:rFonts w:ascii="Times New Roman" w:hAnsi="Times New Roman"/>
          <w:szCs w:val="24"/>
        </w:rPr>
        <w:t> </w:t>
      </w:r>
      <w:r w:rsidRPr="00660211">
        <w:rPr>
          <w:rFonts w:ascii="Times New Roman" w:hAnsi="Times New Roman"/>
          <w:szCs w:val="24"/>
        </w:rPr>
        <w:t>Gorman’s risk premium analysis indicates a much higher ROE.</w:t>
      </w:r>
    </w:p>
    <w:p w:rsidR="0033273D" w:rsidRPr="00660211" w:rsidRDefault="0033273D" w:rsidP="00660211">
      <w:pPr>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Why are Mr. Gorman’s ROE results so low</w:t>
      </w:r>
      <w:r w:rsidR="00FB5223" w:rsidRPr="00660211">
        <w:rPr>
          <w:rFonts w:ascii="Times New Roman" w:hAnsi="Times New Roman"/>
          <w:b/>
          <w:szCs w:val="24"/>
        </w:rPr>
        <w:t xml:space="preserve"> in his risk premium analysis</w:t>
      </w:r>
      <w:r w:rsidRPr="00660211">
        <w:rPr>
          <w:rFonts w:ascii="Times New Roman" w:hAnsi="Times New Roman"/>
          <w:b/>
          <w:szCs w:val="24"/>
        </w:rPr>
        <w:t>?</w:t>
      </w:r>
    </w:p>
    <w:p w:rsidR="0033273D" w:rsidRDefault="0033273D"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Mr. Gorman’s risk premium data are presented in Exhibit</w:t>
      </w:r>
      <w:r w:rsidR="00FB5223" w:rsidRPr="00660211">
        <w:rPr>
          <w:rFonts w:ascii="Times New Roman" w:hAnsi="Times New Roman"/>
          <w:szCs w:val="24"/>
        </w:rPr>
        <w:t xml:space="preserve"> No.___(</w:t>
      </w:r>
      <w:r w:rsidRPr="00660211">
        <w:rPr>
          <w:rFonts w:ascii="Times New Roman" w:hAnsi="Times New Roman"/>
          <w:szCs w:val="24"/>
        </w:rPr>
        <w:t>MPG-14</w:t>
      </w:r>
      <w:r w:rsidR="004A1D61" w:rsidRPr="00660211">
        <w:rPr>
          <w:rFonts w:ascii="Times New Roman" w:hAnsi="Times New Roman"/>
          <w:szCs w:val="24"/>
        </w:rPr>
        <w:t>)</w:t>
      </w:r>
      <w:r w:rsidRPr="00660211">
        <w:rPr>
          <w:rFonts w:ascii="Times New Roman" w:hAnsi="Times New Roman"/>
          <w:szCs w:val="24"/>
        </w:rPr>
        <w:t xml:space="preserve"> and </w:t>
      </w:r>
      <w:r w:rsidR="004A1D61" w:rsidRPr="00660211">
        <w:rPr>
          <w:rFonts w:ascii="Times New Roman" w:hAnsi="Times New Roman"/>
          <w:szCs w:val="24"/>
        </w:rPr>
        <w:t>Exhibit No.___(</w:t>
      </w:r>
      <w:r w:rsidRPr="00660211">
        <w:rPr>
          <w:rFonts w:ascii="Times New Roman" w:hAnsi="Times New Roman"/>
          <w:szCs w:val="24"/>
        </w:rPr>
        <w:t>MPG-15</w:t>
      </w:r>
      <w:r w:rsidR="00FB5223" w:rsidRPr="00660211">
        <w:rPr>
          <w:rFonts w:ascii="Times New Roman" w:hAnsi="Times New Roman"/>
          <w:szCs w:val="24"/>
        </w:rPr>
        <w:t>)</w:t>
      </w:r>
      <w:r w:rsidRPr="00660211">
        <w:rPr>
          <w:rFonts w:ascii="Times New Roman" w:hAnsi="Times New Roman"/>
          <w:szCs w:val="24"/>
        </w:rPr>
        <w:t xml:space="preserve">. </w:t>
      </w:r>
      <w:r w:rsidR="000B15FD" w:rsidRPr="00660211">
        <w:rPr>
          <w:rFonts w:ascii="Times New Roman" w:hAnsi="Times New Roman"/>
          <w:szCs w:val="24"/>
        </w:rPr>
        <w:t xml:space="preserve"> </w:t>
      </w:r>
      <w:r w:rsidRPr="00660211">
        <w:rPr>
          <w:rFonts w:ascii="Times New Roman" w:hAnsi="Times New Roman"/>
          <w:szCs w:val="24"/>
        </w:rPr>
        <w:t>He discusses the analysis on pages 29-33 of his testimony.  The analysis consists of two parts.  In one approach</w:t>
      </w:r>
      <w:r w:rsidR="00FB5223" w:rsidRPr="00660211">
        <w:rPr>
          <w:rFonts w:ascii="Times New Roman" w:hAnsi="Times New Roman"/>
          <w:szCs w:val="24"/>
        </w:rPr>
        <w:t>,</w:t>
      </w:r>
      <w:r w:rsidRPr="00660211">
        <w:rPr>
          <w:rFonts w:ascii="Times New Roman" w:hAnsi="Times New Roman"/>
          <w:szCs w:val="24"/>
        </w:rPr>
        <w:t xml:space="preserve"> Mr. Gorman adds government bond equity risk premiums of 4.41 percent to 6.18 percent to a projected Treasury bond yield of 3.70 percent.  This produces an ROE re</w:t>
      </w:r>
      <w:r w:rsidR="000F5D4E">
        <w:rPr>
          <w:rFonts w:ascii="Times New Roman" w:hAnsi="Times New Roman"/>
          <w:szCs w:val="24"/>
        </w:rPr>
        <w:t>sult of 9.44 percent using a 25 </w:t>
      </w:r>
      <w:r w:rsidRPr="00660211">
        <w:rPr>
          <w:rFonts w:ascii="Times New Roman" w:hAnsi="Times New Roman"/>
          <w:szCs w:val="24"/>
        </w:rPr>
        <w:t>percent weight for the lower end of the range and a 75 percent weight for the upper end.  In Mr. Gorman’s second approach, he adds a utility bond risk premium of 3.03 percent to 4.88 percent to the recent “Baa” utility bond yield of 4.63 percent.  This produces an ROE result of 9.05 perc</w:t>
      </w:r>
      <w:r w:rsidR="00D56643" w:rsidRPr="00660211">
        <w:rPr>
          <w:rFonts w:ascii="Times New Roman" w:hAnsi="Times New Roman"/>
          <w:szCs w:val="24"/>
        </w:rPr>
        <w:t>ent using the same 25 percent/75 percent</w:t>
      </w:r>
      <w:r w:rsidRPr="00660211">
        <w:rPr>
          <w:rFonts w:ascii="Times New Roman" w:hAnsi="Times New Roman"/>
          <w:szCs w:val="24"/>
        </w:rPr>
        <w:t xml:space="preserve"> weighting scheme as discussed above.  From these two results, Mr. Gorman concludes that an ROE of 9.25 percent is appropriate (midpoint of 9.05 percent and 9.44 percent).</w:t>
      </w:r>
    </w:p>
    <w:p w:rsidR="00E963BC" w:rsidRDefault="00E963BC" w:rsidP="00E963BC">
      <w:pPr>
        <w:suppressLineNumbers/>
        <w:jc w:val="left"/>
        <w:rPr>
          <w:rFonts w:ascii="Times New Roman" w:hAnsi="Times New Roman"/>
          <w:szCs w:val="24"/>
        </w:rPr>
      </w:pPr>
    </w:p>
    <w:p w:rsidR="00E963BC" w:rsidRDefault="00E963BC" w:rsidP="00E963BC">
      <w:pPr>
        <w:suppressLineNumbers/>
        <w:jc w:val="left"/>
        <w:rPr>
          <w:rFonts w:ascii="Times New Roman" w:hAnsi="Times New Roman"/>
          <w:szCs w:val="24"/>
        </w:rPr>
      </w:pPr>
    </w:p>
    <w:p w:rsidR="00E963BC" w:rsidRPr="00660211" w:rsidRDefault="00E963BC" w:rsidP="00E963BC">
      <w:pPr>
        <w:suppressLineNumbers/>
        <w:jc w:val="left"/>
        <w:rPr>
          <w:rFonts w:ascii="Times New Roman" w:hAnsi="Times New Roman"/>
          <w:szCs w:val="24"/>
        </w:rPr>
      </w:pPr>
    </w:p>
    <w:p w:rsidR="0033273D" w:rsidRPr="00660211" w:rsidRDefault="0033273D" w:rsidP="00660211">
      <w:pPr>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In the risk premium analysis described in your direct testimony</w:t>
      </w:r>
      <w:r w:rsidR="003E0F74">
        <w:rPr>
          <w:rFonts w:ascii="Times New Roman" w:hAnsi="Times New Roman"/>
          <w:b/>
          <w:szCs w:val="24"/>
        </w:rPr>
        <w:t>,</w:t>
      </w:r>
      <w:r w:rsidR="001D562B" w:rsidRPr="00A414A6">
        <w:rPr>
          <w:rFonts w:ascii="Times New Roman" w:hAnsi="Times New Roman"/>
          <w:b/>
          <w:vertAlign w:val="superscript"/>
        </w:rPr>
        <w:footnoteReference w:id="21"/>
      </w:r>
      <w:r w:rsidRPr="00660211">
        <w:rPr>
          <w:rFonts w:ascii="Times New Roman" w:hAnsi="Times New Roman"/>
          <w:b/>
          <w:szCs w:val="24"/>
        </w:rPr>
        <w:t xml:space="preserve"> you used a standard regression analysis to account for the inverse relationship between risk premiums and interest rates.  What do Mr. Gorman’s risk premium data indicate when this approach is used?</w:t>
      </w:r>
    </w:p>
    <w:p w:rsidR="0033273D" w:rsidRPr="00660211" w:rsidRDefault="0033273D"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 xml:space="preserve">In Exhibit </w:t>
      </w:r>
      <w:r w:rsidR="008D5ADE" w:rsidRPr="00660211">
        <w:rPr>
          <w:rFonts w:ascii="Times New Roman" w:hAnsi="Times New Roman"/>
          <w:szCs w:val="24"/>
        </w:rPr>
        <w:t>No.___(</w:t>
      </w:r>
      <w:r w:rsidRPr="00660211">
        <w:rPr>
          <w:rFonts w:ascii="Times New Roman" w:hAnsi="Times New Roman"/>
          <w:szCs w:val="24"/>
        </w:rPr>
        <w:t>SCH-</w:t>
      </w:r>
      <w:r w:rsidR="00AA37E5" w:rsidRPr="00660211">
        <w:rPr>
          <w:rFonts w:ascii="Times New Roman" w:hAnsi="Times New Roman"/>
          <w:szCs w:val="24"/>
        </w:rPr>
        <w:t>13</w:t>
      </w:r>
      <w:r w:rsidR="008D5ADE" w:rsidRPr="00660211">
        <w:rPr>
          <w:rFonts w:ascii="Times New Roman" w:hAnsi="Times New Roman"/>
          <w:szCs w:val="24"/>
        </w:rPr>
        <w:t>)</w:t>
      </w:r>
      <w:r w:rsidR="004A1D61" w:rsidRPr="00660211">
        <w:rPr>
          <w:rFonts w:ascii="Times New Roman" w:hAnsi="Times New Roman"/>
          <w:szCs w:val="24"/>
        </w:rPr>
        <w:t>, pages 2 and 4</w:t>
      </w:r>
      <w:r w:rsidRPr="00660211">
        <w:rPr>
          <w:rFonts w:ascii="Times New Roman" w:hAnsi="Times New Roman"/>
          <w:szCs w:val="24"/>
        </w:rPr>
        <w:t xml:space="preserve">, I have applied the standard regression analysis to calculate “interest rate adjustment” factors for Mr. Gorman’s two risk premium studies.  This approach properly takes into account the inverse relationship between equity risk premiums and interest rates.  With this adjustment, Mr. Gorman’s Treasury bond risk premium analysis indicates an ROE of 10.07 percent, as shown in pages </w:t>
      </w:r>
      <w:r w:rsidR="00AA37E5" w:rsidRPr="00660211">
        <w:rPr>
          <w:rFonts w:ascii="Times New Roman" w:hAnsi="Times New Roman"/>
          <w:szCs w:val="24"/>
        </w:rPr>
        <w:t>1</w:t>
      </w:r>
      <w:r w:rsidR="003E0F74">
        <w:rPr>
          <w:rFonts w:ascii="Times New Roman" w:hAnsi="Times New Roman"/>
          <w:szCs w:val="24"/>
        </w:rPr>
        <w:t xml:space="preserve"> to </w:t>
      </w:r>
      <w:r w:rsidR="00AA37E5" w:rsidRPr="00660211">
        <w:rPr>
          <w:rFonts w:ascii="Times New Roman" w:hAnsi="Times New Roman"/>
          <w:szCs w:val="24"/>
        </w:rPr>
        <w:t>2</w:t>
      </w:r>
      <w:r w:rsidRPr="00660211">
        <w:rPr>
          <w:rFonts w:ascii="Times New Roman" w:hAnsi="Times New Roman"/>
          <w:szCs w:val="24"/>
        </w:rPr>
        <w:t xml:space="preserve"> of Exhibit </w:t>
      </w:r>
      <w:r w:rsidR="008D5ADE" w:rsidRPr="00660211">
        <w:rPr>
          <w:rFonts w:ascii="Times New Roman" w:hAnsi="Times New Roman"/>
          <w:szCs w:val="24"/>
        </w:rPr>
        <w:t>No.</w:t>
      </w:r>
      <w:r w:rsidR="004A1D61" w:rsidRPr="00660211">
        <w:rPr>
          <w:rFonts w:ascii="Times New Roman" w:hAnsi="Times New Roman"/>
          <w:szCs w:val="24"/>
        </w:rPr>
        <w:t>_</w:t>
      </w:r>
      <w:r w:rsidR="008D5ADE" w:rsidRPr="00660211">
        <w:rPr>
          <w:rFonts w:ascii="Times New Roman" w:hAnsi="Times New Roman"/>
          <w:szCs w:val="24"/>
        </w:rPr>
        <w:t>__(</w:t>
      </w:r>
      <w:r w:rsidRPr="00660211">
        <w:rPr>
          <w:rFonts w:ascii="Times New Roman" w:hAnsi="Times New Roman"/>
          <w:szCs w:val="24"/>
        </w:rPr>
        <w:t>SCH-</w:t>
      </w:r>
      <w:r w:rsidR="00F41F32" w:rsidRPr="00660211">
        <w:rPr>
          <w:rFonts w:ascii="Times New Roman" w:hAnsi="Times New Roman"/>
          <w:szCs w:val="24"/>
        </w:rPr>
        <w:t>13</w:t>
      </w:r>
      <w:r w:rsidR="008D5ADE" w:rsidRPr="00660211">
        <w:rPr>
          <w:rFonts w:ascii="Times New Roman" w:hAnsi="Times New Roman"/>
          <w:szCs w:val="24"/>
        </w:rPr>
        <w:t>)</w:t>
      </w:r>
      <w:r w:rsidRPr="00660211">
        <w:rPr>
          <w:rFonts w:ascii="Times New Roman" w:hAnsi="Times New Roman"/>
          <w:szCs w:val="24"/>
        </w:rPr>
        <w:t xml:space="preserve">.  For his utility bond risk premium analysis, the indicated ROE is 9.77 percent as shown on pages </w:t>
      </w:r>
      <w:r w:rsidR="00AA37E5" w:rsidRPr="00660211">
        <w:rPr>
          <w:rFonts w:ascii="Times New Roman" w:hAnsi="Times New Roman"/>
          <w:szCs w:val="24"/>
        </w:rPr>
        <w:t>3</w:t>
      </w:r>
      <w:r w:rsidRPr="00660211">
        <w:rPr>
          <w:rFonts w:ascii="Times New Roman" w:hAnsi="Times New Roman"/>
          <w:szCs w:val="24"/>
        </w:rPr>
        <w:t>-</w:t>
      </w:r>
      <w:r w:rsidR="00AA37E5" w:rsidRPr="00660211">
        <w:rPr>
          <w:rFonts w:ascii="Times New Roman" w:hAnsi="Times New Roman"/>
          <w:szCs w:val="24"/>
        </w:rPr>
        <w:t>4</w:t>
      </w:r>
      <w:r w:rsidRPr="00660211">
        <w:rPr>
          <w:rFonts w:ascii="Times New Roman" w:hAnsi="Times New Roman"/>
          <w:szCs w:val="24"/>
        </w:rPr>
        <w:t xml:space="preserve"> of Exhibit </w:t>
      </w:r>
      <w:r w:rsidR="008D5ADE" w:rsidRPr="00660211">
        <w:rPr>
          <w:rFonts w:ascii="Times New Roman" w:hAnsi="Times New Roman"/>
          <w:szCs w:val="24"/>
        </w:rPr>
        <w:t>No.___(</w:t>
      </w:r>
      <w:r w:rsidRPr="00660211">
        <w:rPr>
          <w:rFonts w:ascii="Times New Roman" w:hAnsi="Times New Roman"/>
          <w:szCs w:val="24"/>
        </w:rPr>
        <w:t>SCH-</w:t>
      </w:r>
      <w:r w:rsidR="00AA37E5" w:rsidRPr="00660211">
        <w:rPr>
          <w:rFonts w:ascii="Times New Roman" w:hAnsi="Times New Roman"/>
          <w:szCs w:val="24"/>
        </w:rPr>
        <w:t>13</w:t>
      </w:r>
      <w:r w:rsidR="008D5ADE" w:rsidRPr="00660211">
        <w:rPr>
          <w:rFonts w:ascii="Times New Roman" w:hAnsi="Times New Roman"/>
          <w:szCs w:val="24"/>
        </w:rPr>
        <w:t>)</w:t>
      </w:r>
      <w:r w:rsidRPr="00660211">
        <w:rPr>
          <w:rFonts w:ascii="Times New Roman" w:hAnsi="Times New Roman"/>
          <w:szCs w:val="24"/>
        </w:rPr>
        <w:t>.  These results confirm that Mr. Gorman’s risk premium data support an ROE in the range of 10.0 percent.</w:t>
      </w:r>
    </w:p>
    <w:p w:rsidR="0033273D" w:rsidRPr="00660211" w:rsidRDefault="0033273D" w:rsidP="00660211">
      <w:pPr>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In your direct testimony, you showed that the inverse relationship between equity risk premiums and interest rates can be seen without using a regression analysis approach.</w:t>
      </w:r>
      <w:r w:rsidR="001D562B" w:rsidRPr="000B2B5E">
        <w:rPr>
          <w:rFonts w:ascii="Times New Roman" w:hAnsi="Times New Roman"/>
          <w:b/>
          <w:vertAlign w:val="superscript"/>
        </w:rPr>
        <w:footnoteReference w:id="22"/>
      </w:r>
      <w:r w:rsidRPr="00663DBD">
        <w:rPr>
          <w:rFonts w:ascii="Times New Roman" w:hAnsi="Times New Roman"/>
          <w:b/>
          <w:szCs w:val="24"/>
        </w:rPr>
        <w:t xml:space="preserve"> </w:t>
      </w:r>
      <w:r w:rsidRPr="00660211">
        <w:rPr>
          <w:rFonts w:ascii="Times New Roman" w:hAnsi="Times New Roman"/>
          <w:b/>
          <w:szCs w:val="24"/>
        </w:rPr>
        <w:t xml:space="preserve"> Does that analysis apply to your rebuttal of Mr. Gorman’s risk premium analysis as well?</w:t>
      </w:r>
    </w:p>
    <w:p w:rsidR="0033273D" w:rsidRPr="00660211" w:rsidRDefault="0033273D"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 xml:space="preserve">Yes.  While statistical analysis is often used to substantiate certain economic and financial relationships, for the equity risk premium issue the relationship is so basic that simple observation of the data for various time periods makes the inverse relationship clear.  In Graph </w:t>
      </w:r>
      <w:r w:rsidR="00AA37E5" w:rsidRPr="00660211">
        <w:rPr>
          <w:rFonts w:ascii="Times New Roman" w:hAnsi="Times New Roman"/>
          <w:szCs w:val="24"/>
        </w:rPr>
        <w:t>1</w:t>
      </w:r>
      <w:r w:rsidRPr="00660211">
        <w:rPr>
          <w:rFonts w:ascii="Times New Roman" w:hAnsi="Times New Roman"/>
          <w:szCs w:val="24"/>
        </w:rPr>
        <w:t xml:space="preserve"> below, average utility bond yields and average equity risk premiums are presented for each non-overlapping five-year period between 1986 and 2010 and for 2011</w:t>
      </w:r>
      <w:r w:rsidR="003E0F74">
        <w:rPr>
          <w:rFonts w:ascii="Times New Roman" w:hAnsi="Times New Roman"/>
          <w:szCs w:val="24"/>
        </w:rPr>
        <w:t xml:space="preserve"> through </w:t>
      </w:r>
      <w:r w:rsidRPr="00660211">
        <w:rPr>
          <w:rFonts w:ascii="Times New Roman" w:hAnsi="Times New Roman"/>
          <w:szCs w:val="24"/>
        </w:rPr>
        <w:t xml:space="preserve">2012 from the portion of my equity risk premium data that Mr. Gorman used.  </w:t>
      </w:r>
    </w:p>
    <w:p w:rsidR="00BB0D51" w:rsidRPr="00660211" w:rsidRDefault="0033273D" w:rsidP="00660211">
      <w:pPr>
        <w:suppressLineNumbers/>
        <w:rPr>
          <w:rFonts w:ascii="Times New Roman" w:hAnsi="Times New Roman"/>
          <w:szCs w:val="24"/>
        </w:rPr>
      </w:pPr>
      <w:r w:rsidRPr="00660211">
        <w:rPr>
          <w:rFonts w:ascii="Times New Roman" w:hAnsi="Times New Roman"/>
          <w:szCs w:val="24"/>
        </w:rPr>
        <w:tab/>
      </w:r>
      <w:r w:rsidR="00837F61" w:rsidRPr="00660211">
        <w:rPr>
          <w:rFonts w:ascii="Times New Roman" w:hAnsi="Times New Roman"/>
          <w:noProof/>
          <w:szCs w:val="24"/>
        </w:rPr>
        <w:drawing>
          <wp:inline distT="0" distB="0" distL="0" distR="0">
            <wp:extent cx="4343400" cy="27965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343400" cy="2796540"/>
                    </a:xfrm>
                    <a:prstGeom prst="rect">
                      <a:avLst/>
                    </a:prstGeom>
                    <a:noFill/>
                    <a:ln w="9525">
                      <a:noFill/>
                      <a:miter lim="800000"/>
                      <a:headEnd/>
                      <a:tailEnd/>
                    </a:ln>
                  </pic:spPr>
                </pic:pic>
              </a:graphicData>
            </a:graphic>
          </wp:inline>
        </w:drawing>
      </w:r>
    </w:p>
    <w:p w:rsidR="0033273D" w:rsidRPr="00660211" w:rsidRDefault="0033273D" w:rsidP="00660211">
      <w:pPr>
        <w:ind w:firstLine="0"/>
        <w:jc w:val="left"/>
        <w:rPr>
          <w:rFonts w:ascii="Times New Roman" w:hAnsi="Times New Roman"/>
          <w:szCs w:val="24"/>
        </w:rPr>
      </w:pPr>
      <w:r w:rsidRPr="00660211">
        <w:rPr>
          <w:rFonts w:ascii="Times New Roman" w:hAnsi="Times New Roman"/>
          <w:szCs w:val="24"/>
        </w:rPr>
        <w:t>These data show that equity risk premiums have consistently increased as interest rates have declined.  This result is a simple reflection of the fact that required rates of return in the stock market are not entirely dependent on changes in interest rates</w:t>
      </w:r>
      <w:r w:rsidR="009C5C2C" w:rsidRPr="00660211">
        <w:rPr>
          <w:rFonts w:ascii="Times New Roman" w:hAnsi="Times New Roman"/>
          <w:szCs w:val="24"/>
        </w:rPr>
        <w:t>—something that the Commission expressly acknowledged in Order</w:t>
      </w:r>
      <w:r w:rsidR="004A1D61" w:rsidRPr="00660211">
        <w:rPr>
          <w:rFonts w:ascii="Times New Roman" w:hAnsi="Times New Roman"/>
          <w:szCs w:val="24"/>
        </w:rPr>
        <w:t> </w:t>
      </w:r>
      <w:r w:rsidR="009C5C2C" w:rsidRPr="00660211">
        <w:rPr>
          <w:rFonts w:ascii="Times New Roman" w:hAnsi="Times New Roman"/>
          <w:szCs w:val="24"/>
        </w:rPr>
        <w:t xml:space="preserve">07 in </w:t>
      </w:r>
      <w:r w:rsidR="005A2371" w:rsidRPr="00660211">
        <w:rPr>
          <w:rFonts w:ascii="Times New Roman" w:hAnsi="Times New Roman"/>
          <w:szCs w:val="24"/>
        </w:rPr>
        <w:t>PacifiCorp’s 2010 Washington Rate Case (D</w:t>
      </w:r>
      <w:r w:rsidR="009C5C2C" w:rsidRPr="00660211">
        <w:rPr>
          <w:rFonts w:ascii="Times New Roman" w:hAnsi="Times New Roman"/>
          <w:szCs w:val="24"/>
        </w:rPr>
        <w:t>ocket UE-100749</w:t>
      </w:r>
      <w:r w:rsidR="005A2371" w:rsidRPr="00660211">
        <w:rPr>
          <w:rFonts w:ascii="Times New Roman" w:hAnsi="Times New Roman"/>
          <w:szCs w:val="24"/>
        </w:rPr>
        <w:t>)</w:t>
      </w:r>
      <w:r w:rsidRPr="00660211">
        <w:rPr>
          <w:rFonts w:ascii="Times New Roman" w:hAnsi="Times New Roman"/>
          <w:szCs w:val="24"/>
        </w:rPr>
        <w:t>.</w:t>
      </w:r>
      <w:r w:rsidR="009C5C2C" w:rsidRPr="005B672B">
        <w:rPr>
          <w:rFonts w:ascii="Times New Roman" w:hAnsi="Times New Roman"/>
          <w:vertAlign w:val="superscript"/>
        </w:rPr>
        <w:footnoteReference w:id="23"/>
      </w:r>
      <w:r w:rsidRPr="00660211">
        <w:rPr>
          <w:rFonts w:ascii="Times New Roman" w:hAnsi="Times New Roman"/>
          <w:szCs w:val="24"/>
        </w:rPr>
        <w:t xml:space="preserve">  Because utilities must compete with other types of equity investments for capital, the ROE for utilities does not change by as much as the observed changes in interest rates.  For Mr. Gorman to use the unadjusted simple average of long-term equity risk premiums with </w:t>
      </w:r>
      <w:r w:rsidR="001E1FF5" w:rsidRPr="00660211">
        <w:rPr>
          <w:rFonts w:ascii="Times New Roman" w:hAnsi="Times New Roman"/>
          <w:szCs w:val="24"/>
        </w:rPr>
        <w:t>current interest</w:t>
      </w:r>
      <w:r w:rsidRPr="00660211">
        <w:rPr>
          <w:rFonts w:ascii="Times New Roman" w:hAnsi="Times New Roman"/>
          <w:szCs w:val="24"/>
        </w:rPr>
        <w:t xml:space="preserve"> rates is simply wrong.  Such an approach will consistently understate the required ROE.</w:t>
      </w:r>
    </w:p>
    <w:p w:rsidR="0033273D" w:rsidRPr="00660211" w:rsidRDefault="0033273D" w:rsidP="00660211">
      <w:pPr>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Mr. Gorman criticizes your GDP growth forecast because it is higher than his Blue Chip forecast, which contains much lower projected inflation rates.</w:t>
      </w:r>
      <w:r w:rsidR="001D562B" w:rsidRPr="00F63751">
        <w:rPr>
          <w:rFonts w:ascii="Times New Roman" w:hAnsi="Times New Roman"/>
          <w:b/>
          <w:vertAlign w:val="superscript"/>
        </w:rPr>
        <w:footnoteReference w:id="24"/>
      </w:r>
      <w:r w:rsidRPr="00660211">
        <w:rPr>
          <w:rFonts w:ascii="Times New Roman" w:hAnsi="Times New Roman"/>
          <w:b/>
          <w:szCs w:val="24"/>
        </w:rPr>
        <w:t xml:space="preserve">  How do you respond to Mr. Gorman’s criticisms?</w:t>
      </w:r>
    </w:p>
    <w:p w:rsidR="0033273D" w:rsidRPr="00660211" w:rsidRDefault="0033273D"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 xml:space="preserve">As </w:t>
      </w:r>
      <w:r w:rsidR="00450251" w:rsidRPr="00660211">
        <w:rPr>
          <w:rFonts w:ascii="Times New Roman" w:hAnsi="Times New Roman"/>
          <w:szCs w:val="24"/>
        </w:rPr>
        <w:t>acknowledged</w:t>
      </w:r>
      <w:r w:rsidRPr="00660211">
        <w:rPr>
          <w:rFonts w:ascii="Times New Roman" w:hAnsi="Times New Roman"/>
          <w:szCs w:val="24"/>
        </w:rPr>
        <w:t xml:space="preserve"> by Mr. Gorman</w:t>
      </w:r>
      <w:r w:rsidR="00450251" w:rsidRPr="00660211">
        <w:rPr>
          <w:rFonts w:ascii="Times New Roman" w:hAnsi="Times New Roman"/>
          <w:szCs w:val="24"/>
        </w:rPr>
        <w:t>,</w:t>
      </w:r>
      <w:r w:rsidR="00450251" w:rsidRPr="003E0F74">
        <w:rPr>
          <w:rFonts w:ascii="Times New Roman" w:hAnsi="Times New Roman"/>
          <w:vertAlign w:val="superscript"/>
        </w:rPr>
        <w:footnoteReference w:id="25"/>
      </w:r>
      <w:r w:rsidRPr="00660211">
        <w:rPr>
          <w:rFonts w:ascii="Times New Roman" w:hAnsi="Times New Roman"/>
          <w:szCs w:val="24"/>
        </w:rPr>
        <w:t xml:space="preserve"> his Blue Chip forecasts are for only the next five- and 10-year periods and those forecasts indicate inflation rates of only 2.1</w:t>
      </w:r>
      <w:r w:rsidR="003E0F74">
        <w:rPr>
          <w:rFonts w:ascii="Times New Roman" w:hAnsi="Times New Roman"/>
          <w:szCs w:val="24"/>
        </w:rPr>
        <w:t> </w:t>
      </w:r>
      <w:r w:rsidRPr="00660211">
        <w:rPr>
          <w:rFonts w:ascii="Times New Roman" w:hAnsi="Times New Roman"/>
          <w:szCs w:val="24"/>
        </w:rPr>
        <w:t xml:space="preserve">percent and 2.2 percent, respectively.  My GDP growth rate estimate is based on a much longer time period, which is consistent with the DCF model’s requirements, and with what investors can reasonably expect once economic conditions become more stable.  While my forecast includes the near-term, low inflation rates that dominate Mr. Gorman’s five- and 10-year periods, I also include longer-term data that cover other economic conditions, which can reasonably be expected to occur over the very long-run DCF model horizon.  Although I use data dating back to 1952 from the St. </w:t>
      </w:r>
      <w:r w:rsidR="00D56643" w:rsidRPr="00660211">
        <w:rPr>
          <w:rFonts w:ascii="Times New Roman" w:hAnsi="Times New Roman"/>
          <w:szCs w:val="24"/>
        </w:rPr>
        <w:t>Louis Federal Reserve Bank data</w:t>
      </w:r>
      <w:r w:rsidRPr="00660211">
        <w:rPr>
          <w:rFonts w:ascii="Times New Roman" w:hAnsi="Times New Roman"/>
          <w:szCs w:val="24"/>
        </w:rPr>
        <w:t>base, my forecast is not a simple average or extrapolation of the historical data.  Like most econometric forecasts, my approach uses the long-run historical relationships to project what investors may reasonably expect for the long-run future.</w:t>
      </w:r>
    </w:p>
    <w:p w:rsidR="0033273D" w:rsidRPr="00660211" w:rsidRDefault="0033273D" w:rsidP="00660211">
      <w:pPr>
        <w:ind w:firstLine="720"/>
        <w:jc w:val="left"/>
        <w:rPr>
          <w:rFonts w:ascii="Times New Roman" w:hAnsi="Times New Roman"/>
          <w:szCs w:val="24"/>
        </w:rPr>
      </w:pPr>
      <w:r w:rsidRPr="00660211">
        <w:rPr>
          <w:rFonts w:ascii="Times New Roman" w:hAnsi="Times New Roman"/>
          <w:szCs w:val="24"/>
        </w:rPr>
        <w:t>However, to account for recent data having a greater influence on current expectations, I applied a weighted averaging process that gives about five times as much weight to the most recent 10 years as compared to the earliest 10 years.  Giving more weight to the more recent, low inflation years also lowers the overall forecast.  For example, my updated forecast is for a future growth rate of 5.6 percent, while the overall long-run average of the data is a growth rate of 6.5 percent.  In this context, Mr. Gorman’s criticism of my longer-term GDP growth forecast is unwarranted.</w:t>
      </w:r>
    </w:p>
    <w:p w:rsidR="00450251" w:rsidRPr="00660211" w:rsidRDefault="00450251" w:rsidP="00660211">
      <w:pPr>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 xml:space="preserve">The Commission rejected your long-term GDP growth rate in </w:t>
      </w:r>
      <w:r w:rsidR="003E0F74">
        <w:rPr>
          <w:rFonts w:ascii="Times New Roman" w:hAnsi="Times New Roman"/>
          <w:b/>
          <w:szCs w:val="24"/>
        </w:rPr>
        <w:t>PacifiCorp’s 2010 rate case because</w:t>
      </w:r>
      <w:r w:rsidRPr="00660211">
        <w:rPr>
          <w:rFonts w:ascii="Times New Roman" w:hAnsi="Times New Roman"/>
          <w:b/>
          <w:szCs w:val="24"/>
        </w:rPr>
        <w:t xml:space="preserve"> the then-current economic conditions made long-term growth rates unreliable. </w:t>
      </w:r>
      <w:r w:rsidR="000B15FD" w:rsidRPr="00660211">
        <w:rPr>
          <w:rFonts w:ascii="Times New Roman" w:hAnsi="Times New Roman"/>
          <w:b/>
          <w:szCs w:val="24"/>
        </w:rPr>
        <w:t xml:space="preserve"> </w:t>
      </w:r>
      <w:r w:rsidRPr="00660211">
        <w:rPr>
          <w:rFonts w:ascii="Times New Roman" w:hAnsi="Times New Roman"/>
          <w:b/>
          <w:szCs w:val="24"/>
        </w:rPr>
        <w:t xml:space="preserve">Please comment. </w:t>
      </w:r>
    </w:p>
    <w:p w:rsidR="00450251" w:rsidRPr="00660211" w:rsidRDefault="00450251"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 xml:space="preserve">As noted in the first section of my testimony, the economy has improved, more normal </w:t>
      </w:r>
      <w:r w:rsidR="00B707F9" w:rsidRPr="00660211">
        <w:rPr>
          <w:rFonts w:ascii="Times New Roman" w:hAnsi="Times New Roman"/>
          <w:szCs w:val="24"/>
        </w:rPr>
        <w:t xml:space="preserve">economic </w:t>
      </w:r>
      <w:r w:rsidRPr="00660211">
        <w:rPr>
          <w:rFonts w:ascii="Times New Roman" w:hAnsi="Times New Roman"/>
          <w:szCs w:val="24"/>
        </w:rPr>
        <w:t>conditions prevail</w:t>
      </w:r>
      <w:r w:rsidR="003E0F74">
        <w:rPr>
          <w:rFonts w:ascii="Times New Roman" w:hAnsi="Times New Roman"/>
          <w:szCs w:val="24"/>
        </w:rPr>
        <w:t>,</w:t>
      </w:r>
      <w:r w:rsidRPr="00660211">
        <w:rPr>
          <w:rFonts w:ascii="Times New Roman" w:hAnsi="Times New Roman"/>
          <w:szCs w:val="24"/>
        </w:rPr>
        <w:t xml:space="preserve"> and the Fed has signaled the potential end to monetary policies designed to </w:t>
      </w:r>
      <w:r w:rsidR="001E1FF5" w:rsidRPr="00660211">
        <w:rPr>
          <w:rFonts w:ascii="Times New Roman" w:hAnsi="Times New Roman"/>
          <w:szCs w:val="24"/>
        </w:rPr>
        <w:t>artificially</w:t>
      </w:r>
      <w:r w:rsidR="00B707F9" w:rsidRPr="00660211">
        <w:rPr>
          <w:rFonts w:ascii="Times New Roman" w:hAnsi="Times New Roman"/>
          <w:szCs w:val="24"/>
        </w:rPr>
        <w:t xml:space="preserve"> </w:t>
      </w:r>
      <w:r w:rsidRPr="00660211">
        <w:rPr>
          <w:rFonts w:ascii="Times New Roman" w:hAnsi="Times New Roman"/>
          <w:szCs w:val="24"/>
        </w:rPr>
        <w:t xml:space="preserve">hold interest rates low.  Given these changes, </w:t>
      </w:r>
      <w:r w:rsidR="00B707F9" w:rsidRPr="00660211">
        <w:rPr>
          <w:rFonts w:ascii="Times New Roman" w:hAnsi="Times New Roman"/>
          <w:szCs w:val="24"/>
        </w:rPr>
        <w:t xml:space="preserve">a </w:t>
      </w:r>
      <w:r w:rsidR="001E1FF5" w:rsidRPr="00660211">
        <w:rPr>
          <w:rFonts w:ascii="Times New Roman" w:hAnsi="Times New Roman"/>
          <w:szCs w:val="24"/>
        </w:rPr>
        <w:t>return to</w:t>
      </w:r>
      <w:r w:rsidR="00B707F9" w:rsidRPr="00660211">
        <w:rPr>
          <w:rFonts w:ascii="Times New Roman" w:hAnsi="Times New Roman"/>
          <w:szCs w:val="24"/>
        </w:rPr>
        <w:t xml:space="preserve"> more </w:t>
      </w:r>
      <w:r w:rsidRPr="00660211">
        <w:rPr>
          <w:rFonts w:ascii="Times New Roman" w:hAnsi="Times New Roman"/>
          <w:szCs w:val="24"/>
        </w:rPr>
        <w:t xml:space="preserve">traditional, long-term growth rates in the DCF model </w:t>
      </w:r>
      <w:r w:rsidR="00B707F9" w:rsidRPr="00660211">
        <w:rPr>
          <w:rFonts w:ascii="Times New Roman" w:hAnsi="Times New Roman"/>
          <w:szCs w:val="24"/>
        </w:rPr>
        <w:t xml:space="preserve">is warranted. </w:t>
      </w:r>
    </w:p>
    <w:p w:rsidR="0033273D" w:rsidRPr="00660211" w:rsidRDefault="0033273D" w:rsidP="00660211">
      <w:pPr>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Mr. Gorman criticizes your risk premium analysis because you used projected rates in part of that analysis.  How do you respond?</w:t>
      </w:r>
    </w:p>
    <w:p w:rsidR="0033273D" w:rsidRPr="00660211" w:rsidRDefault="0033273D"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 xml:space="preserve">Mr. Gorman’s criticisms are misplaced.  His risk premium analysis is very similar to mine in the sense that we both rely on current </w:t>
      </w:r>
      <w:r w:rsidRPr="00660211">
        <w:rPr>
          <w:rFonts w:ascii="Times New Roman" w:hAnsi="Times New Roman"/>
          <w:szCs w:val="24"/>
          <w:u w:val="single"/>
        </w:rPr>
        <w:t>and</w:t>
      </w:r>
      <w:r w:rsidRPr="00660211">
        <w:rPr>
          <w:rFonts w:ascii="Times New Roman" w:hAnsi="Times New Roman"/>
          <w:szCs w:val="24"/>
        </w:rPr>
        <w:t xml:space="preserve"> projected interest rates.  We both recognize that interest rates are forecast to increase in the coming years and that this near unanimous viewpoint should be reflected in the ROE analysis in this case.</w:t>
      </w:r>
    </w:p>
    <w:p w:rsidR="00BB0D51" w:rsidRPr="00550A6B" w:rsidRDefault="00637AD6" w:rsidP="00550A6B">
      <w:pPr>
        <w:pStyle w:val="Heading1"/>
      </w:pPr>
      <w:bookmarkStart w:id="6" w:name="_Toc362869159"/>
      <w:r w:rsidRPr="00550A6B">
        <w:t xml:space="preserve">Update of </w:t>
      </w:r>
      <w:r w:rsidR="00B707F9" w:rsidRPr="00550A6B">
        <w:t>C</w:t>
      </w:r>
      <w:r w:rsidRPr="00550A6B">
        <w:t>OE Estimates</w:t>
      </w:r>
      <w:bookmarkEnd w:id="6"/>
    </w:p>
    <w:p w:rsidR="00637AD6" w:rsidRPr="00660211" w:rsidRDefault="00637AD6" w:rsidP="00660211">
      <w:pPr>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 xml:space="preserve">Have you updated your </w:t>
      </w:r>
      <w:r w:rsidR="00B707F9" w:rsidRPr="00660211">
        <w:rPr>
          <w:rFonts w:ascii="Times New Roman" w:hAnsi="Times New Roman"/>
          <w:b/>
          <w:szCs w:val="24"/>
        </w:rPr>
        <w:t>C</w:t>
      </w:r>
      <w:r w:rsidRPr="00660211">
        <w:rPr>
          <w:rFonts w:ascii="Times New Roman" w:hAnsi="Times New Roman"/>
          <w:b/>
          <w:szCs w:val="24"/>
        </w:rPr>
        <w:t>OE analysis to take into account recent data and the current conditions in the capital markets?</w:t>
      </w:r>
    </w:p>
    <w:p w:rsidR="00637AD6" w:rsidRPr="00660211" w:rsidRDefault="00637AD6"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 xml:space="preserve">Yes.  Consistent with my customary practice, I have updated my </w:t>
      </w:r>
      <w:r w:rsidR="003E0F74">
        <w:rPr>
          <w:rFonts w:ascii="Times New Roman" w:hAnsi="Times New Roman"/>
          <w:szCs w:val="24"/>
        </w:rPr>
        <w:t>C</w:t>
      </w:r>
      <w:r w:rsidR="003E0F74" w:rsidRPr="00660211">
        <w:rPr>
          <w:rFonts w:ascii="Times New Roman" w:hAnsi="Times New Roman"/>
          <w:szCs w:val="24"/>
        </w:rPr>
        <w:t xml:space="preserve">OE </w:t>
      </w:r>
      <w:r w:rsidRPr="00660211">
        <w:rPr>
          <w:rFonts w:ascii="Times New Roman" w:hAnsi="Times New Roman"/>
          <w:szCs w:val="24"/>
        </w:rPr>
        <w:t xml:space="preserve">analysis for current conditions using the methodologies that I employed in my </w:t>
      </w:r>
      <w:r w:rsidR="004846F5" w:rsidRPr="00660211">
        <w:rPr>
          <w:rFonts w:ascii="Times New Roman" w:hAnsi="Times New Roman"/>
          <w:szCs w:val="24"/>
        </w:rPr>
        <w:t>direct testimony</w:t>
      </w:r>
      <w:r w:rsidR="0030171B" w:rsidRPr="00660211">
        <w:rPr>
          <w:rFonts w:ascii="Times New Roman" w:hAnsi="Times New Roman"/>
          <w:szCs w:val="24"/>
        </w:rPr>
        <w:t>.</w:t>
      </w:r>
    </w:p>
    <w:p w:rsidR="00637AD6" w:rsidRPr="00660211" w:rsidRDefault="00637AD6" w:rsidP="005B672B">
      <w:pPr>
        <w:keepNext/>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What are the results of your updated DCF analyses?</w:t>
      </w:r>
    </w:p>
    <w:p w:rsidR="00637AD6" w:rsidRPr="00660211" w:rsidRDefault="00637AD6"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 xml:space="preserve">My updated DCF results are shown in </w:t>
      </w:r>
      <w:r w:rsidR="00C94F38" w:rsidRPr="00660211">
        <w:rPr>
          <w:rFonts w:ascii="Times New Roman" w:hAnsi="Times New Roman"/>
          <w:szCs w:val="24"/>
        </w:rPr>
        <w:t xml:space="preserve">Exhibit </w:t>
      </w:r>
      <w:r w:rsidR="00B707F9" w:rsidRPr="00660211">
        <w:rPr>
          <w:rFonts w:ascii="Times New Roman" w:hAnsi="Times New Roman"/>
          <w:szCs w:val="24"/>
        </w:rPr>
        <w:t>No.___(</w:t>
      </w:r>
      <w:r w:rsidR="00C94F38" w:rsidRPr="00660211">
        <w:rPr>
          <w:rFonts w:ascii="Times New Roman" w:hAnsi="Times New Roman"/>
          <w:szCs w:val="24"/>
        </w:rPr>
        <w:t>SCH-</w:t>
      </w:r>
      <w:r w:rsidR="004010D4" w:rsidRPr="00660211">
        <w:rPr>
          <w:rFonts w:ascii="Times New Roman" w:hAnsi="Times New Roman"/>
          <w:szCs w:val="24"/>
        </w:rPr>
        <w:t>1</w:t>
      </w:r>
      <w:r w:rsidR="0030171B" w:rsidRPr="00660211">
        <w:rPr>
          <w:rFonts w:ascii="Times New Roman" w:hAnsi="Times New Roman"/>
          <w:szCs w:val="24"/>
        </w:rPr>
        <w:t>5</w:t>
      </w:r>
      <w:r w:rsidR="00B707F9" w:rsidRPr="00660211">
        <w:rPr>
          <w:rFonts w:ascii="Times New Roman" w:hAnsi="Times New Roman"/>
          <w:szCs w:val="24"/>
        </w:rPr>
        <w:t>)</w:t>
      </w:r>
      <w:r w:rsidRPr="00660211">
        <w:rPr>
          <w:rFonts w:ascii="Times New Roman" w:hAnsi="Times New Roman"/>
          <w:szCs w:val="24"/>
        </w:rPr>
        <w:t xml:space="preserve">.  The indicated DCF range is </w:t>
      </w:r>
      <w:r w:rsidR="0030171B" w:rsidRPr="00660211">
        <w:rPr>
          <w:rFonts w:ascii="Times New Roman" w:hAnsi="Times New Roman"/>
          <w:szCs w:val="24"/>
        </w:rPr>
        <w:t>9.0</w:t>
      </w:r>
      <w:r w:rsidRPr="00660211">
        <w:rPr>
          <w:rFonts w:ascii="Times New Roman" w:hAnsi="Times New Roman"/>
          <w:szCs w:val="24"/>
        </w:rPr>
        <w:t xml:space="preserve"> percent to </w:t>
      </w:r>
      <w:r w:rsidR="0030171B" w:rsidRPr="00660211">
        <w:rPr>
          <w:rFonts w:ascii="Times New Roman" w:hAnsi="Times New Roman"/>
          <w:szCs w:val="24"/>
        </w:rPr>
        <w:t>9.6</w:t>
      </w:r>
      <w:r w:rsidRPr="00660211">
        <w:rPr>
          <w:rFonts w:ascii="Times New Roman" w:hAnsi="Times New Roman"/>
          <w:szCs w:val="24"/>
        </w:rPr>
        <w:t xml:space="preserve"> percent</w:t>
      </w:r>
      <w:r w:rsidR="0030171B" w:rsidRPr="00660211">
        <w:rPr>
          <w:rFonts w:ascii="Times New Roman" w:hAnsi="Times New Roman"/>
          <w:szCs w:val="24"/>
        </w:rPr>
        <w:t xml:space="preserve">.  As I note previously, these DCF results understate PacifiCorp’s </w:t>
      </w:r>
      <w:r w:rsidR="003E0F74">
        <w:rPr>
          <w:rFonts w:ascii="Times New Roman" w:hAnsi="Times New Roman"/>
          <w:szCs w:val="24"/>
        </w:rPr>
        <w:t>COE</w:t>
      </w:r>
      <w:r w:rsidR="0030171B" w:rsidRPr="00660211">
        <w:rPr>
          <w:rFonts w:ascii="Times New Roman" w:hAnsi="Times New Roman"/>
          <w:szCs w:val="24"/>
        </w:rPr>
        <w:t xml:space="preserve"> because the dividend yields in these models have been artificially depressed by the government’s stimulative monetary policies.</w:t>
      </w:r>
      <w:r w:rsidR="00B707F9" w:rsidRPr="00660211">
        <w:rPr>
          <w:rFonts w:ascii="Times New Roman" w:hAnsi="Times New Roman"/>
          <w:szCs w:val="24"/>
        </w:rPr>
        <w:t xml:space="preserve">  While the market’s reaction to a potential change in these policies is evident in my updated risk premium analysis as explained below, these changes are not yet reflected in my DCF results.   </w:t>
      </w:r>
    </w:p>
    <w:p w:rsidR="00637AD6" w:rsidRPr="00660211" w:rsidRDefault="00637AD6" w:rsidP="00660211">
      <w:pPr>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 xml:space="preserve">What are the results of your updated bond yield plus </w:t>
      </w:r>
      <w:r w:rsidR="004846F5" w:rsidRPr="00660211">
        <w:rPr>
          <w:rFonts w:ascii="Times New Roman" w:hAnsi="Times New Roman"/>
          <w:b/>
          <w:szCs w:val="24"/>
        </w:rPr>
        <w:t xml:space="preserve">equity </w:t>
      </w:r>
      <w:r w:rsidRPr="00660211">
        <w:rPr>
          <w:rFonts w:ascii="Times New Roman" w:hAnsi="Times New Roman"/>
          <w:b/>
          <w:szCs w:val="24"/>
        </w:rPr>
        <w:t>risk premium analysis?</w:t>
      </w:r>
    </w:p>
    <w:p w:rsidR="00637AD6" w:rsidRPr="00660211" w:rsidRDefault="00637AD6"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 xml:space="preserve">My equity risk premium studies are shown in Exhibit </w:t>
      </w:r>
      <w:r w:rsidR="00B707F9" w:rsidRPr="00660211">
        <w:rPr>
          <w:rFonts w:ascii="Times New Roman" w:hAnsi="Times New Roman"/>
          <w:szCs w:val="24"/>
        </w:rPr>
        <w:t>No.___(</w:t>
      </w:r>
      <w:smartTag w:uri="urn:schemas-microsoft-com:office:smarttags" w:element="stockticker">
        <w:r w:rsidRPr="00660211">
          <w:rPr>
            <w:rFonts w:ascii="Times New Roman" w:hAnsi="Times New Roman"/>
            <w:szCs w:val="24"/>
          </w:rPr>
          <w:t>SCH</w:t>
        </w:r>
      </w:smartTag>
      <w:r w:rsidRPr="00660211">
        <w:rPr>
          <w:rFonts w:ascii="Times New Roman" w:hAnsi="Times New Roman"/>
          <w:szCs w:val="24"/>
        </w:rPr>
        <w:t>-</w:t>
      </w:r>
      <w:r w:rsidR="004010D4" w:rsidRPr="00660211">
        <w:rPr>
          <w:rFonts w:ascii="Times New Roman" w:hAnsi="Times New Roman"/>
          <w:szCs w:val="24"/>
        </w:rPr>
        <w:t>1</w:t>
      </w:r>
      <w:r w:rsidR="0030171B" w:rsidRPr="00660211">
        <w:rPr>
          <w:rFonts w:ascii="Times New Roman" w:hAnsi="Times New Roman"/>
          <w:szCs w:val="24"/>
        </w:rPr>
        <w:t>6</w:t>
      </w:r>
      <w:r w:rsidR="00B707F9" w:rsidRPr="00660211">
        <w:rPr>
          <w:rFonts w:ascii="Times New Roman" w:hAnsi="Times New Roman"/>
          <w:szCs w:val="24"/>
        </w:rPr>
        <w:t>)</w:t>
      </w:r>
      <w:r w:rsidRPr="00660211">
        <w:rPr>
          <w:rFonts w:ascii="Times New Roman" w:hAnsi="Times New Roman"/>
          <w:szCs w:val="24"/>
        </w:rPr>
        <w:t>.  These studies indicate an ROE range of 9.</w:t>
      </w:r>
      <w:r w:rsidR="0030171B" w:rsidRPr="00660211">
        <w:rPr>
          <w:rFonts w:ascii="Times New Roman" w:hAnsi="Times New Roman"/>
          <w:szCs w:val="24"/>
        </w:rPr>
        <w:t>6</w:t>
      </w:r>
      <w:r w:rsidRPr="00660211">
        <w:rPr>
          <w:rFonts w:ascii="Times New Roman" w:hAnsi="Times New Roman"/>
          <w:szCs w:val="24"/>
        </w:rPr>
        <w:t xml:space="preserve"> percent to </w:t>
      </w:r>
      <w:r w:rsidR="0030171B" w:rsidRPr="00660211">
        <w:rPr>
          <w:rFonts w:ascii="Times New Roman" w:hAnsi="Times New Roman"/>
          <w:szCs w:val="24"/>
        </w:rPr>
        <w:t>10.0</w:t>
      </w:r>
      <w:r w:rsidRPr="00660211">
        <w:rPr>
          <w:rFonts w:ascii="Times New Roman" w:hAnsi="Times New Roman"/>
          <w:szCs w:val="24"/>
        </w:rPr>
        <w:t xml:space="preserve"> percent.  </w:t>
      </w:r>
      <w:r w:rsidR="0030171B" w:rsidRPr="00660211">
        <w:rPr>
          <w:rFonts w:ascii="Times New Roman" w:hAnsi="Times New Roman"/>
          <w:szCs w:val="24"/>
        </w:rPr>
        <w:t>In these studies, I have added a third risk premium analysis</w:t>
      </w:r>
      <w:r w:rsidR="00975884" w:rsidRPr="00660211">
        <w:rPr>
          <w:rFonts w:ascii="Times New Roman" w:hAnsi="Times New Roman"/>
          <w:szCs w:val="24"/>
        </w:rPr>
        <w:t>, based on the spot interest rate data available in mid-July,</w:t>
      </w:r>
      <w:r w:rsidR="0030171B" w:rsidRPr="00660211">
        <w:rPr>
          <w:rFonts w:ascii="Times New Roman" w:hAnsi="Times New Roman"/>
          <w:szCs w:val="24"/>
        </w:rPr>
        <w:t xml:space="preserve"> designed to capture the recent FOMC policy shift and the increasing interest rate environment that the FOMC announcement has created.</w:t>
      </w:r>
    </w:p>
    <w:p w:rsidR="00637AD6" w:rsidRPr="00660211" w:rsidRDefault="00637AD6" w:rsidP="00660211">
      <w:pPr>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 xml:space="preserve">What do you conclude from your updated </w:t>
      </w:r>
      <w:r w:rsidR="00B707F9" w:rsidRPr="00660211">
        <w:rPr>
          <w:rFonts w:ascii="Times New Roman" w:hAnsi="Times New Roman"/>
          <w:b/>
          <w:szCs w:val="24"/>
        </w:rPr>
        <w:t>C</w:t>
      </w:r>
      <w:r w:rsidRPr="00660211">
        <w:rPr>
          <w:rFonts w:ascii="Times New Roman" w:hAnsi="Times New Roman"/>
          <w:b/>
          <w:szCs w:val="24"/>
        </w:rPr>
        <w:t>OE analyses?</w:t>
      </w:r>
    </w:p>
    <w:p w:rsidR="00637AD6" w:rsidRPr="00660211" w:rsidRDefault="00637AD6"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 xml:space="preserve">My updated analysis shows that </w:t>
      </w:r>
      <w:r w:rsidR="00C94F38" w:rsidRPr="00660211">
        <w:rPr>
          <w:rFonts w:ascii="Times New Roman" w:hAnsi="Times New Roman"/>
          <w:szCs w:val="24"/>
        </w:rPr>
        <w:t>PacifiCorp</w:t>
      </w:r>
      <w:r w:rsidR="003C18EA" w:rsidRPr="00660211">
        <w:rPr>
          <w:rFonts w:ascii="Times New Roman" w:hAnsi="Times New Roman"/>
          <w:szCs w:val="24"/>
        </w:rPr>
        <w:t>’</w:t>
      </w:r>
      <w:r w:rsidR="00C94F38" w:rsidRPr="00660211">
        <w:rPr>
          <w:rFonts w:ascii="Times New Roman" w:hAnsi="Times New Roman"/>
          <w:szCs w:val="24"/>
        </w:rPr>
        <w:t>s</w:t>
      </w:r>
      <w:r w:rsidRPr="00660211">
        <w:rPr>
          <w:rFonts w:ascii="Times New Roman" w:hAnsi="Times New Roman"/>
          <w:szCs w:val="24"/>
        </w:rPr>
        <w:t xml:space="preserve"> current </w:t>
      </w:r>
      <w:r w:rsidR="00F40B83">
        <w:rPr>
          <w:rFonts w:ascii="Times New Roman" w:hAnsi="Times New Roman"/>
          <w:szCs w:val="24"/>
        </w:rPr>
        <w:t>COE</w:t>
      </w:r>
      <w:r w:rsidR="0030171B" w:rsidRPr="00660211">
        <w:rPr>
          <w:rFonts w:ascii="Times New Roman" w:hAnsi="Times New Roman"/>
          <w:szCs w:val="24"/>
        </w:rPr>
        <w:t xml:space="preserve"> </w:t>
      </w:r>
      <w:r w:rsidR="007D6E08" w:rsidRPr="00660211">
        <w:rPr>
          <w:rFonts w:ascii="Times New Roman" w:hAnsi="Times New Roman"/>
          <w:szCs w:val="24"/>
        </w:rPr>
        <w:t>remains</w:t>
      </w:r>
      <w:r w:rsidR="0030171B" w:rsidRPr="00660211">
        <w:rPr>
          <w:rFonts w:ascii="Times New Roman" w:hAnsi="Times New Roman"/>
          <w:szCs w:val="24"/>
        </w:rPr>
        <w:t xml:space="preserve"> </w:t>
      </w:r>
      <w:r w:rsidR="00D56643" w:rsidRPr="00660211">
        <w:rPr>
          <w:rFonts w:ascii="Times New Roman" w:hAnsi="Times New Roman"/>
          <w:szCs w:val="24"/>
        </w:rPr>
        <w:t>approximately</w:t>
      </w:r>
      <w:r w:rsidR="0030171B" w:rsidRPr="00660211">
        <w:rPr>
          <w:rFonts w:ascii="Times New Roman" w:hAnsi="Times New Roman"/>
          <w:szCs w:val="24"/>
        </w:rPr>
        <w:t xml:space="preserve"> </w:t>
      </w:r>
      <w:r w:rsidRPr="00660211">
        <w:rPr>
          <w:rFonts w:ascii="Times New Roman" w:hAnsi="Times New Roman"/>
          <w:szCs w:val="24"/>
        </w:rPr>
        <w:t>1</w:t>
      </w:r>
      <w:r w:rsidR="0034397E" w:rsidRPr="00660211">
        <w:rPr>
          <w:rFonts w:ascii="Times New Roman" w:hAnsi="Times New Roman"/>
          <w:szCs w:val="24"/>
        </w:rPr>
        <w:t>0.</w:t>
      </w:r>
      <w:r w:rsidR="0030171B" w:rsidRPr="00660211">
        <w:rPr>
          <w:rFonts w:ascii="Times New Roman" w:hAnsi="Times New Roman"/>
          <w:szCs w:val="24"/>
        </w:rPr>
        <w:t>0</w:t>
      </w:r>
      <w:r w:rsidRPr="00660211">
        <w:rPr>
          <w:rFonts w:ascii="Times New Roman" w:hAnsi="Times New Roman"/>
          <w:szCs w:val="24"/>
        </w:rPr>
        <w:t xml:space="preserve"> percent.  </w:t>
      </w:r>
      <w:r w:rsidR="0030171B" w:rsidRPr="00660211">
        <w:rPr>
          <w:rFonts w:ascii="Times New Roman" w:hAnsi="Times New Roman"/>
          <w:szCs w:val="24"/>
        </w:rPr>
        <w:t>The lower updated DCF results, based on data from Value Line and average stock prices for April</w:t>
      </w:r>
      <w:r w:rsidR="003E0F74">
        <w:rPr>
          <w:rFonts w:ascii="Times New Roman" w:hAnsi="Times New Roman"/>
          <w:szCs w:val="24"/>
        </w:rPr>
        <w:t xml:space="preserve"> through </w:t>
      </w:r>
      <w:r w:rsidR="0030171B" w:rsidRPr="00660211">
        <w:rPr>
          <w:rFonts w:ascii="Times New Roman" w:hAnsi="Times New Roman"/>
          <w:szCs w:val="24"/>
        </w:rPr>
        <w:t>June 2013, cannot accurately reflect the FOMC policy shift or the rising interest rates that have results.  For this reason</w:t>
      </w:r>
      <w:r w:rsidR="005B672B">
        <w:rPr>
          <w:rFonts w:ascii="Times New Roman" w:hAnsi="Times New Roman"/>
          <w:szCs w:val="24"/>
        </w:rPr>
        <w:t>, I </w:t>
      </w:r>
      <w:r w:rsidR="0030171B" w:rsidRPr="00660211">
        <w:rPr>
          <w:rFonts w:ascii="Times New Roman" w:hAnsi="Times New Roman"/>
          <w:szCs w:val="24"/>
        </w:rPr>
        <w:t xml:space="preserve">believe more emphasis should be placed on the current risk premium results, based on more recent interest rate data that do reflect the policy shift.  As noted above, with interest rates projected for 2014, </w:t>
      </w:r>
      <w:r w:rsidR="00AA37E5" w:rsidRPr="00660211">
        <w:rPr>
          <w:rFonts w:ascii="Times New Roman" w:hAnsi="Times New Roman"/>
          <w:szCs w:val="24"/>
        </w:rPr>
        <w:t xml:space="preserve">the updated risk premium analysis indicates an ROE of 10.0 percent.  </w:t>
      </w:r>
      <w:r w:rsidRPr="00660211">
        <w:rPr>
          <w:rFonts w:ascii="Times New Roman" w:hAnsi="Times New Roman"/>
          <w:szCs w:val="24"/>
        </w:rPr>
        <w:t xml:space="preserve">These results show that </w:t>
      </w:r>
      <w:r w:rsidR="0034397E" w:rsidRPr="00660211">
        <w:rPr>
          <w:rFonts w:ascii="Times New Roman" w:hAnsi="Times New Roman"/>
          <w:szCs w:val="24"/>
        </w:rPr>
        <w:t>the Company</w:t>
      </w:r>
      <w:r w:rsidR="003C18EA" w:rsidRPr="00660211">
        <w:rPr>
          <w:rFonts w:ascii="Times New Roman" w:hAnsi="Times New Roman"/>
          <w:szCs w:val="24"/>
        </w:rPr>
        <w:t>’</w:t>
      </w:r>
      <w:r w:rsidR="0034397E" w:rsidRPr="00660211">
        <w:rPr>
          <w:rFonts w:ascii="Times New Roman" w:hAnsi="Times New Roman"/>
          <w:szCs w:val="24"/>
        </w:rPr>
        <w:t xml:space="preserve">s requested </w:t>
      </w:r>
      <w:r w:rsidRPr="00660211">
        <w:rPr>
          <w:rFonts w:ascii="Times New Roman" w:hAnsi="Times New Roman"/>
          <w:szCs w:val="24"/>
        </w:rPr>
        <w:t>10.</w:t>
      </w:r>
      <w:r w:rsidR="00AA37E5" w:rsidRPr="00660211">
        <w:rPr>
          <w:rFonts w:ascii="Times New Roman" w:hAnsi="Times New Roman"/>
          <w:szCs w:val="24"/>
        </w:rPr>
        <w:t>0</w:t>
      </w:r>
      <w:r w:rsidRPr="00660211">
        <w:rPr>
          <w:rFonts w:ascii="Times New Roman" w:hAnsi="Times New Roman"/>
          <w:szCs w:val="24"/>
        </w:rPr>
        <w:t xml:space="preserve"> percent </w:t>
      </w:r>
      <w:r w:rsidR="00AA37E5" w:rsidRPr="00660211">
        <w:rPr>
          <w:rFonts w:ascii="Times New Roman" w:hAnsi="Times New Roman"/>
          <w:szCs w:val="24"/>
        </w:rPr>
        <w:t xml:space="preserve">ROE </w:t>
      </w:r>
      <w:r w:rsidR="00D56643" w:rsidRPr="00660211">
        <w:rPr>
          <w:rFonts w:ascii="Times New Roman" w:hAnsi="Times New Roman"/>
          <w:szCs w:val="24"/>
        </w:rPr>
        <w:t>is</w:t>
      </w:r>
      <w:r w:rsidRPr="00660211">
        <w:rPr>
          <w:rFonts w:ascii="Times New Roman" w:hAnsi="Times New Roman"/>
          <w:szCs w:val="24"/>
        </w:rPr>
        <w:t xml:space="preserve"> reasonable and that Mr. </w:t>
      </w:r>
      <w:r w:rsidR="0034397E" w:rsidRPr="00660211">
        <w:rPr>
          <w:rFonts w:ascii="Times New Roman" w:hAnsi="Times New Roman"/>
          <w:szCs w:val="24"/>
        </w:rPr>
        <w:t>Elgin</w:t>
      </w:r>
      <w:r w:rsidR="00AA37E5" w:rsidRPr="00660211">
        <w:rPr>
          <w:rFonts w:ascii="Times New Roman" w:hAnsi="Times New Roman"/>
          <w:szCs w:val="24"/>
        </w:rPr>
        <w:t>’s</w:t>
      </w:r>
      <w:r w:rsidRPr="00660211">
        <w:rPr>
          <w:rFonts w:ascii="Times New Roman" w:hAnsi="Times New Roman"/>
          <w:szCs w:val="24"/>
        </w:rPr>
        <w:t xml:space="preserve"> and M</w:t>
      </w:r>
      <w:r w:rsidR="0034397E" w:rsidRPr="00660211">
        <w:rPr>
          <w:rFonts w:ascii="Times New Roman" w:hAnsi="Times New Roman"/>
          <w:szCs w:val="24"/>
        </w:rPr>
        <w:t>r.</w:t>
      </w:r>
      <w:r w:rsidR="00F40B83">
        <w:rPr>
          <w:rFonts w:ascii="Times New Roman" w:hAnsi="Times New Roman"/>
          <w:szCs w:val="24"/>
        </w:rPr>
        <w:t> </w:t>
      </w:r>
      <w:r w:rsidR="0034397E" w:rsidRPr="00660211">
        <w:rPr>
          <w:rFonts w:ascii="Times New Roman" w:hAnsi="Times New Roman"/>
          <w:szCs w:val="24"/>
        </w:rPr>
        <w:t>Gorman</w:t>
      </w:r>
      <w:r w:rsidR="00AA37E5" w:rsidRPr="00660211">
        <w:rPr>
          <w:rFonts w:ascii="Times New Roman" w:hAnsi="Times New Roman"/>
          <w:szCs w:val="24"/>
        </w:rPr>
        <w:t>’s recommendations</w:t>
      </w:r>
      <w:r w:rsidRPr="00660211">
        <w:rPr>
          <w:rFonts w:ascii="Times New Roman" w:hAnsi="Times New Roman"/>
          <w:szCs w:val="24"/>
        </w:rPr>
        <w:t>, as discussed herein, are unreasonably low.</w:t>
      </w:r>
    </w:p>
    <w:p w:rsidR="007D6E08" w:rsidRPr="00660211" w:rsidRDefault="007D6E08" w:rsidP="00660211">
      <w:pPr>
        <w:jc w:val="left"/>
        <w:rPr>
          <w:rFonts w:ascii="Times New Roman" w:hAnsi="Times New Roman"/>
          <w:b/>
          <w:szCs w:val="24"/>
        </w:rPr>
      </w:pPr>
      <w:r w:rsidRPr="00660211">
        <w:rPr>
          <w:rFonts w:ascii="Times New Roman" w:hAnsi="Times New Roman"/>
          <w:b/>
          <w:szCs w:val="24"/>
        </w:rPr>
        <w:t>Q.</w:t>
      </w:r>
      <w:r w:rsidRPr="00660211">
        <w:rPr>
          <w:rFonts w:ascii="Times New Roman" w:hAnsi="Times New Roman"/>
          <w:b/>
          <w:szCs w:val="24"/>
        </w:rPr>
        <w:tab/>
        <w:t>Given current economic developments, you suggest that the Commission place more emphasis on your updated risk premium results than your updated DCF results.  Is this recommendation consistent with your understanding of the Commission’s approach to determining ROE?</w:t>
      </w:r>
    </w:p>
    <w:p w:rsidR="007D6E08" w:rsidRPr="00660211" w:rsidRDefault="007D6E08" w:rsidP="00660211">
      <w:pPr>
        <w:jc w:val="left"/>
        <w:rPr>
          <w:rFonts w:ascii="Times New Roman" w:hAnsi="Times New Roman"/>
          <w:szCs w:val="24"/>
        </w:rPr>
      </w:pPr>
      <w:r w:rsidRPr="00660211">
        <w:rPr>
          <w:rFonts w:ascii="Times New Roman" w:hAnsi="Times New Roman"/>
          <w:szCs w:val="24"/>
        </w:rPr>
        <w:t>A.</w:t>
      </w:r>
      <w:r w:rsidRPr="00660211">
        <w:rPr>
          <w:rFonts w:ascii="Times New Roman" w:hAnsi="Times New Roman"/>
          <w:szCs w:val="24"/>
        </w:rPr>
        <w:tab/>
        <w:t xml:space="preserve">Yes.  In Order 07 in </w:t>
      </w:r>
      <w:r w:rsidR="00761A20" w:rsidRPr="00660211">
        <w:rPr>
          <w:rFonts w:ascii="Times New Roman" w:hAnsi="Times New Roman"/>
          <w:szCs w:val="24"/>
        </w:rPr>
        <w:t>D</w:t>
      </w:r>
      <w:r w:rsidRPr="00660211">
        <w:rPr>
          <w:rFonts w:ascii="Times New Roman" w:hAnsi="Times New Roman"/>
          <w:szCs w:val="24"/>
        </w:rPr>
        <w:t>ocket UE-100749, the Commission clarified that:  “Each method has both advantages and limitations, and can be relatively more useful depending on the economic and capital market conditions at a specific time.”</w:t>
      </w:r>
      <w:r w:rsidR="000B15FD" w:rsidRPr="00F40B83">
        <w:rPr>
          <w:rFonts w:ascii="Times New Roman" w:hAnsi="Times New Roman"/>
          <w:vertAlign w:val="superscript"/>
        </w:rPr>
        <w:footnoteReference w:id="26"/>
      </w:r>
      <w:r w:rsidR="00357D1D">
        <w:rPr>
          <w:rFonts w:ascii="Times New Roman" w:hAnsi="Times New Roman"/>
          <w:szCs w:val="24"/>
        </w:rPr>
        <w:t xml:space="preserve">  </w:t>
      </w:r>
      <w:r w:rsidR="00357D1D">
        <w:rPr>
          <w:rFonts w:ascii="Times New Roman" w:hAnsi="Times New Roman"/>
          <w:szCs w:val="24"/>
        </w:rPr>
        <w:br/>
      </w:r>
      <w:r w:rsidR="00F0510D" w:rsidRPr="00660211">
        <w:rPr>
          <w:rFonts w:ascii="Times New Roman" w:hAnsi="Times New Roman"/>
          <w:szCs w:val="24"/>
        </w:rPr>
        <w:t xml:space="preserve">While the Commission typically relies on the DCF model to determine ROE, </w:t>
      </w:r>
      <w:r w:rsidR="008D5ADE" w:rsidRPr="00660211">
        <w:rPr>
          <w:rFonts w:ascii="Times New Roman" w:hAnsi="Times New Roman"/>
          <w:szCs w:val="24"/>
        </w:rPr>
        <w:t>the Commission</w:t>
      </w:r>
      <w:r w:rsidR="00F0510D" w:rsidRPr="00660211">
        <w:rPr>
          <w:rFonts w:ascii="Times New Roman" w:hAnsi="Times New Roman"/>
          <w:szCs w:val="24"/>
        </w:rPr>
        <w:t xml:space="preserve"> has been clear that it will rely on other models if economic and capital market conditions warrant.  This is such a case. </w:t>
      </w:r>
    </w:p>
    <w:p w:rsidR="00637AD6" w:rsidRPr="00660211" w:rsidRDefault="00637AD6" w:rsidP="00660211">
      <w:pPr>
        <w:jc w:val="left"/>
        <w:rPr>
          <w:rFonts w:ascii="Times New Roman" w:hAnsi="Times New Roman"/>
          <w:b/>
          <w:szCs w:val="24"/>
        </w:rPr>
      </w:pPr>
      <w:r w:rsidRPr="00660211">
        <w:rPr>
          <w:rFonts w:ascii="Times New Roman" w:hAnsi="Times New Roman"/>
          <w:b/>
          <w:szCs w:val="24"/>
        </w:rPr>
        <w:t>Q</w:t>
      </w:r>
      <w:r w:rsidR="0034397E" w:rsidRPr="00660211">
        <w:rPr>
          <w:rFonts w:ascii="Times New Roman" w:hAnsi="Times New Roman"/>
          <w:b/>
          <w:szCs w:val="24"/>
        </w:rPr>
        <w:t>.</w:t>
      </w:r>
      <w:r w:rsidRPr="00660211">
        <w:rPr>
          <w:rFonts w:ascii="Times New Roman" w:hAnsi="Times New Roman"/>
          <w:b/>
          <w:szCs w:val="24"/>
        </w:rPr>
        <w:tab/>
      </w:r>
      <w:r w:rsidR="007D6E08" w:rsidRPr="00660211">
        <w:rPr>
          <w:rFonts w:ascii="Times New Roman" w:hAnsi="Times New Roman"/>
          <w:b/>
          <w:szCs w:val="24"/>
        </w:rPr>
        <w:t>Did you prepare</w:t>
      </w:r>
      <w:r w:rsidRPr="00660211">
        <w:rPr>
          <w:rFonts w:ascii="Times New Roman" w:hAnsi="Times New Roman"/>
          <w:b/>
          <w:szCs w:val="24"/>
        </w:rPr>
        <w:t xml:space="preserve"> a</w:t>
      </w:r>
      <w:r w:rsidR="007D6E08" w:rsidRPr="00660211">
        <w:rPr>
          <w:rFonts w:ascii="Times New Roman" w:hAnsi="Times New Roman"/>
          <w:b/>
          <w:szCs w:val="24"/>
        </w:rPr>
        <w:t>n update to the</w:t>
      </w:r>
      <w:r w:rsidRPr="00660211">
        <w:rPr>
          <w:rFonts w:ascii="Times New Roman" w:hAnsi="Times New Roman"/>
          <w:b/>
          <w:szCs w:val="24"/>
        </w:rPr>
        <w:t xml:space="preserve"> CAPM analysis</w:t>
      </w:r>
      <w:r w:rsidR="007D6E08" w:rsidRPr="00660211">
        <w:rPr>
          <w:rFonts w:ascii="Times New Roman" w:hAnsi="Times New Roman"/>
          <w:b/>
          <w:szCs w:val="24"/>
        </w:rPr>
        <w:t xml:space="preserve"> you provided in your direct testimony?</w:t>
      </w:r>
    </w:p>
    <w:p w:rsidR="00637AD6" w:rsidRPr="00660211" w:rsidRDefault="0034397E" w:rsidP="00660211">
      <w:pPr>
        <w:jc w:val="left"/>
        <w:rPr>
          <w:rFonts w:ascii="Times New Roman" w:hAnsi="Times New Roman"/>
          <w:szCs w:val="24"/>
        </w:rPr>
      </w:pPr>
      <w:r w:rsidRPr="00660211">
        <w:rPr>
          <w:rFonts w:ascii="Times New Roman" w:hAnsi="Times New Roman"/>
          <w:szCs w:val="24"/>
        </w:rPr>
        <w:t>A.</w:t>
      </w:r>
      <w:r w:rsidR="00637AD6" w:rsidRPr="00660211">
        <w:rPr>
          <w:rFonts w:ascii="Times New Roman" w:hAnsi="Times New Roman"/>
          <w:szCs w:val="24"/>
        </w:rPr>
        <w:tab/>
        <w:t xml:space="preserve">No.  </w:t>
      </w:r>
      <w:r w:rsidR="00F0510D" w:rsidRPr="00660211">
        <w:rPr>
          <w:rFonts w:ascii="Times New Roman" w:hAnsi="Times New Roman"/>
          <w:szCs w:val="24"/>
        </w:rPr>
        <w:t xml:space="preserve">None of the cost of capital witnesses in this case relied upon CAPM estimates as the basis </w:t>
      </w:r>
      <w:r w:rsidR="00D56643" w:rsidRPr="00660211">
        <w:rPr>
          <w:rFonts w:ascii="Times New Roman" w:hAnsi="Times New Roman"/>
          <w:szCs w:val="24"/>
        </w:rPr>
        <w:t>for their ROE recommendations.</w:t>
      </w:r>
      <w:r w:rsidR="00637AD6" w:rsidRPr="00660211">
        <w:rPr>
          <w:rFonts w:ascii="Times New Roman" w:hAnsi="Times New Roman"/>
          <w:szCs w:val="24"/>
        </w:rPr>
        <w:t xml:space="preserve">  </w:t>
      </w:r>
      <w:r w:rsidR="00F0510D" w:rsidRPr="00660211">
        <w:rPr>
          <w:rFonts w:ascii="Times New Roman" w:hAnsi="Times New Roman"/>
          <w:szCs w:val="24"/>
        </w:rPr>
        <w:t>There appears to be general consensus that u</w:t>
      </w:r>
      <w:r w:rsidR="00AA37E5" w:rsidRPr="00660211">
        <w:rPr>
          <w:rFonts w:ascii="Times New Roman" w:hAnsi="Times New Roman"/>
          <w:szCs w:val="24"/>
        </w:rPr>
        <w:t xml:space="preserve">ntil </w:t>
      </w:r>
      <w:r w:rsidR="00F0510D" w:rsidRPr="00660211">
        <w:rPr>
          <w:rFonts w:ascii="Times New Roman" w:hAnsi="Times New Roman"/>
          <w:szCs w:val="24"/>
        </w:rPr>
        <w:t>Fed</w:t>
      </w:r>
      <w:r w:rsidR="00AA37E5" w:rsidRPr="00660211">
        <w:rPr>
          <w:rFonts w:ascii="Times New Roman" w:hAnsi="Times New Roman"/>
          <w:szCs w:val="24"/>
        </w:rPr>
        <w:t xml:space="preserve"> policies </w:t>
      </w:r>
      <w:r w:rsidR="00F0510D" w:rsidRPr="00660211">
        <w:rPr>
          <w:rFonts w:ascii="Times New Roman" w:hAnsi="Times New Roman"/>
          <w:szCs w:val="24"/>
        </w:rPr>
        <w:t>change</w:t>
      </w:r>
      <w:r w:rsidR="00AA37E5" w:rsidRPr="00660211">
        <w:rPr>
          <w:rFonts w:ascii="Times New Roman" w:hAnsi="Times New Roman"/>
          <w:szCs w:val="24"/>
        </w:rPr>
        <w:t xml:space="preserve"> and market</w:t>
      </w:r>
      <w:r w:rsidR="007D6E08" w:rsidRPr="00660211">
        <w:rPr>
          <w:rFonts w:ascii="Times New Roman" w:hAnsi="Times New Roman"/>
          <w:szCs w:val="24"/>
        </w:rPr>
        <w:t>-</w:t>
      </w:r>
      <w:r w:rsidR="00AA37E5" w:rsidRPr="00660211">
        <w:rPr>
          <w:rFonts w:ascii="Times New Roman" w:hAnsi="Times New Roman"/>
          <w:szCs w:val="24"/>
        </w:rPr>
        <w:t>based interest rates once again prevail,</w:t>
      </w:r>
      <w:r w:rsidR="00637AD6" w:rsidRPr="00660211">
        <w:rPr>
          <w:rFonts w:ascii="Times New Roman" w:hAnsi="Times New Roman"/>
          <w:szCs w:val="24"/>
        </w:rPr>
        <w:t xml:space="preserve"> CAPM estimates </w:t>
      </w:r>
      <w:r w:rsidR="00AA37E5" w:rsidRPr="00660211">
        <w:rPr>
          <w:rFonts w:ascii="Times New Roman" w:hAnsi="Times New Roman"/>
          <w:szCs w:val="24"/>
        </w:rPr>
        <w:t xml:space="preserve">of ROE will </w:t>
      </w:r>
      <w:r w:rsidR="00637AD6" w:rsidRPr="00660211">
        <w:rPr>
          <w:rFonts w:ascii="Times New Roman" w:hAnsi="Times New Roman"/>
          <w:szCs w:val="24"/>
        </w:rPr>
        <w:t xml:space="preserve">understate the market </w:t>
      </w:r>
      <w:r w:rsidR="00220B10">
        <w:rPr>
          <w:rFonts w:ascii="Times New Roman" w:hAnsi="Times New Roman"/>
          <w:szCs w:val="24"/>
        </w:rPr>
        <w:t>COE</w:t>
      </w:r>
      <w:r w:rsidR="00637AD6" w:rsidRPr="00660211">
        <w:rPr>
          <w:rFonts w:ascii="Times New Roman" w:hAnsi="Times New Roman"/>
          <w:szCs w:val="24"/>
        </w:rPr>
        <w:t>.  For th</w:t>
      </w:r>
      <w:r w:rsidR="001E1FF5" w:rsidRPr="00660211">
        <w:rPr>
          <w:rFonts w:ascii="Times New Roman" w:hAnsi="Times New Roman"/>
          <w:szCs w:val="24"/>
        </w:rPr>
        <w:t>i</w:t>
      </w:r>
      <w:r w:rsidR="00F0510D" w:rsidRPr="00660211">
        <w:rPr>
          <w:rFonts w:ascii="Times New Roman" w:hAnsi="Times New Roman"/>
          <w:szCs w:val="24"/>
        </w:rPr>
        <w:t>s</w:t>
      </w:r>
      <w:r w:rsidR="00637AD6" w:rsidRPr="00660211">
        <w:rPr>
          <w:rFonts w:ascii="Times New Roman" w:hAnsi="Times New Roman"/>
          <w:szCs w:val="24"/>
        </w:rPr>
        <w:t xml:space="preserve"> reason, I</w:t>
      </w:r>
      <w:r w:rsidR="00F40B83">
        <w:rPr>
          <w:rFonts w:ascii="Times New Roman" w:hAnsi="Times New Roman"/>
          <w:szCs w:val="24"/>
        </w:rPr>
        <w:t> </w:t>
      </w:r>
      <w:r w:rsidR="001E1FF5" w:rsidRPr="00660211">
        <w:rPr>
          <w:rFonts w:ascii="Times New Roman" w:hAnsi="Times New Roman"/>
          <w:szCs w:val="24"/>
        </w:rPr>
        <w:t>did</w:t>
      </w:r>
      <w:r w:rsidR="00637AD6" w:rsidRPr="00660211">
        <w:rPr>
          <w:rFonts w:ascii="Times New Roman" w:hAnsi="Times New Roman"/>
          <w:szCs w:val="24"/>
        </w:rPr>
        <w:t xml:space="preserve"> not include CAPM estimates in my </w:t>
      </w:r>
      <w:r w:rsidR="00AA37E5" w:rsidRPr="00660211">
        <w:rPr>
          <w:rFonts w:ascii="Times New Roman" w:hAnsi="Times New Roman"/>
          <w:szCs w:val="24"/>
        </w:rPr>
        <w:t xml:space="preserve">updated </w:t>
      </w:r>
      <w:r w:rsidR="007D6E08" w:rsidRPr="00660211">
        <w:rPr>
          <w:rFonts w:ascii="Times New Roman" w:hAnsi="Times New Roman"/>
          <w:szCs w:val="24"/>
        </w:rPr>
        <w:t>C</w:t>
      </w:r>
      <w:r w:rsidR="00637AD6" w:rsidRPr="00660211">
        <w:rPr>
          <w:rFonts w:ascii="Times New Roman" w:hAnsi="Times New Roman"/>
          <w:szCs w:val="24"/>
        </w:rPr>
        <w:t>OE analysis.</w:t>
      </w:r>
    </w:p>
    <w:p w:rsidR="00BB0D51" w:rsidRPr="00660211" w:rsidRDefault="0034397E" w:rsidP="00660211">
      <w:pPr>
        <w:pStyle w:val="FootnoteText"/>
        <w:keepNext/>
        <w:widowControl w:val="0"/>
        <w:spacing w:line="480" w:lineRule="auto"/>
        <w:rPr>
          <w:rFonts w:ascii="Times New Roman" w:hAnsi="Times New Roman"/>
          <w:b/>
          <w:color w:val="000000"/>
          <w:sz w:val="24"/>
          <w:szCs w:val="24"/>
        </w:rPr>
      </w:pPr>
      <w:r w:rsidRPr="00660211">
        <w:rPr>
          <w:rFonts w:ascii="Times New Roman" w:hAnsi="Times New Roman"/>
          <w:b/>
          <w:color w:val="000000"/>
          <w:sz w:val="24"/>
          <w:szCs w:val="24"/>
        </w:rPr>
        <w:t>Q.</w:t>
      </w:r>
      <w:r w:rsidRPr="00660211">
        <w:rPr>
          <w:rFonts w:ascii="Times New Roman" w:hAnsi="Times New Roman"/>
          <w:b/>
          <w:color w:val="000000"/>
          <w:sz w:val="24"/>
          <w:szCs w:val="24"/>
        </w:rPr>
        <w:tab/>
        <w:t>Does this conclude you</w:t>
      </w:r>
      <w:r w:rsidR="008A238F" w:rsidRPr="00660211">
        <w:rPr>
          <w:rFonts w:ascii="Times New Roman" w:hAnsi="Times New Roman"/>
          <w:b/>
          <w:color w:val="000000"/>
          <w:sz w:val="24"/>
          <w:szCs w:val="24"/>
        </w:rPr>
        <w:t>r</w:t>
      </w:r>
      <w:r w:rsidRPr="00660211">
        <w:rPr>
          <w:rFonts w:ascii="Times New Roman" w:hAnsi="Times New Roman"/>
          <w:b/>
          <w:color w:val="000000"/>
          <w:sz w:val="24"/>
          <w:szCs w:val="24"/>
        </w:rPr>
        <w:t xml:space="preserve"> </w:t>
      </w:r>
      <w:r w:rsidR="003C18EA" w:rsidRPr="00660211">
        <w:rPr>
          <w:rFonts w:ascii="Times New Roman" w:hAnsi="Times New Roman"/>
          <w:b/>
          <w:color w:val="000000"/>
          <w:sz w:val="24"/>
          <w:szCs w:val="24"/>
        </w:rPr>
        <w:t>r</w:t>
      </w:r>
      <w:r w:rsidRPr="00660211">
        <w:rPr>
          <w:rFonts w:ascii="Times New Roman" w:hAnsi="Times New Roman"/>
          <w:b/>
          <w:color w:val="000000"/>
          <w:sz w:val="24"/>
          <w:szCs w:val="24"/>
        </w:rPr>
        <w:t xml:space="preserve">ebuttal </w:t>
      </w:r>
      <w:r w:rsidR="003C18EA" w:rsidRPr="00660211">
        <w:rPr>
          <w:rFonts w:ascii="Times New Roman" w:hAnsi="Times New Roman"/>
          <w:b/>
          <w:color w:val="000000"/>
          <w:sz w:val="24"/>
          <w:szCs w:val="24"/>
        </w:rPr>
        <w:t>t</w:t>
      </w:r>
      <w:r w:rsidRPr="00660211">
        <w:rPr>
          <w:rFonts w:ascii="Times New Roman" w:hAnsi="Times New Roman"/>
          <w:b/>
          <w:color w:val="000000"/>
          <w:sz w:val="24"/>
          <w:szCs w:val="24"/>
        </w:rPr>
        <w:t>estimony?</w:t>
      </w:r>
    </w:p>
    <w:p w:rsidR="00FB3999" w:rsidRPr="00660211" w:rsidRDefault="0034397E" w:rsidP="00660211">
      <w:pPr>
        <w:pStyle w:val="FootnoteText"/>
        <w:spacing w:line="480" w:lineRule="auto"/>
        <w:rPr>
          <w:rFonts w:ascii="Times New Roman" w:hAnsi="Times New Roman"/>
          <w:color w:val="000000"/>
          <w:sz w:val="24"/>
          <w:szCs w:val="24"/>
        </w:rPr>
      </w:pPr>
      <w:r w:rsidRPr="00660211">
        <w:rPr>
          <w:rFonts w:ascii="Times New Roman" w:hAnsi="Times New Roman"/>
          <w:color w:val="000000"/>
          <w:sz w:val="24"/>
          <w:szCs w:val="24"/>
        </w:rPr>
        <w:t>A.</w:t>
      </w:r>
      <w:r w:rsidRPr="00660211">
        <w:rPr>
          <w:rFonts w:ascii="Times New Roman" w:hAnsi="Times New Roman"/>
          <w:color w:val="000000"/>
          <w:sz w:val="24"/>
          <w:szCs w:val="24"/>
        </w:rPr>
        <w:tab/>
        <w:t>Yes</w:t>
      </w:r>
      <w:r w:rsidR="001C53BC" w:rsidRPr="00660211">
        <w:rPr>
          <w:rFonts w:ascii="Times New Roman" w:hAnsi="Times New Roman"/>
          <w:color w:val="000000"/>
          <w:sz w:val="24"/>
          <w:szCs w:val="24"/>
        </w:rPr>
        <w:t>.</w:t>
      </w:r>
    </w:p>
    <w:sectPr w:rsidR="00FB3999" w:rsidRPr="00660211" w:rsidSect="00F52E7B">
      <w:footerReference w:type="default" r:id="rId16"/>
      <w:pgSz w:w="12240" w:h="15840" w:code="1"/>
      <w:pgMar w:top="1440" w:right="144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AF2" w:rsidRDefault="00C24AF2">
      <w:r>
        <w:separator/>
      </w:r>
    </w:p>
  </w:endnote>
  <w:endnote w:type="continuationSeparator" w:id="0">
    <w:p w:rsidR="00C24AF2" w:rsidRDefault="00C24A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32" w:rsidRDefault="00F51C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F2" w:rsidRDefault="00C24AF2" w:rsidP="00712DC8">
    <w:pPr>
      <w:pStyle w:val="Footer"/>
      <w:spacing w:line="240" w:lineRule="auto"/>
      <w:rPr>
        <w:rStyle w:val="PageNumber"/>
        <w:rFonts w:ascii="Times New Roman" w:hAnsi="Times New Roman"/>
      </w:rPr>
    </w:pPr>
    <w:r>
      <w:rPr>
        <w:rStyle w:val="PageNumber"/>
        <w:rFonts w:ascii="Times New Roman" w:hAnsi="Times New Roman"/>
      </w:rPr>
      <w:t>Rebuttal</w:t>
    </w:r>
    <w:r w:rsidRPr="00BD44CD">
      <w:rPr>
        <w:rStyle w:val="PageNumber"/>
        <w:rFonts w:ascii="Times New Roman" w:hAnsi="Times New Roman"/>
      </w:rPr>
      <w:t xml:space="preserve"> Testimony of</w:t>
    </w:r>
    <w:r>
      <w:rPr>
        <w:rStyle w:val="PageNumber"/>
        <w:rFonts w:ascii="Times New Roman" w:hAnsi="Times New Roman"/>
      </w:rPr>
      <w:t xml:space="preserve"> Samuel C. Hadaway</w:t>
    </w:r>
    <w:r>
      <w:rPr>
        <w:rStyle w:val="PageNumber"/>
        <w:rFonts w:ascii="Times New Roman" w:hAnsi="Times New Roman"/>
      </w:rPr>
      <w:tab/>
    </w:r>
    <w:r>
      <w:rPr>
        <w:rStyle w:val="PageNumber"/>
        <w:rFonts w:ascii="Times New Roman" w:hAnsi="Times New Roman"/>
      </w:rPr>
      <w:tab/>
      <w:t>Exhibit No.___(SCH-10T)</w:t>
    </w:r>
  </w:p>
  <w:p w:rsidR="00C24AF2" w:rsidRPr="00BD44CD" w:rsidRDefault="00C24AF2" w:rsidP="00712DC8">
    <w:pPr>
      <w:pStyle w:val="Footer"/>
      <w:spacing w:line="240" w:lineRule="auto"/>
      <w:rPr>
        <w:rStyle w:val="PageNumber"/>
        <w:rFonts w:ascii="Times New Roman" w:hAnsi="Times New Roman"/>
      </w:rPr>
    </w:pP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tab/>
      <w:t xml:space="preserve">Page </w:t>
    </w:r>
    <w:r w:rsidR="002F7474" w:rsidRPr="002E0269">
      <w:rPr>
        <w:rStyle w:val="PageNumber"/>
        <w:rFonts w:ascii="Times New Roman" w:hAnsi="Times New Roman"/>
      </w:rPr>
      <w:fldChar w:fldCharType="begin"/>
    </w:r>
    <w:r w:rsidRPr="002E0269">
      <w:rPr>
        <w:rStyle w:val="PageNumber"/>
        <w:rFonts w:ascii="Times New Roman" w:hAnsi="Times New Roman"/>
      </w:rPr>
      <w:instrText xml:space="preserve"> PAGE   \* MERGEFORMAT </w:instrText>
    </w:r>
    <w:r w:rsidR="002F7474" w:rsidRPr="002E0269">
      <w:rPr>
        <w:rStyle w:val="PageNumber"/>
        <w:rFonts w:ascii="Times New Roman" w:hAnsi="Times New Roman"/>
      </w:rPr>
      <w:fldChar w:fldCharType="separate"/>
    </w:r>
    <w:r w:rsidR="00F51C32">
      <w:rPr>
        <w:rStyle w:val="PageNumber"/>
        <w:rFonts w:ascii="Times New Roman" w:hAnsi="Times New Roman"/>
        <w:noProof/>
      </w:rPr>
      <w:t>i</w:t>
    </w:r>
    <w:r w:rsidR="002F7474" w:rsidRPr="002E0269">
      <w:rPr>
        <w:rStyle w:val="PageNumbe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32" w:rsidRDefault="00F51C3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F2" w:rsidRDefault="00C24AF2" w:rsidP="00712DC8">
    <w:pPr>
      <w:pStyle w:val="Footer"/>
      <w:spacing w:line="240" w:lineRule="auto"/>
      <w:rPr>
        <w:rStyle w:val="PageNumber"/>
        <w:rFonts w:ascii="Times New Roman" w:hAnsi="Times New Roman"/>
      </w:rPr>
    </w:pPr>
    <w:r>
      <w:rPr>
        <w:rStyle w:val="PageNumber"/>
        <w:rFonts w:ascii="Times New Roman" w:hAnsi="Times New Roman"/>
      </w:rPr>
      <w:t>Rebuttal</w:t>
    </w:r>
    <w:r w:rsidRPr="00BD44CD">
      <w:rPr>
        <w:rStyle w:val="PageNumber"/>
        <w:rFonts w:ascii="Times New Roman" w:hAnsi="Times New Roman"/>
      </w:rPr>
      <w:t xml:space="preserve"> Testimony of</w:t>
    </w:r>
    <w:r>
      <w:rPr>
        <w:rStyle w:val="PageNumber"/>
        <w:rFonts w:ascii="Times New Roman" w:hAnsi="Times New Roman"/>
      </w:rPr>
      <w:t xml:space="preserve"> Samuel C. Hadaway</w:t>
    </w:r>
    <w:r>
      <w:rPr>
        <w:rStyle w:val="PageNumber"/>
        <w:rFonts w:ascii="Times New Roman" w:hAnsi="Times New Roman"/>
      </w:rPr>
      <w:tab/>
    </w:r>
    <w:r>
      <w:rPr>
        <w:rStyle w:val="PageNumber"/>
        <w:rFonts w:ascii="Times New Roman" w:hAnsi="Times New Roman"/>
      </w:rPr>
      <w:tab/>
      <w:t>Exhibit No.___(SCH-10T)</w:t>
    </w:r>
  </w:p>
  <w:p w:rsidR="00C24AF2" w:rsidRPr="00BD44CD" w:rsidRDefault="00C24AF2" w:rsidP="00712DC8">
    <w:pPr>
      <w:pStyle w:val="Footer"/>
      <w:spacing w:line="240" w:lineRule="auto"/>
      <w:rPr>
        <w:rStyle w:val="PageNumber"/>
        <w:rFonts w:ascii="Times New Roman" w:hAnsi="Times New Roman"/>
      </w:rPr>
    </w:pP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tab/>
      <w:t xml:space="preserve">Page </w:t>
    </w:r>
    <w:r w:rsidR="002F7474" w:rsidRPr="002E0269">
      <w:rPr>
        <w:rStyle w:val="PageNumber"/>
        <w:rFonts w:ascii="Times New Roman" w:hAnsi="Times New Roman"/>
      </w:rPr>
      <w:fldChar w:fldCharType="begin"/>
    </w:r>
    <w:r w:rsidRPr="002E0269">
      <w:rPr>
        <w:rStyle w:val="PageNumber"/>
        <w:rFonts w:ascii="Times New Roman" w:hAnsi="Times New Roman"/>
      </w:rPr>
      <w:instrText xml:space="preserve"> PAGE   \* MERGEFORMAT </w:instrText>
    </w:r>
    <w:r w:rsidR="002F7474" w:rsidRPr="002E0269">
      <w:rPr>
        <w:rStyle w:val="PageNumber"/>
        <w:rFonts w:ascii="Times New Roman" w:hAnsi="Times New Roman"/>
      </w:rPr>
      <w:fldChar w:fldCharType="separate"/>
    </w:r>
    <w:r w:rsidR="00F51C32">
      <w:rPr>
        <w:rStyle w:val="PageNumber"/>
        <w:rFonts w:ascii="Times New Roman" w:hAnsi="Times New Roman"/>
        <w:noProof/>
      </w:rPr>
      <w:t>1</w:t>
    </w:r>
    <w:r w:rsidR="002F7474" w:rsidRPr="002E0269">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AF2" w:rsidRDefault="00C24AF2">
      <w:pPr>
        <w:spacing w:line="240" w:lineRule="auto"/>
      </w:pPr>
      <w:r>
        <w:separator/>
      </w:r>
    </w:p>
  </w:footnote>
  <w:footnote w:type="continuationSeparator" w:id="0">
    <w:p w:rsidR="00C24AF2" w:rsidRDefault="00C24AF2">
      <w:r>
        <w:continuationSeparator/>
      </w:r>
    </w:p>
  </w:footnote>
  <w:footnote w:id="1">
    <w:p w:rsidR="00C24AF2" w:rsidRDefault="00C24AF2" w:rsidP="00BB0D51">
      <w:pPr>
        <w:spacing w:line="240" w:lineRule="auto"/>
        <w:ind w:left="0" w:firstLine="0"/>
        <w:jc w:val="left"/>
        <w:rPr>
          <w:rFonts w:ascii="Times New Roman" w:hAnsi="Times New Roman"/>
          <w:sz w:val="20"/>
        </w:rPr>
      </w:pPr>
      <w:r w:rsidRPr="005C3E56">
        <w:rPr>
          <w:rFonts w:ascii="Times New Roman" w:hAnsi="Times New Roman"/>
          <w:sz w:val="20"/>
          <w:vertAlign w:val="superscript"/>
        </w:rPr>
        <w:footnoteRef/>
      </w:r>
      <w:r w:rsidRPr="005C3E56">
        <w:rPr>
          <w:rFonts w:ascii="Times New Roman" w:hAnsi="Times New Roman"/>
          <w:sz w:val="20"/>
          <w:vertAlign w:val="superscript"/>
        </w:rPr>
        <w:t xml:space="preserve"> </w:t>
      </w:r>
      <w:r w:rsidRPr="00312069">
        <w:rPr>
          <w:rFonts w:ascii="Times New Roman" w:hAnsi="Times New Roman"/>
          <w:i/>
          <w:sz w:val="20"/>
        </w:rPr>
        <w:t>W</w:t>
      </w:r>
      <w:r w:rsidR="000221FF">
        <w:rPr>
          <w:rFonts w:ascii="Times New Roman" w:hAnsi="Times New Roman"/>
          <w:i/>
          <w:sz w:val="20"/>
        </w:rPr>
        <w:t>ash. Utils. &amp; Transp. Comm’n</w:t>
      </w:r>
      <w:r w:rsidRPr="00312069">
        <w:rPr>
          <w:rFonts w:ascii="Times New Roman" w:hAnsi="Times New Roman"/>
          <w:i/>
          <w:sz w:val="20"/>
        </w:rPr>
        <w:t xml:space="preserve"> v. Avista Corp</w:t>
      </w:r>
      <w:r>
        <w:rPr>
          <w:rFonts w:ascii="Times New Roman" w:hAnsi="Times New Roman"/>
          <w:i/>
          <w:sz w:val="20"/>
        </w:rPr>
        <w:t>.</w:t>
      </w:r>
      <w:r w:rsidRPr="00312069">
        <w:rPr>
          <w:rFonts w:ascii="Times New Roman" w:hAnsi="Times New Roman"/>
          <w:i/>
          <w:sz w:val="20"/>
        </w:rPr>
        <w:t xml:space="preserve"> d/b/a Avista Util</w:t>
      </w:r>
      <w:r>
        <w:rPr>
          <w:rFonts w:ascii="Times New Roman" w:hAnsi="Times New Roman"/>
          <w:i/>
          <w:sz w:val="20"/>
        </w:rPr>
        <w:t>s.</w:t>
      </w:r>
      <w:r w:rsidRPr="00312069">
        <w:rPr>
          <w:rFonts w:ascii="Times New Roman" w:hAnsi="Times New Roman"/>
          <w:i/>
          <w:sz w:val="20"/>
        </w:rPr>
        <w:t xml:space="preserve">, </w:t>
      </w:r>
      <w:r w:rsidRPr="00312069">
        <w:rPr>
          <w:rFonts w:ascii="Times New Roman" w:hAnsi="Times New Roman"/>
          <w:sz w:val="20"/>
        </w:rPr>
        <w:t>Dockets UE-120436 and UG-120437, Order 09, Dockets UE-110876 and UG-110877, Order 14</w:t>
      </w:r>
      <w:r>
        <w:rPr>
          <w:rFonts w:ascii="Times New Roman" w:hAnsi="Times New Roman"/>
          <w:sz w:val="20"/>
        </w:rPr>
        <w:t>,</w:t>
      </w:r>
      <w:r w:rsidRPr="00312069">
        <w:rPr>
          <w:rFonts w:ascii="Times New Roman" w:hAnsi="Times New Roman"/>
          <w:sz w:val="20"/>
        </w:rPr>
        <w:t xml:space="preserve"> ¶</w:t>
      </w:r>
      <w:r>
        <w:rPr>
          <w:rFonts w:ascii="Times New Roman" w:hAnsi="Times New Roman"/>
          <w:sz w:val="20"/>
        </w:rPr>
        <w:t xml:space="preserve"> </w:t>
      </w:r>
      <w:r w:rsidRPr="00312069">
        <w:rPr>
          <w:rFonts w:ascii="Times New Roman" w:hAnsi="Times New Roman"/>
          <w:sz w:val="20"/>
        </w:rPr>
        <w:t>74 (Dec. 26, 2012)</w:t>
      </w:r>
      <w:r>
        <w:rPr>
          <w:rFonts w:ascii="Times New Roman" w:hAnsi="Times New Roman"/>
          <w:sz w:val="20"/>
        </w:rPr>
        <w:t>;</w:t>
      </w:r>
      <w:r w:rsidRPr="00312069">
        <w:rPr>
          <w:rFonts w:ascii="Times New Roman" w:hAnsi="Times New Roman"/>
          <w:sz w:val="20"/>
        </w:rPr>
        <w:t xml:space="preserve"> and </w:t>
      </w:r>
      <w:r w:rsidRPr="00312069">
        <w:rPr>
          <w:rFonts w:ascii="Times New Roman" w:hAnsi="Times New Roman"/>
          <w:i/>
          <w:sz w:val="20"/>
        </w:rPr>
        <w:t>WUTC v. Puget Sound Energy, Inc.</w:t>
      </w:r>
      <w:r w:rsidRPr="00312069">
        <w:rPr>
          <w:rFonts w:ascii="Times New Roman" w:hAnsi="Times New Roman"/>
          <w:sz w:val="20"/>
        </w:rPr>
        <w:t>, Dockets UE-121697 and UG-121705, Order 0</w:t>
      </w:r>
      <w:r w:rsidR="00757FA4">
        <w:rPr>
          <w:rFonts w:ascii="Times New Roman" w:hAnsi="Times New Roman"/>
          <w:sz w:val="20"/>
        </w:rPr>
        <w:t>7, and Dockets UE-130137 and UG-</w:t>
      </w:r>
      <w:r w:rsidRPr="00312069">
        <w:rPr>
          <w:rFonts w:ascii="Times New Roman" w:hAnsi="Times New Roman"/>
          <w:sz w:val="20"/>
        </w:rPr>
        <w:t>130138, Order 07</w:t>
      </w:r>
      <w:r>
        <w:rPr>
          <w:rFonts w:ascii="Times New Roman" w:hAnsi="Times New Roman"/>
          <w:sz w:val="20"/>
        </w:rPr>
        <w:t xml:space="preserve">, </w:t>
      </w:r>
      <w:r w:rsidRPr="00312069">
        <w:rPr>
          <w:rFonts w:ascii="Times New Roman" w:hAnsi="Times New Roman"/>
          <w:sz w:val="20"/>
        </w:rPr>
        <w:t>¶</w:t>
      </w:r>
      <w:r>
        <w:rPr>
          <w:rFonts w:ascii="Times New Roman" w:hAnsi="Times New Roman"/>
          <w:sz w:val="20"/>
        </w:rPr>
        <w:t xml:space="preserve"> </w:t>
      </w:r>
      <w:r w:rsidRPr="00312069">
        <w:rPr>
          <w:rFonts w:ascii="Times New Roman" w:hAnsi="Times New Roman"/>
          <w:sz w:val="20"/>
        </w:rPr>
        <w:t xml:space="preserve">58 (June 25, 2013). </w:t>
      </w:r>
    </w:p>
  </w:footnote>
  <w:footnote w:id="2">
    <w:p w:rsidR="00C24AF2" w:rsidRDefault="00C24AF2">
      <w:pPr>
        <w:pStyle w:val="FootnoteText"/>
        <w:ind w:left="144" w:hanging="144"/>
        <w:rPr>
          <w:rFonts w:ascii="Times New Roman" w:hAnsi="Times New Roman"/>
        </w:rPr>
      </w:pPr>
      <w:r w:rsidRPr="005C3E56">
        <w:rPr>
          <w:rFonts w:ascii="Times New Roman" w:hAnsi="Times New Roman"/>
          <w:vertAlign w:val="superscript"/>
        </w:rPr>
        <w:footnoteRef/>
      </w:r>
      <w:r w:rsidRPr="008D4851">
        <w:rPr>
          <w:rFonts w:ascii="Times New Roman" w:hAnsi="Times New Roman"/>
          <w:vertAlign w:val="superscript"/>
        </w:rPr>
        <w:t xml:space="preserve"> </w:t>
      </w:r>
      <w:r w:rsidRPr="00312069">
        <w:rPr>
          <w:rFonts w:ascii="Times New Roman" w:hAnsi="Times New Roman"/>
        </w:rPr>
        <w:t>Regulatory Research Associates, Regulatory Focus, July 9, 2013</w:t>
      </w:r>
      <w:r>
        <w:rPr>
          <w:rFonts w:ascii="Times New Roman" w:hAnsi="Times New Roman"/>
        </w:rPr>
        <w:t xml:space="preserve">; </w:t>
      </w:r>
      <w:r w:rsidRPr="00312069">
        <w:rPr>
          <w:rFonts w:ascii="Times New Roman" w:hAnsi="Times New Roman"/>
        </w:rPr>
        <w:t xml:space="preserve">Exhibit No.___(SCH-11) at </w:t>
      </w:r>
      <w:r>
        <w:rPr>
          <w:rFonts w:ascii="Times New Roman" w:hAnsi="Times New Roman"/>
        </w:rPr>
        <w:t xml:space="preserve">page </w:t>
      </w:r>
      <w:r w:rsidRPr="00312069">
        <w:rPr>
          <w:rFonts w:ascii="Times New Roman" w:hAnsi="Times New Roman"/>
        </w:rPr>
        <w:t>2.</w:t>
      </w:r>
    </w:p>
  </w:footnote>
  <w:footnote w:id="3">
    <w:p w:rsidR="00C24AF2" w:rsidRDefault="00C24AF2">
      <w:pPr>
        <w:pStyle w:val="FootnoteText"/>
      </w:pPr>
      <w:r w:rsidRPr="005C3E56">
        <w:rPr>
          <w:rFonts w:ascii="Times New Roman" w:hAnsi="Times New Roman"/>
          <w:vertAlign w:val="superscript"/>
        </w:rPr>
        <w:footnoteRef/>
      </w:r>
      <w:r>
        <w:t xml:space="preserve"> </w:t>
      </w:r>
      <w:r w:rsidRPr="008D4851">
        <w:t xml:space="preserve">FOMC Press Release, </w:t>
      </w:r>
      <w:hyperlink r:id="rId1" w:history="1">
        <w:r w:rsidRPr="008D4851">
          <w:rPr>
            <w:rStyle w:val="Hyperlink"/>
          </w:rPr>
          <w:t>www.federalreserve.gov</w:t>
        </w:r>
      </w:hyperlink>
      <w:r w:rsidRPr="008D4851">
        <w:t xml:space="preserve"> , June 19, 2013</w:t>
      </w:r>
      <w:r>
        <w:t xml:space="preserve"> (</w:t>
      </w:r>
      <w:r w:rsidRPr="008D4851">
        <w:t>emphasis added</w:t>
      </w:r>
      <w:r>
        <w:t>).</w:t>
      </w:r>
    </w:p>
  </w:footnote>
  <w:footnote w:id="4">
    <w:p w:rsidR="00C24AF2" w:rsidRPr="005A2371" w:rsidRDefault="00C24AF2" w:rsidP="00312069">
      <w:pPr>
        <w:pStyle w:val="FootnoteText"/>
        <w:rPr>
          <w:rFonts w:ascii="Times New Roman" w:hAnsi="Times New Roman"/>
        </w:rPr>
      </w:pPr>
      <w:r w:rsidRPr="005C3E56">
        <w:rPr>
          <w:rFonts w:ascii="Times New Roman" w:hAnsi="Times New Roman"/>
          <w:vertAlign w:val="superscript"/>
        </w:rPr>
        <w:footnoteRef/>
      </w:r>
      <w:r w:rsidRPr="005C3E56">
        <w:rPr>
          <w:rFonts w:ascii="Times New Roman" w:hAnsi="Times New Roman"/>
          <w:vertAlign w:val="superscript"/>
        </w:rPr>
        <w:t xml:space="preserve"> </w:t>
      </w:r>
      <w:r w:rsidRPr="00BB0D51">
        <w:rPr>
          <w:rFonts w:ascii="Times New Roman" w:hAnsi="Times New Roman"/>
        </w:rPr>
        <w:t>Exhibit No.___(SCH-</w:t>
      </w:r>
      <w:r>
        <w:rPr>
          <w:rFonts w:ascii="Times New Roman" w:hAnsi="Times New Roman"/>
        </w:rPr>
        <w:t>12</w:t>
      </w:r>
      <w:r w:rsidRPr="00BB0D51">
        <w:rPr>
          <w:rFonts w:ascii="Times New Roman" w:hAnsi="Times New Roman"/>
        </w:rPr>
        <w:t xml:space="preserve">) at </w:t>
      </w:r>
      <w:r>
        <w:rPr>
          <w:rFonts w:ascii="Times New Roman" w:hAnsi="Times New Roman"/>
        </w:rPr>
        <w:t>page 4</w:t>
      </w:r>
      <w:r w:rsidRPr="00BB0D51">
        <w:rPr>
          <w:rFonts w:ascii="Times New Roman" w:hAnsi="Times New Roman"/>
        </w:rPr>
        <w:t>.</w:t>
      </w:r>
    </w:p>
  </w:footnote>
  <w:footnote w:id="5">
    <w:p w:rsidR="00C24AF2" w:rsidRPr="00660211" w:rsidRDefault="00C24AF2" w:rsidP="00660211">
      <w:pPr>
        <w:pStyle w:val="FootnoteText"/>
        <w:rPr>
          <w:rFonts w:ascii="Times New Roman" w:hAnsi="Times New Roman"/>
        </w:rPr>
      </w:pPr>
      <w:r w:rsidRPr="005C3E56">
        <w:rPr>
          <w:rFonts w:ascii="Times New Roman" w:hAnsi="Times New Roman"/>
          <w:vertAlign w:val="superscript"/>
        </w:rPr>
        <w:footnoteRef/>
      </w:r>
      <w:r w:rsidRPr="00660211">
        <w:rPr>
          <w:rFonts w:ascii="Times New Roman" w:hAnsi="Times New Roman"/>
        </w:rPr>
        <w:t xml:space="preserve"> Exhibit</w:t>
      </w:r>
      <w:r w:rsidR="009638FB">
        <w:rPr>
          <w:rFonts w:ascii="Times New Roman" w:hAnsi="Times New Roman"/>
        </w:rPr>
        <w:t xml:space="preserve"> No.___</w:t>
      </w:r>
      <w:r w:rsidRPr="00660211">
        <w:rPr>
          <w:rFonts w:ascii="Times New Roman" w:hAnsi="Times New Roman"/>
        </w:rPr>
        <w:t>(KLE-1T) at page 36, lines 7-8.</w:t>
      </w:r>
    </w:p>
  </w:footnote>
  <w:footnote w:id="6">
    <w:p w:rsidR="00C24AF2" w:rsidRPr="00660211" w:rsidRDefault="00C24AF2" w:rsidP="00660211">
      <w:pPr>
        <w:pStyle w:val="FootnoteText"/>
        <w:rPr>
          <w:rFonts w:ascii="Times New Roman" w:hAnsi="Times New Roman"/>
        </w:rPr>
      </w:pPr>
      <w:r w:rsidRPr="005C3E56">
        <w:rPr>
          <w:rFonts w:ascii="Times New Roman" w:hAnsi="Times New Roman"/>
          <w:vertAlign w:val="superscript"/>
        </w:rPr>
        <w:footnoteRef/>
      </w:r>
      <w:r w:rsidRPr="00660211">
        <w:rPr>
          <w:rFonts w:ascii="Times New Roman" w:hAnsi="Times New Roman"/>
        </w:rPr>
        <w:t xml:space="preserve"> </w:t>
      </w:r>
      <w:r w:rsidRPr="00660211">
        <w:rPr>
          <w:rFonts w:ascii="Times New Roman" w:hAnsi="Times New Roman"/>
          <w:i/>
        </w:rPr>
        <w:t>Id.</w:t>
      </w:r>
      <w:r w:rsidRPr="00660211">
        <w:rPr>
          <w:rFonts w:ascii="Times New Roman" w:hAnsi="Times New Roman"/>
        </w:rPr>
        <w:t xml:space="preserve"> at 34, lines 2-3.</w:t>
      </w:r>
    </w:p>
  </w:footnote>
  <w:footnote w:id="7">
    <w:p w:rsidR="00C24AF2" w:rsidRPr="00312069" w:rsidRDefault="00C24AF2" w:rsidP="005C3E56">
      <w:pPr>
        <w:pStyle w:val="EntergyTestimony"/>
        <w:spacing w:line="240" w:lineRule="auto"/>
        <w:jc w:val="left"/>
        <w:rPr>
          <w:rFonts w:ascii="Times New Roman" w:hAnsi="Times New Roman"/>
        </w:rPr>
      </w:pPr>
      <w:r w:rsidRPr="005C3E56">
        <w:rPr>
          <w:rFonts w:ascii="Times New Roman" w:hAnsi="Times New Roman" w:cs="Times New Roman"/>
          <w:sz w:val="20"/>
          <w:szCs w:val="20"/>
          <w:vertAlign w:val="superscript"/>
        </w:rPr>
        <w:footnoteRef/>
      </w:r>
      <w:r w:rsidRPr="00660211">
        <w:rPr>
          <w:rFonts w:ascii="Times New Roman" w:hAnsi="Times New Roman" w:cs="Times New Roman"/>
          <w:sz w:val="20"/>
          <w:szCs w:val="20"/>
        </w:rPr>
        <w:t xml:space="preserve"> </w:t>
      </w:r>
      <w:r w:rsidRPr="00660211">
        <w:rPr>
          <w:rFonts w:ascii="Times New Roman" w:hAnsi="Times New Roman" w:cs="Times New Roman"/>
          <w:i/>
          <w:sz w:val="20"/>
          <w:szCs w:val="20"/>
        </w:rPr>
        <w:t>Id.</w:t>
      </w:r>
      <w:r w:rsidRPr="00660211">
        <w:rPr>
          <w:rFonts w:ascii="Times New Roman" w:hAnsi="Times New Roman" w:cs="Times New Roman"/>
          <w:sz w:val="20"/>
          <w:szCs w:val="20"/>
        </w:rPr>
        <w:t xml:space="preserve"> at 36, lines 1-2</w:t>
      </w:r>
      <w:r>
        <w:rPr>
          <w:rFonts w:ascii="Times New Roman" w:hAnsi="Times New Roman" w:cs="Times New Roman"/>
          <w:sz w:val="20"/>
          <w:szCs w:val="20"/>
        </w:rPr>
        <w:t>.</w:t>
      </w:r>
    </w:p>
  </w:footnote>
  <w:footnote w:id="8">
    <w:p w:rsidR="00C24AF2" w:rsidRPr="00BB0D51" w:rsidRDefault="00C24AF2" w:rsidP="00BB0D51">
      <w:pPr>
        <w:pStyle w:val="FootnoteText"/>
        <w:ind w:right="720"/>
        <w:rPr>
          <w:rFonts w:ascii="Times New Roman" w:hAnsi="Times New Roman"/>
        </w:rPr>
      </w:pPr>
      <w:r w:rsidRPr="005C3E56">
        <w:rPr>
          <w:rFonts w:ascii="Times New Roman" w:hAnsi="Times New Roman"/>
          <w:vertAlign w:val="superscript"/>
        </w:rPr>
        <w:footnoteRef/>
      </w:r>
      <w:r w:rsidRPr="00312069">
        <w:rPr>
          <w:rFonts w:ascii="Times New Roman" w:hAnsi="Times New Roman"/>
        </w:rPr>
        <w:t xml:space="preserve"> </w:t>
      </w:r>
      <w:r w:rsidRPr="00312069">
        <w:rPr>
          <w:rFonts w:ascii="Times New Roman" w:hAnsi="Times New Roman"/>
          <w:color w:val="000000"/>
        </w:rPr>
        <w:t>Exh</w:t>
      </w:r>
      <w:r>
        <w:rPr>
          <w:rFonts w:ascii="Times New Roman" w:hAnsi="Times New Roman"/>
          <w:color w:val="000000"/>
        </w:rPr>
        <w:t>ibit</w:t>
      </w:r>
      <w:r w:rsidRPr="00312069">
        <w:rPr>
          <w:rFonts w:ascii="Times New Roman" w:hAnsi="Times New Roman"/>
          <w:color w:val="000000"/>
        </w:rPr>
        <w:t xml:space="preserve"> No.___(KLE-1T)</w:t>
      </w:r>
      <w:r>
        <w:rPr>
          <w:rFonts w:ascii="Times New Roman" w:hAnsi="Times New Roman"/>
          <w:color w:val="000000"/>
        </w:rPr>
        <w:t xml:space="preserve"> at page 8.</w:t>
      </w:r>
    </w:p>
  </w:footnote>
  <w:footnote w:id="9">
    <w:p w:rsidR="00C24AF2" w:rsidRPr="005A2371" w:rsidRDefault="00C24AF2" w:rsidP="00312069">
      <w:pPr>
        <w:pStyle w:val="FootnoteText"/>
        <w:rPr>
          <w:rFonts w:ascii="Times New Roman" w:hAnsi="Times New Roman"/>
        </w:rPr>
      </w:pPr>
      <w:r w:rsidRPr="005C3E56">
        <w:rPr>
          <w:rFonts w:ascii="Times New Roman" w:hAnsi="Times New Roman"/>
          <w:vertAlign w:val="superscript"/>
        </w:rPr>
        <w:footnoteRef/>
      </w:r>
      <w:r w:rsidRPr="00312069">
        <w:rPr>
          <w:rFonts w:ascii="Times New Roman" w:hAnsi="Times New Roman"/>
        </w:rPr>
        <w:t xml:space="preserve"> </w:t>
      </w:r>
      <w:r w:rsidRPr="00312069">
        <w:rPr>
          <w:rFonts w:ascii="Times New Roman" w:hAnsi="Times New Roman"/>
          <w:i/>
          <w:color w:val="000000"/>
        </w:rPr>
        <w:t>See</w:t>
      </w:r>
      <w:r w:rsidRPr="00312069">
        <w:rPr>
          <w:rFonts w:ascii="Times New Roman" w:hAnsi="Times New Roman"/>
          <w:color w:val="000000"/>
        </w:rPr>
        <w:t xml:space="preserve"> Exh</w:t>
      </w:r>
      <w:r>
        <w:rPr>
          <w:rFonts w:ascii="Times New Roman" w:hAnsi="Times New Roman"/>
          <w:color w:val="000000"/>
        </w:rPr>
        <w:t>ibit</w:t>
      </w:r>
      <w:r w:rsidR="00BF6CA3">
        <w:rPr>
          <w:rFonts w:ascii="Times New Roman" w:hAnsi="Times New Roman"/>
          <w:color w:val="000000"/>
        </w:rPr>
        <w:t xml:space="preserve"> No.</w:t>
      </w:r>
      <w:r w:rsidRPr="00312069">
        <w:rPr>
          <w:rFonts w:ascii="Times New Roman" w:hAnsi="Times New Roman"/>
          <w:color w:val="000000"/>
        </w:rPr>
        <w:t>___(SCH-1T)</w:t>
      </w:r>
      <w:r>
        <w:rPr>
          <w:rFonts w:ascii="Times New Roman" w:hAnsi="Times New Roman"/>
          <w:color w:val="000000"/>
        </w:rPr>
        <w:t xml:space="preserve"> at</w:t>
      </w:r>
      <w:r w:rsidRPr="00312069">
        <w:rPr>
          <w:rFonts w:ascii="Times New Roman" w:hAnsi="Times New Roman"/>
          <w:color w:val="000000"/>
        </w:rPr>
        <w:t xml:space="preserve"> </w:t>
      </w:r>
      <w:r>
        <w:rPr>
          <w:rFonts w:ascii="Times New Roman" w:hAnsi="Times New Roman"/>
          <w:color w:val="000000"/>
        </w:rPr>
        <w:t xml:space="preserve">pages 3-4 </w:t>
      </w:r>
      <w:r w:rsidRPr="00312069">
        <w:rPr>
          <w:rFonts w:ascii="Times New Roman" w:hAnsi="Times New Roman"/>
          <w:color w:val="000000"/>
        </w:rPr>
        <w:t>for proxy group selection criteria</w:t>
      </w:r>
      <w:r w:rsidRPr="00BB0D51">
        <w:rPr>
          <w:rFonts w:ascii="Times New Roman" w:hAnsi="Times New Roman"/>
          <w:color w:val="000000"/>
        </w:rPr>
        <w:t>.</w:t>
      </w:r>
    </w:p>
  </w:footnote>
  <w:footnote w:id="10">
    <w:p w:rsidR="00C24AF2" w:rsidRPr="00312069" w:rsidRDefault="00C24AF2" w:rsidP="00312069">
      <w:pPr>
        <w:pStyle w:val="FootnoteText"/>
        <w:rPr>
          <w:rFonts w:ascii="Times New Roman" w:hAnsi="Times New Roman"/>
        </w:rPr>
      </w:pPr>
      <w:r w:rsidRPr="005C3E56">
        <w:rPr>
          <w:rFonts w:ascii="Times New Roman" w:hAnsi="Times New Roman"/>
          <w:vertAlign w:val="superscript"/>
        </w:rPr>
        <w:footnoteRef/>
      </w:r>
      <w:r w:rsidRPr="00312069">
        <w:rPr>
          <w:rFonts w:ascii="Times New Roman" w:hAnsi="Times New Roman"/>
        </w:rPr>
        <w:t xml:space="preserve"> Exh</w:t>
      </w:r>
      <w:r>
        <w:rPr>
          <w:rFonts w:ascii="Times New Roman" w:hAnsi="Times New Roman"/>
        </w:rPr>
        <w:t>ibit</w:t>
      </w:r>
      <w:r w:rsidRPr="00312069">
        <w:rPr>
          <w:rFonts w:ascii="Times New Roman" w:hAnsi="Times New Roman"/>
        </w:rPr>
        <w:t xml:space="preserve"> No.___(KLE-1T)</w:t>
      </w:r>
      <w:r>
        <w:rPr>
          <w:rFonts w:ascii="Times New Roman" w:hAnsi="Times New Roman"/>
        </w:rPr>
        <w:t xml:space="preserve"> at page 32, lines 18-19.</w:t>
      </w:r>
    </w:p>
  </w:footnote>
  <w:footnote w:id="11">
    <w:p w:rsidR="00C24AF2" w:rsidRPr="00312069" w:rsidRDefault="00C24AF2" w:rsidP="00312069">
      <w:pPr>
        <w:pStyle w:val="FootnoteText"/>
        <w:rPr>
          <w:rFonts w:ascii="Times New Roman" w:hAnsi="Times New Roman"/>
        </w:rPr>
      </w:pPr>
      <w:r w:rsidRPr="005C3E56">
        <w:rPr>
          <w:rFonts w:ascii="Times New Roman" w:hAnsi="Times New Roman"/>
          <w:vertAlign w:val="superscript"/>
        </w:rPr>
        <w:footnoteRef/>
      </w:r>
      <w:r w:rsidRPr="00312069">
        <w:rPr>
          <w:rFonts w:ascii="Times New Roman" w:hAnsi="Times New Roman"/>
        </w:rPr>
        <w:t xml:space="preserve"> Docket UE-100749, </w:t>
      </w:r>
      <w:r>
        <w:rPr>
          <w:rFonts w:ascii="Times New Roman" w:hAnsi="Times New Roman"/>
        </w:rPr>
        <w:t xml:space="preserve">Testimony of Kenneth L. </w:t>
      </w:r>
      <w:r w:rsidRPr="00312069">
        <w:rPr>
          <w:rFonts w:ascii="Times New Roman" w:hAnsi="Times New Roman"/>
          <w:color w:val="000000"/>
        </w:rPr>
        <w:t>Elgin, Exh</w:t>
      </w:r>
      <w:r>
        <w:rPr>
          <w:rFonts w:ascii="Times New Roman" w:hAnsi="Times New Roman"/>
          <w:color w:val="000000"/>
        </w:rPr>
        <w:t>ibit</w:t>
      </w:r>
      <w:r w:rsidRPr="00312069">
        <w:rPr>
          <w:rFonts w:ascii="Times New Roman" w:hAnsi="Times New Roman"/>
          <w:color w:val="000000"/>
        </w:rPr>
        <w:t xml:space="preserve"> No.</w:t>
      </w:r>
      <w:r>
        <w:rPr>
          <w:rFonts w:ascii="Times New Roman" w:hAnsi="Times New Roman"/>
          <w:color w:val="000000"/>
        </w:rPr>
        <w:t>___(</w:t>
      </w:r>
      <w:r w:rsidRPr="00312069">
        <w:rPr>
          <w:rFonts w:ascii="Times New Roman" w:hAnsi="Times New Roman"/>
          <w:color w:val="000000"/>
        </w:rPr>
        <w:t>KLE-1T</w:t>
      </w:r>
      <w:r>
        <w:rPr>
          <w:rFonts w:ascii="Times New Roman" w:hAnsi="Times New Roman"/>
          <w:color w:val="000000"/>
        </w:rPr>
        <w:t>) at</w:t>
      </w:r>
      <w:r w:rsidRPr="00312069">
        <w:rPr>
          <w:rFonts w:ascii="Times New Roman" w:hAnsi="Times New Roman"/>
          <w:color w:val="000000"/>
        </w:rPr>
        <w:t xml:space="preserve"> </w:t>
      </w:r>
      <w:r>
        <w:rPr>
          <w:rFonts w:ascii="Times New Roman" w:hAnsi="Times New Roman"/>
          <w:color w:val="000000"/>
        </w:rPr>
        <w:t xml:space="preserve">page </w:t>
      </w:r>
      <w:r w:rsidRPr="00312069">
        <w:rPr>
          <w:rFonts w:ascii="Times New Roman" w:hAnsi="Times New Roman"/>
          <w:color w:val="000000"/>
        </w:rPr>
        <w:t>38</w:t>
      </w:r>
      <w:r>
        <w:rPr>
          <w:rFonts w:ascii="Times New Roman" w:hAnsi="Times New Roman"/>
          <w:color w:val="000000"/>
        </w:rPr>
        <w:t xml:space="preserve">, lines </w:t>
      </w:r>
      <w:r w:rsidRPr="00312069">
        <w:rPr>
          <w:rFonts w:ascii="Times New Roman" w:hAnsi="Times New Roman"/>
          <w:color w:val="000000"/>
        </w:rPr>
        <w:t>9-10</w:t>
      </w:r>
      <w:r>
        <w:rPr>
          <w:rFonts w:ascii="Times New Roman" w:hAnsi="Times New Roman"/>
          <w:color w:val="000000"/>
        </w:rPr>
        <w:t>.</w:t>
      </w:r>
    </w:p>
  </w:footnote>
  <w:footnote w:id="12">
    <w:p w:rsidR="00C24AF2" w:rsidRPr="005A2371" w:rsidRDefault="00C24AF2" w:rsidP="00312069">
      <w:pPr>
        <w:pStyle w:val="FootnoteText"/>
        <w:rPr>
          <w:rFonts w:ascii="Times New Roman" w:hAnsi="Times New Roman"/>
        </w:rPr>
      </w:pPr>
      <w:r w:rsidRPr="005C3E56">
        <w:rPr>
          <w:rFonts w:ascii="Times New Roman" w:hAnsi="Times New Roman"/>
          <w:vertAlign w:val="superscript"/>
        </w:rPr>
        <w:footnoteRef/>
      </w:r>
      <w:r w:rsidRPr="00312069">
        <w:rPr>
          <w:rFonts w:ascii="Times New Roman" w:hAnsi="Times New Roman"/>
        </w:rPr>
        <w:t xml:space="preserve"> Exh</w:t>
      </w:r>
      <w:r>
        <w:rPr>
          <w:rFonts w:ascii="Times New Roman" w:hAnsi="Times New Roman"/>
        </w:rPr>
        <w:t>ibit</w:t>
      </w:r>
      <w:r w:rsidRPr="00312069">
        <w:rPr>
          <w:rFonts w:ascii="Times New Roman" w:hAnsi="Times New Roman"/>
        </w:rPr>
        <w:t xml:space="preserve"> No.___(KLE-1T)</w:t>
      </w:r>
      <w:r>
        <w:rPr>
          <w:rFonts w:ascii="Times New Roman" w:hAnsi="Times New Roman"/>
        </w:rPr>
        <w:t xml:space="preserve"> at page 49, lines 1-4</w:t>
      </w:r>
      <w:r w:rsidRPr="00312069">
        <w:rPr>
          <w:rFonts w:ascii="Times New Roman" w:hAnsi="Times New Roman"/>
        </w:rPr>
        <w:t>.</w:t>
      </w:r>
    </w:p>
  </w:footnote>
  <w:footnote w:id="13">
    <w:p w:rsidR="00C24AF2" w:rsidRPr="00312069" w:rsidRDefault="00C24AF2" w:rsidP="00312069">
      <w:pPr>
        <w:pStyle w:val="FootnoteText"/>
        <w:rPr>
          <w:rFonts w:ascii="Times New Roman" w:hAnsi="Times New Roman"/>
        </w:rPr>
      </w:pPr>
      <w:r w:rsidRPr="005C3E56">
        <w:rPr>
          <w:rFonts w:ascii="Times New Roman" w:hAnsi="Times New Roman"/>
          <w:vertAlign w:val="superscript"/>
        </w:rPr>
        <w:footnoteRef/>
      </w:r>
      <w:r w:rsidRPr="005C3E56">
        <w:rPr>
          <w:rFonts w:ascii="Times New Roman" w:hAnsi="Times New Roman"/>
          <w:vertAlign w:val="superscript"/>
        </w:rPr>
        <w:t xml:space="preserve"> </w:t>
      </w:r>
      <w:r w:rsidRPr="00312069">
        <w:rPr>
          <w:rFonts w:ascii="Times New Roman" w:hAnsi="Times New Roman"/>
        </w:rPr>
        <w:t>Exh</w:t>
      </w:r>
      <w:r>
        <w:rPr>
          <w:rFonts w:ascii="Times New Roman" w:hAnsi="Times New Roman"/>
        </w:rPr>
        <w:t>ibit</w:t>
      </w:r>
      <w:r w:rsidR="00AE3AB3">
        <w:rPr>
          <w:rFonts w:ascii="Times New Roman" w:hAnsi="Times New Roman"/>
        </w:rPr>
        <w:t xml:space="preserve"> No.</w:t>
      </w:r>
      <w:r w:rsidRPr="00312069">
        <w:rPr>
          <w:rFonts w:ascii="Times New Roman" w:hAnsi="Times New Roman"/>
        </w:rPr>
        <w:t>___(MPG-1T</w:t>
      </w:r>
      <w:r>
        <w:rPr>
          <w:rFonts w:ascii="Times New Roman" w:hAnsi="Times New Roman"/>
        </w:rPr>
        <w:t xml:space="preserve">) at page </w:t>
      </w:r>
      <w:r w:rsidRPr="00312069">
        <w:rPr>
          <w:rFonts w:ascii="Times New Roman" w:hAnsi="Times New Roman"/>
        </w:rPr>
        <w:t>20</w:t>
      </w:r>
      <w:r>
        <w:rPr>
          <w:rFonts w:ascii="Times New Roman" w:hAnsi="Times New Roman"/>
        </w:rPr>
        <w:t>, lines 13-14</w:t>
      </w:r>
      <w:r w:rsidRPr="00312069">
        <w:rPr>
          <w:rFonts w:ascii="Times New Roman" w:hAnsi="Times New Roman"/>
        </w:rPr>
        <w:t>.</w:t>
      </w:r>
    </w:p>
  </w:footnote>
  <w:footnote w:id="14">
    <w:p w:rsidR="00C24AF2" w:rsidRPr="0078433E" w:rsidRDefault="00C24AF2" w:rsidP="00312069">
      <w:pPr>
        <w:pStyle w:val="FootnoteText"/>
        <w:rPr>
          <w:rFonts w:ascii="Times New Roman" w:hAnsi="Times New Roman"/>
        </w:rPr>
      </w:pPr>
      <w:r w:rsidRPr="0078433E">
        <w:rPr>
          <w:rFonts w:ascii="Times New Roman" w:hAnsi="Times New Roman"/>
          <w:vertAlign w:val="superscript"/>
        </w:rPr>
        <w:footnoteRef/>
      </w:r>
      <w:r w:rsidRPr="0078433E">
        <w:rPr>
          <w:rFonts w:ascii="Times New Roman" w:hAnsi="Times New Roman"/>
        </w:rPr>
        <w:t xml:space="preserve"> Exhibit</w:t>
      </w:r>
      <w:r w:rsidR="0078433E" w:rsidRPr="0078433E">
        <w:rPr>
          <w:rFonts w:ascii="Times New Roman" w:hAnsi="Times New Roman"/>
        </w:rPr>
        <w:t xml:space="preserve"> No.</w:t>
      </w:r>
      <w:r w:rsidRPr="0078433E">
        <w:rPr>
          <w:rFonts w:ascii="Times New Roman" w:hAnsi="Times New Roman"/>
        </w:rPr>
        <w:t>___(KLE-1T) at pages 50-54.</w:t>
      </w:r>
    </w:p>
  </w:footnote>
  <w:footnote w:id="15">
    <w:p w:rsidR="00C24AF2" w:rsidRPr="0078433E" w:rsidRDefault="00C24AF2" w:rsidP="00312069">
      <w:pPr>
        <w:spacing w:line="240" w:lineRule="auto"/>
        <w:ind w:left="0" w:firstLine="0"/>
        <w:jc w:val="left"/>
        <w:rPr>
          <w:rFonts w:ascii="Times New Roman" w:hAnsi="Times New Roman"/>
          <w:sz w:val="20"/>
        </w:rPr>
      </w:pPr>
      <w:r w:rsidRPr="0078433E">
        <w:rPr>
          <w:rFonts w:ascii="Times New Roman" w:hAnsi="Times New Roman"/>
          <w:sz w:val="20"/>
          <w:vertAlign w:val="superscript"/>
        </w:rPr>
        <w:footnoteRef/>
      </w:r>
      <w:r w:rsidRPr="0078433E">
        <w:rPr>
          <w:rFonts w:ascii="Times New Roman" w:hAnsi="Times New Roman"/>
          <w:sz w:val="20"/>
        </w:rPr>
        <w:t xml:space="preserve"> In PacifiCorp’s 2005 general rate case, the Commission found that GDP growth rates used in the DCF model should be forward looking, rather than an historical average.  </w:t>
      </w:r>
      <w:r w:rsidRPr="0078433E">
        <w:rPr>
          <w:rFonts w:ascii="Times New Roman" w:hAnsi="Times New Roman"/>
          <w:i/>
          <w:sz w:val="20"/>
        </w:rPr>
        <w:t>W</w:t>
      </w:r>
      <w:r w:rsidR="00386A39">
        <w:rPr>
          <w:rFonts w:ascii="Times New Roman" w:hAnsi="Times New Roman"/>
          <w:i/>
          <w:sz w:val="20"/>
        </w:rPr>
        <w:t>ash. Utils. &amp; Transp. Comm’n</w:t>
      </w:r>
      <w:r w:rsidRPr="0078433E">
        <w:rPr>
          <w:rFonts w:ascii="Times New Roman" w:hAnsi="Times New Roman"/>
          <w:i/>
          <w:sz w:val="20"/>
        </w:rPr>
        <w:t xml:space="preserve"> v. PacifiCorp d/b/a/Pacific Power &amp; Light Company</w:t>
      </w:r>
      <w:r w:rsidRPr="0078433E">
        <w:rPr>
          <w:rFonts w:ascii="Times New Roman" w:hAnsi="Times New Roman"/>
          <w:sz w:val="20"/>
        </w:rPr>
        <w:t>, Docket UE-050684, Order 4, ¶ 261 (April 17, 2006).  As I explain above, my approach conforms to this directive, and Mr. Elgin is incorrect that my GDP growth rate is not a forward-looking estimate.</w:t>
      </w:r>
    </w:p>
  </w:footnote>
  <w:footnote w:id="16">
    <w:p w:rsidR="00C24AF2" w:rsidRPr="0078433E" w:rsidRDefault="00C24AF2">
      <w:pPr>
        <w:pStyle w:val="FootnoteText"/>
        <w:rPr>
          <w:rFonts w:ascii="Times New Roman" w:hAnsi="Times New Roman"/>
        </w:rPr>
      </w:pPr>
      <w:r w:rsidRPr="0078433E">
        <w:rPr>
          <w:rFonts w:ascii="Times New Roman" w:hAnsi="Times New Roman"/>
          <w:vertAlign w:val="superscript"/>
        </w:rPr>
        <w:footnoteRef/>
      </w:r>
      <w:r w:rsidRPr="0078433E">
        <w:rPr>
          <w:rFonts w:ascii="Times New Roman" w:hAnsi="Times New Roman"/>
        </w:rPr>
        <w:t xml:space="preserve"> Exhibit No.___(SCH-14) at page 1.</w:t>
      </w:r>
    </w:p>
  </w:footnote>
  <w:footnote w:id="17">
    <w:p w:rsidR="00C24AF2" w:rsidRDefault="00C24AF2">
      <w:pPr>
        <w:pStyle w:val="FootnoteText"/>
      </w:pPr>
      <w:r w:rsidRPr="0078433E">
        <w:rPr>
          <w:rFonts w:ascii="Times New Roman" w:hAnsi="Times New Roman"/>
          <w:vertAlign w:val="superscript"/>
        </w:rPr>
        <w:footnoteRef/>
      </w:r>
      <w:r w:rsidRPr="0078433E">
        <w:rPr>
          <w:rFonts w:ascii="Times New Roman" w:hAnsi="Times New Roman"/>
        </w:rPr>
        <w:t xml:space="preserve"> </w:t>
      </w:r>
      <w:r w:rsidRPr="0078433E">
        <w:rPr>
          <w:rFonts w:ascii="Times New Roman" w:hAnsi="Times New Roman"/>
          <w:i/>
        </w:rPr>
        <w:t>Id.</w:t>
      </w:r>
      <w:r w:rsidRPr="0078433E">
        <w:rPr>
          <w:rFonts w:ascii="Times New Roman" w:hAnsi="Times New Roman"/>
        </w:rPr>
        <w:t xml:space="preserve"> at 2.</w:t>
      </w:r>
    </w:p>
  </w:footnote>
  <w:footnote w:id="18">
    <w:p w:rsidR="00C24AF2" w:rsidRPr="004A1D61" w:rsidRDefault="00C24AF2" w:rsidP="00312069">
      <w:pPr>
        <w:pStyle w:val="FootnoteText"/>
        <w:rPr>
          <w:rFonts w:ascii="Times New Roman" w:hAnsi="Times New Roman"/>
        </w:rPr>
      </w:pPr>
      <w:r w:rsidRPr="001D562B">
        <w:rPr>
          <w:vertAlign w:val="superscript"/>
        </w:rPr>
        <w:footnoteRef/>
      </w:r>
      <w:r w:rsidRPr="004A1D61">
        <w:rPr>
          <w:rFonts w:ascii="Times New Roman" w:hAnsi="Times New Roman"/>
        </w:rPr>
        <w:t xml:space="preserve"> </w:t>
      </w:r>
      <w:r w:rsidRPr="009064E9">
        <w:rPr>
          <w:rFonts w:ascii="Times New Roman" w:hAnsi="Times New Roman"/>
          <w:i/>
        </w:rPr>
        <w:t>See</w:t>
      </w:r>
      <w:r w:rsidRPr="004A1D61">
        <w:rPr>
          <w:rFonts w:ascii="Times New Roman" w:hAnsi="Times New Roman"/>
        </w:rPr>
        <w:t xml:space="preserve"> Exh</w:t>
      </w:r>
      <w:r>
        <w:rPr>
          <w:rFonts w:ascii="Times New Roman" w:hAnsi="Times New Roman"/>
        </w:rPr>
        <w:t>ibit</w:t>
      </w:r>
      <w:r w:rsidR="00E80C11">
        <w:rPr>
          <w:rFonts w:ascii="Times New Roman" w:hAnsi="Times New Roman"/>
        </w:rPr>
        <w:t xml:space="preserve"> No.</w:t>
      </w:r>
      <w:r w:rsidRPr="004A1D61">
        <w:rPr>
          <w:rFonts w:ascii="Times New Roman" w:hAnsi="Times New Roman"/>
        </w:rPr>
        <w:t>___(MPG-1T)</w:t>
      </w:r>
      <w:r>
        <w:rPr>
          <w:rFonts w:ascii="Times New Roman" w:hAnsi="Times New Roman"/>
        </w:rPr>
        <w:t xml:space="preserve"> at page 39, line 12</w:t>
      </w:r>
      <w:r w:rsidRPr="004A1D61">
        <w:rPr>
          <w:rFonts w:ascii="Times New Roman" w:hAnsi="Times New Roman"/>
        </w:rPr>
        <w:t>.</w:t>
      </w:r>
    </w:p>
  </w:footnote>
  <w:footnote w:id="19">
    <w:p w:rsidR="00C24AF2" w:rsidRPr="005A2371" w:rsidRDefault="00C24AF2" w:rsidP="00312069">
      <w:pPr>
        <w:pStyle w:val="FootnoteText"/>
        <w:rPr>
          <w:rFonts w:ascii="Times New Roman" w:hAnsi="Times New Roman"/>
        </w:rPr>
      </w:pPr>
      <w:r w:rsidRPr="001D562B">
        <w:rPr>
          <w:vertAlign w:val="superscript"/>
        </w:rPr>
        <w:footnoteRef/>
      </w:r>
      <w:r w:rsidRPr="00BB0D51">
        <w:rPr>
          <w:rFonts w:ascii="Times New Roman" w:hAnsi="Times New Roman"/>
        </w:rPr>
        <w:t xml:space="preserve"> </w:t>
      </w:r>
      <w:r>
        <w:rPr>
          <w:rFonts w:ascii="Times New Roman" w:hAnsi="Times New Roman"/>
          <w:i/>
        </w:rPr>
        <w:t>Id.</w:t>
      </w:r>
      <w:r>
        <w:rPr>
          <w:rFonts w:ascii="Times New Roman" w:hAnsi="Times New Roman"/>
        </w:rPr>
        <w:t xml:space="preserve"> at pages 3-4</w:t>
      </w:r>
      <w:r w:rsidRPr="004A1D61">
        <w:rPr>
          <w:rFonts w:ascii="Times New Roman" w:hAnsi="Times New Roman"/>
        </w:rPr>
        <w:t>.</w:t>
      </w:r>
    </w:p>
  </w:footnote>
  <w:footnote w:id="20">
    <w:p w:rsidR="00C24AF2" w:rsidRDefault="00C24AF2">
      <w:pPr>
        <w:pStyle w:val="FootnoteText"/>
      </w:pPr>
      <w:r w:rsidRPr="003E0F74">
        <w:rPr>
          <w:rFonts w:ascii="Times New Roman" w:hAnsi="Times New Roman"/>
          <w:vertAlign w:val="superscript"/>
        </w:rPr>
        <w:footnoteRef/>
      </w:r>
      <w:r>
        <w:t xml:space="preserve"> </w:t>
      </w:r>
      <w:r w:rsidRPr="00660211">
        <w:rPr>
          <w:rFonts w:ascii="Times New Roman" w:hAnsi="Times New Roman"/>
          <w:szCs w:val="24"/>
        </w:rPr>
        <w:t>Exhibit No.___(SCH-14)</w:t>
      </w:r>
      <w:r>
        <w:rPr>
          <w:rFonts w:ascii="Times New Roman" w:hAnsi="Times New Roman"/>
          <w:szCs w:val="24"/>
        </w:rPr>
        <w:t>.</w:t>
      </w:r>
    </w:p>
  </w:footnote>
  <w:footnote w:id="21">
    <w:p w:rsidR="00C24AF2" w:rsidRPr="00312069" w:rsidRDefault="00C24AF2" w:rsidP="00312069">
      <w:pPr>
        <w:pStyle w:val="FootnoteText"/>
        <w:rPr>
          <w:rFonts w:ascii="Times New Roman" w:hAnsi="Times New Roman"/>
        </w:rPr>
      </w:pPr>
      <w:r w:rsidRPr="001D562B">
        <w:rPr>
          <w:vertAlign w:val="superscript"/>
        </w:rPr>
        <w:footnoteRef/>
      </w:r>
      <w:r w:rsidRPr="00312069">
        <w:rPr>
          <w:rFonts w:ascii="Times New Roman" w:hAnsi="Times New Roman"/>
        </w:rPr>
        <w:t xml:space="preserve"> Exh</w:t>
      </w:r>
      <w:r>
        <w:rPr>
          <w:rFonts w:ascii="Times New Roman" w:hAnsi="Times New Roman"/>
        </w:rPr>
        <w:t>ibit</w:t>
      </w:r>
      <w:r w:rsidRPr="00312069">
        <w:rPr>
          <w:rFonts w:ascii="Times New Roman" w:hAnsi="Times New Roman"/>
        </w:rPr>
        <w:t xml:space="preserve"> No.___(SCH-1T)</w:t>
      </w:r>
      <w:r>
        <w:rPr>
          <w:rFonts w:ascii="Times New Roman" w:hAnsi="Times New Roman"/>
        </w:rPr>
        <w:t xml:space="preserve"> at pages 26-28</w:t>
      </w:r>
      <w:r w:rsidRPr="00312069">
        <w:rPr>
          <w:rFonts w:ascii="Times New Roman" w:hAnsi="Times New Roman"/>
        </w:rPr>
        <w:t xml:space="preserve">. </w:t>
      </w:r>
    </w:p>
  </w:footnote>
  <w:footnote w:id="22">
    <w:p w:rsidR="00C24AF2" w:rsidRPr="00312069" w:rsidRDefault="00C24AF2" w:rsidP="00312069">
      <w:pPr>
        <w:pStyle w:val="FootnoteText"/>
        <w:tabs>
          <w:tab w:val="left" w:pos="4770"/>
        </w:tabs>
        <w:rPr>
          <w:rFonts w:ascii="Times New Roman" w:hAnsi="Times New Roman"/>
        </w:rPr>
      </w:pPr>
      <w:r w:rsidRPr="001D562B">
        <w:rPr>
          <w:vertAlign w:val="superscript"/>
        </w:rPr>
        <w:footnoteRef/>
      </w:r>
      <w:r w:rsidRPr="00312069">
        <w:rPr>
          <w:rFonts w:ascii="Times New Roman" w:hAnsi="Times New Roman"/>
        </w:rPr>
        <w:t xml:space="preserve"> Exh</w:t>
      </w:r>
      <w:r>
        <w:rPr>
          <w:rFonts w:ascii="Times New Roman" w:hAnsi="Times New Roman"/>
        </w:rPr>
        <w:t>ibit</w:t>
      </w:r>
      <w:r w:rsidRPr="00312069">
        <w:rPr>
          <w:rFonts w:ascii="Times New Roman" w:hAnsi="Times New Roman"/>
        </w:rPr>
        <w:t xml:space="preserve"> No.___(SCH-1T)</w:t>
      </w:r>
      <w:r>
        <w:rPr>
          <w:rFonts w:ascii="Times New Roman" w:hAnsi="Times New Roman"/>
        </w:rPr>
        <w:t xml:space="preserve"> at pages 27-28</w:t>
      </w:r>
      <w:r w:rsidRPr="00312069">
        <w:rPr>
          <w:rFonts w:ascii="Times New Roman" w:hAnsi="Times New Roman"/>
        </w:rPr>
        <w:t>.</w:t>
      </w:r>
    </w:p>
  </w:footnote>
  <w:footnote w:id="23">
    <w:p w:rsidR="00C24AF2" w:rsidRPr="00663DBD" w:rsidRDefault="00C24AF2" w:rsidP="00312069">
      <w:pPr>
        <w:spacing w:line="240" w:lineRule="auto"/>
        <w:ind w:left="0" w:firstLine="0"/>
        <w:jc w:val="left"/>
        <w:rPr>
          <w:rFonts w:ascii="Times New Roman" w:hAnsi="Times New Roman"/>
          <w:sz w:val="20"/>
        </w:rPr>
      </w:pPr>
      <w:r w:rsidRPr="00663DBD">
        <w:rPr>
          <w:rFonts w:ascii="Times New Roman" w:hAnsi="Times New Roman"/>
          <w:sz w:val="20"/>
          <w:vertAlign w:val="superscript"/>
        </w:rPr>
        <w:footnoteRef/>
      </w:r>
      <w:r w:rsidRPr="00663DBD">
        <w:rPr>
          <w:rFonts w:ascii="Times New Roman" w:hAnsi="Times New Roman"/>
          <w:sz w:val="20"/>
        </w:rPr>
        <w:t xml:space="preserve"> </w:t>
      </w:r>
      <w:r w:rsidRPr="00663DBD">
        <w:rPr>
          <w:rFonts w:ascii="Times New Roman" w:hAnsi="Times New Roman"/>
          <w:i/>
          <w:sz w:val="20"/>
        </w:rPr>
        <w:t>W</w:t>
      </w:r>
      <w:r w:rsidR="00587B9A">
        <w:rPr>
          <w:rFonts w:ascii="Times New Roman" w:hAnsi="Times New Roman"/>
          <w:i/>
          <w:sz w:val="20"/>
        </w:rPr>
        <w:t>ash. Utils. &amp; Transp. Comm’n</w:t>
      </w:r>
      <w:r w:rsidRPr="00663DBD">
        <w:rPr>
          <w:rFonts w:ascii="Times New Roman" w:hAnsi="Times New Roman"/>
          <w:i/>
          <w:sz w:val="20"/>
        </w:rPr>
        <w:t xml:space="preserve"> v. PacifiCorp d/b/a Pacific Power &amp; Light Company</w:t>
      </w:r>
      <w:r w:rsidRPr="00663DBD">
        <w:rPr>
          <w:rFonts w:ascii="Times New Roman" w:hAnsi="Times New Roman"/>
          <w:sz w:val="20"/>
        </w:rPr>
        <w:t xml:space="preserve">, Docket UE-100749, Order 07, ¶ 27, (May 12, 2011) (“We cannot limit our analysis of an appropriate </w:t>
      </w:r>
      <w:bookmarkStart w:id="5" w:name="_GoBack"/>
      <w:r w:rsidRPr="00663DBD">
        <w:rPr>
          <w:rFonts w:ascii="Times New Roman" w:hAnsi="Times New Roman"/>
          <w:sz w:val="20"/>
        </w:rPr>
        <w:t>cost of equity</w:t>
      </w:r>
      <w:bookmarkEnd w:id="5"/>
      <w:r w:rsidRPr="00663DBD">
        <w:rPr>
          <w:rFonts w:ascii="Times New Roman" w:hAnsi="Times New Roman"/>
          <w:sz w:val="20"/>
        </w:rPr>
        <w:t xml:space="preserve"> to a comparison of interest rates in different time periods.  To effectively establish cost of equity, we must also consider the relationship between the risk a utility faces in financial markets and interest rates.”) </w:t>
      </w:r>
    </w:p>
    <w:p w:rsidR="00C24AF2" w:rsidRPr="005A2371" w:rsidRDefault="00C24AF2" w:rsidP="00312069">
      <w:pPr>
        <w:pStyle w:val="FootnoteText"/>
        <w:rPr>
          <w:rFonts w:ascii="Times New Roman" w:hAnsi="Times New Roman"/>
        </w:rPr>
      </w:pPr>
    </w:p>
  </w:footnote>
  <w:footnote w:id="24">
    <w:p w:rsidR="00C24AF2" w:rsidRPr="005A2371" w:rsidRDefault="00C24AF2" w:rsidP="00312069">
      <w:pPr>
        <w:pStyle w:val="FootnoteText"/>
        <w:rPr>
          <w:rFonts w:ascii="Times New Roman" w:hAnsi="Times New Roman"/>
        </w:rPr>
      </w:pPr>
      <w:r w:rsidRPr="001D562B">
        <w:rPr>
          <w:vertAlign w:val="superscript"/>
        </w:rPr>
        <w:footnoteRef/>
      </w:r>
      <w:r w:rsidRPr="00BB0D51">
        <w:rPr>
          <w:rFonts w:ascii="Times New Roman" w:hAnsi="Times New Roman"/>
        </w:rPr>
        <w:t xml:space="preserve"> </w:t>
      </w:r>
      <w:r w:rsidRPr="00312069">
        <w:rPr>
          <w:rFonts w:ascii="Times New Roman" w:hAnsi="Times New Roman"/>
        </w:rPr>
        <w:t>Exh</w:t>
      </w:r>
      <w:r>
        <w:rPr>
          <w:rFonts w:ascii="Times New Roman" w:hAnsi="Times New Roman"/>
        </w:rPr>
        <w:t>ibit</w:t>
      </w:r>
      <w:r w:rsidRPr="00312069">
        <w:rPr>
          <w:rFonts w:ascii="Times New Roman" w:hAnsi="Times New Roman"/>
        </w:rPr>
        <w:t xml:space="preserve"> No.___(MPG-1T)</w:t>
      </w:r>
      <w:r>
        <w:rPr>
          <w:rFonts w:ascii="Times New Roman" w:hAnsi="Times New Roman"/>
        </w:rPr>
        <w:t xml:space="preserve"> at page 45</w:t>
      </w:r>
      <w:r w:rsidRPr="00312069">
        <w:rPr>
          <w:rFonts w:ascii="Times New Roman" w:hAnsi="Times New Roman"/>
        </w:rPr>
        <w:t>.</w:t>
      </w:r>
    </w:p>
  </w:footnote>
  <w:footnote w:id="25">
    <w:p w:rsidR="00C24AF2" w:rsidRPr="005A2371" w:rsidRDefault="00C24AF2" w:rsidP="00312069">
      <w:pPr>
        <w:pStyle w:val="FootnoteText"/>
        <w:rPr>
          <w:rFonts w:ascii="Times New Roman" w:hAnsi="Times New Roman"/>
        </w:rPr>
      </w:pPr>
      <w:r w:rsidRPr="001D562B">
        <w:rPr>
          <w:vertAlign w:val="superscript"/>
        </w:rPr>
        <w:footnoteRef/>
      </w:r>
      <w:r w:rsidRPr="00BB0D51">
        <w:rPr>
          <w:rFonts w:ascii="Times New Roman" w:hAnsi="Times New Roman"/>
        </w:rPr>
        <w:t xml:space="preserve"> </w:t>
      </w:r>
      <w:r>
        <w:rPr>
          <w:rFonts w:ascii="Times New Roman" w:hAnsi="Times New Roman"/>
          <w:i/>
        </w:rPr>
        <w:t>Id.</w:t>
      </w:r>
      <w:r>
        <w:rPr>
          <w:rFonts w:ascii="Times New Roman" w:hAnsi="Times New Roman"/>
        </w:rPr>
        <w:t xml:space="preserve"> at lines 19-21</w:t>
      </w:r>
      <w:r w:rsidRPr="00312069">
        <w:rPr>
          <w:rFonts w:ascii="Times New Roman" w:hAnsi="Times New Roman"/>
        </w:rPr>
        <w:t>.</w:t>
      </w:r>
    </w:p>
  </w:footnote>
  <w:footnote w:id="26">
    <w:p w:rsidR="00C24AF2" w:rsidRPr="00787F17" w:rsidRDefault="00C24AF2" w:rsidP="008D4851">
      <w:pPr>
        <w:pStyle w:val="FootnoteText"/>
        <w:ind w:left="0" w:firstLine="0"/>
        <w:rPr>
          <w:rFonts w:ascii="Times New Roman" w:hAnsi="Times New Roman"/>
        </w:rPr>
      </w:pPr>
      <w:r w:rsidRPr="00AB0F79">
        <w:rPr>
          <w:rFonts w:ascii="Times New Roman" w:hAnsi="Times New Roman"/>
          <w:vertAlign w:val="superscript"/>
        </w:rPr>
        <w:footnoteRef/>
      </w:r>
      <w:r w:rsidRPr="00787F17">
        <w:rPr>
          <w:rFonts w:ascii="Times New Roman" w:hAnsi="Times New Roman"/>
          <w:vertAlign w:val="superscript"/>
        </w:rPr>
        <w:t xml:space="preserve"> </w:t>
      </w:r>
      <w:r w:rsidRPr="00787F17">
        <w:rPr>
          <w:rFonts w:ascii="Times New Roman" w:hAnsi="Times New Roman"/>
          <w:i/>
        </w:rPr>
        <w:t>W</w:t>
      </w:r>
      <w:r w:rsidR="00587B9A">
        <w:rPr>
          <w:rFonts w:ascii="Times New Roman" w:hAnsi="Times New Roman"/>
          <w:i/>
        </w:rPr>
        <w:t>ash. Utils. &amp; Transp. Comm’n</w:t>
      </w:r>
      <w:r w:rsidRPr="00787F17">
        <w:rPr>
          <w:rFonts w:ascii="Times New Roman" w:hAnsi="Times New Roman"/>
          <w:i/>
        </w:rPr>
        <w:t xml:space="preserve"> v. PacifiCorp d/b/a Pacific Power &amp; Light Company</w:t>
      </w:r>
      <w:r w:rsidRPr="00787F17">
        <w:rPr>
          <w:rFonts w:ascii="Times New Roman" w:hAnsi="Times New Roman"/>
        </w:rPr>
        <w:t>, Docket UE-100749, Order 07, ¶ 22 (May 12, 2011)</w:t>
      </w:r>
      <w:r w:rsidR="00787F17" w:rsidRPr="00787F17">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32" w:rsidRDefault="00F51C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32" w:rsidRDefault="00F51C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32" w:rsidRDefault="00F51C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6C76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BC8B3E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346A5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75A4E2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34A4E9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62EFE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3F66B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7BAF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3282AF6"/>
    <w:lvl w:ilvl="0">
      <w:start w:val="1"/>
      <w:numFmt w:val="decimal"/>
      <w:pStyle w:val="ListNumber"/>
      <w:lvlText w:val="%1."/>
      <w:lvlJc w:val="left"/>
      <w:pPr>
        <w:tabs>
          <w:tab w:val="num" w:pos="360"/>
        </w:tabs>
        <w:ind w:left="360" w:hanging="360"/>
      </w:pPr>
    </w:lvl>
  </w:abstractNum>
  <w:abstractNum w:abstractNumId="9">
    <w:nsid w:val="FFFFFF89"/>
    <w:multiLevelType w:val="singleLevel"/>
    <w:tmpl w:val="60B2E3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E65B47"/>
    <w:multiLevelType w:val="singleLevel"/>
    <w:tmpl w:val="15E67F5E"/>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343218C0"/>
    <w:multiLevelType w:val="hybridMultilevel"/>
    <w:tmpl w:val="CFB6F04E"/>
    <w:lvl w:ilvl="0" w:tplc="F056B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5E2B5A"/>
    <w:multiLevelType w:val="hybridMultilevel"/>
    <w:tmpl w:val="78D627BC"/>
    <w:lvl w:ilvl="0" w:tplc="E102B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D67EA1"/>
    <w:multiLevelType w:val="singleLevel"/>
    <w:tmpl w:val="15E67F5E"/>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5FBD284D"/>
    <w:multiLevelType w:val="singleLevel"/>
    <w:tmpl w:val="15E67F5E"/>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6F556669"/>
    <w:multiLevelType w:val="hybridMultilevel"/>
    <w:tmpl w:val="93CC7098"/>
    <w:lvl w:ilvl="0" w:tplc="ADA28AA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0"/>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printFractionalCharacterWidth/>
  <w:embedSystemFonts/>
  <w:hideGrammaticalErrors/>
  <w:activeWritingStyle w:appName="MSWord" w:lang="en-US" w:vendorID="8" w:dllVersion="513" w:checkStyle="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rsids>
    <w:rsidRoot w:val="00ED6472"/>
    <w:rsid w:val="00002ADB"/>
    <w:rsid w:val="0000657A"/>
    <w:rsid w:val="00014A8E"/>
    <w:rsid w:val="00017082"/>
    <w:rsid w:val="000173A2"/>
    <w:rsid w:val="00020743"/>
    <w:rsid w:val="000220FD"/>
    <w:rsid w:val="000221FF"/>
    <w:rsid w:val="00023F7F"/>
    <w:rsid w:val="00024392"/>
    <w:rsid w:val="00024F78"/>
    <w:rsid w:val="00027B2C"/>
    <w:rsid w:val="00030735"/>
    <w:rsid w:val="0003359C"/>
    <w:rsid w:val="00034C84"/>
    <w:rsid w:val="00036657"/>
    <w:rsid w:val="0003724E"/>
    <w:rsid w:val="00041AC2"/>
    <w:rsid w:val="00046718"/>
    <w:rsid w:val="000548E0"/>
    <w:rsid w:val="000567BB"/>
    <w:rsid w:val="00061FD6"/>
    <w:rsid w:val="000650D0"/>
    <w:rsid w:val="0006538C"/>
    <w:rsid w:val="0006656D"/>
    <w:rsid w:val="00070F81"/>
    <w:rsid w:val="00074518"/>
    <w:rsid w:val="00075B8D"/>
    <w:rsid w:val="0008086B"/>
    <w:rsid w:val="00080EC3"/>
    <w:rsid w:val="00082C21"/>
    <w:rsid w:val="000850CC"/>
    <w:rsid w:val="00087386"/>
    <w:rsid w:val="00087AFE"/>
    <w:rsid w:val="000905FC"/>
    <w:rsid w:val="0009202F"/>
    <w:rsid w:val="000A0D07"/>
    <w:rsid w:val="000A33FE"/>
    <w:rsid w:val="000A38B0"/>
    <w:rsid w:val="000A3F41"/>
    <w:rsid w:val="000A5EC6"/>
    <w:rsid w:val="000B15FD"/>
    <w:rsid w:val="000B2B5E"/>
    <w:rsid w:val="000B4576"/>
    <w:rsid w:val="000B6323"/>
    <w:rsid w:val="000B698C"/>
    <w:rsid w:val="000B74AF"/>
    <w:rsid w:val="000C4757"/>
    <w:rsid w:val="000C76AC"/>
    <w:rsid w:val="000D348F"/>
    <w:rsid w:val="000D475D"/>
    <w:rsid w:val="000D79B9"/>
    <w:rsid w:val="000E236F"/>
    <w:rsid w:val="000E40C3"/>
    <w:rsid w:val="000E6C94"/>
    <w:rsid w:val="000E76D3"/>
    <w:rsid w:val="000F0939"/>
    <w:rsid w:val="000F1E8D"/>
    <w:rsid w:val="000F23AD"/>
    <w:rsid w:val="000F5C72"/>
    <w:rsid w:val="000F5D4E"/>
    <w:rsid w:val="00100543"/>
    <w:rsid w:val="00100657"/>
    <w:rsid w:val="00111157"/>
    <w:rsid w:val="0011181E"/>
    <w:rsid w:val="001134A4"/>
    <w:rsid w:val="0011361D"/>
    <w:rsid w:val="00120CB2"/>
    <w:rsid w:val="00125E0B"/>
    <w:rsid w:val="00130316"/>
    <w:rsid w:val="00135298"/>
    <w:rsid w:val="00144D25"/>
    <w:rsid w:val="00145E3F"/>
    <w:rsid w:val="0014641F"/>
    <w:rsid w:val="0015025E"/>
    <w:rsid w:val="00151E8E"/>
    <w:rsid w:val="0015613B"/>
    <w:rsid w:val="00156629"/>
    <w:rsid w:val="00160F05"/>
    <w:rsid w:val="00164C6B"/>
    <w:rsid w:val="00164EEE"/>
    <w:rsid w:val="001718FE"/>
    <w:rsid w:val="0017579E"/>
    <w:rsid w:val="00177D2C"/>
    <w:rsid w:val="00181C2D"/>
    <w:rsid w:val="001827A7"/>
    <w:rsid w:val="0018333B"/>
    <w:rsid w:val="00183653"/>
    <w:rsid w:val="00184F52"/>
    <w:rsid w:val="00185250"/>
    <w:rsid w:val="00192EA8"/>
    <w:rsid w:val="00195F99"/>
    <w:rsid w:val="001A01FD"/>
    <w:rsid w:val="001A0B49"/>
    <w:rsid w:val="001A1819"/>
    <w:rsid w:val="001A2A75"/>
    <w:rsid w:val="001A35EE"/>
    <w:rsid w:val="001A3D03"/>
    <w:rsid w:val="001A5039"/>
    <w:rsid w:val="001A7B71"/>
    <w:rsid w:val="001B566E"/>
    <w:rsid w:val="001C309E"/>
    <w:rsid w:val="001C53BC"/>
    <w:rsid w:val="001C66B4"/>
    <w:rsid w:val="001D1306"/>
    <w:rsid w:val="001D2789"/>
    <w:rsid w:val="001D27C6"/>
    <w:rsid w:val="001D4E31"/>
    <w:rsid w:val="001D562B"/>
    <w:rsid w:val="001E0327"/>
    <w:rsid w:val="001E06B2"/>
    <w:rsid w:val="001E1FF5"/>
    <w:rsid w:val="001E38BC"/>
    <w:rsid w:val="001E51F4"/>
    <w:rsid w:val="001E57EC"/>
    <w:rsid w:val="001E58C6"/>
    <w:rsid w:val="001E5F28"/>
    <w:rsid w:val="001F0D34"/>
    <w:rsid w:val="001F0EE6"/>
    <w:rsid w:val="001F14D9"/>
    <w:rsid w:val="001F47ED"/>
    <w:rsid w:val="001F5068"/>
    <w:rsid w:val="00201843"/>
    <w:rsid w:val="002023D4"/>
    <w:rsid w:val="002031AC"/>
    <w:rsid w:val="00206D51"/>
    <w:rsid w:val="00207DE6"/>
    <w:rsid w:val="00220B10"/>
    <w:rsid w:val="00222035"/>
    <w:rsid w:val="00225E3E"/>
    <w:rsid w:val="00226CA7"/>
    <w:rsid w:val="00230A93"/>
    <w:rsid w:val="00235278"/>
    <w:rsid w:val="00235C35"/>
    <w:rsid w:val="002464E9"/>
    <w:rsid w:val="00247C3C"/>
    <w:rsid w:val="00251747"/>
    <w:rsid w:val="00251755"/>
    <w:rsid w:val="00251FE5"/>
    <w:rsid w:val="00253775"/>
    <w:rsid w:val="00253D21"/>
    <w:rsid w:val="00257CDF"/>
    <w:rsid w:val="00260418"/>
    <w:rsid w:val="00264699"/>
    <w:rsid w:val="00271308"/>
    <w:rsid w:val="002766C0"/>
    <w:rsid w:val="002810DA"/>
    <w:rsid w:val="002843F4"/>
    <w:rsid w:val="0028584E"/>
    <w:rsid w:val="00285D67"/>
    <w:rsid w:val="00290CFA"/>
    <w:rsid w:val="0029427B"/>
    <w:rsid w:val="00296DBC"/>
    <w:rsid w:val="002A0803"/>
    <w:rsid w:val="002A2EEF"/>
    <w:rsid w:val="002A3F52"/>
    <w:rsid w:val="002A6D6A"/>
    <w:rsid w:val="002B073C"/>
    <w:rsid w:val="002B2314"/>
    <w:rsid w:val="002B4BD8"/>
    <w:rsid w:val="002B7512"/>
    <w:rsid w:val="002B7C6C"/>
    <w:rsid w:val="002B7CCF"/>
    <w:rsid w:val="002B7D24"/>
    <w:rsid w:val="002B7DC5"/>
    <w:rsid w:val="002C132E"/>
    <w:rsid w:val="002C147E"/>
    <w:rsid w:val="002C2EB5"/>
    <w:rsid w:val="002C39A8"/>
    <w:rsid w:val="002D1884"/>
    <w:rsid w:val="002D3E38"/>
    <w:rsid w:val="002D6D71"/>
    <w:rsid w:val="002D72B6"/>
    <w:rsid w:val="002E0269"/>
    <w:rsid w:val="002E0CD7"/>
    <w:rsid w:val="002E3974"/>
    <w:rsid w:val="002E543A"/>
    <w:rsid w:val="002E6A10"/>
    <w:rsid w:val="002F479F"/>
    <w:rsid w:val="002F50A3"/>
    <w:rsid w:val="002F63D8"/>
    <w:rsid w:val="002F7474"/>
    <w:rsid w:val="0030171B"/>
    <w:rsid w:val="00302253"/>
    <w:rsid w:val="003041EA"/>
    <w:rsid w:val="003060A8"/>
    <w:rsid w:val="00312069"/>
    <w:rsid w:val="003167B8"/>
    <w:rsid w:val="00324DA7"/>
    <w:rsid w:val="003274E4"/>
    <w:rsid w:val="003305CB"/>
    <w:rsid w:val="0033273D"/>
    <w:rsid w:val="003416AC"/>
    <w:rsid w:val="0034397E"/>
    <w:rsid w:val="00346C70"/>
    <w:rsid w:val="00351179"/>
    <w:rsid w:val="00351A41"/>
    <w:rsid w:val="00351C0C"/>
    <w:rsid w:val="003527C8"/>
    <w:rsid w:val="003536C5"/>
    <w:rsid w:val="0035388A"/>
    <w:rsid w:val="00357D1D"/>
    <w:rsid w:val="003629C0"/>
    <w:rsid w:val="00362C39"/>
    <w:rsid w:val="003723E3"/>
    <w:rsid w:val="003813E1"/>
    <w:rsid w:val="00382003"/>
    <w:rsid w:val="00383297"/>
    <w:rsid w:val="003840A3"/>
    <w:rsid w:val="003856CB"/>
    <w:rsid w:val="00386A39"/>
    <w:rsid w:val="00394822"/>
    <w:rsid w:val="003A1FD5"/>
    <w:rsid w:val="003A20D8"/>
    <w:rsid w:val="003A583E"/>
    <w:rsid w:val="003B1E45"/>
    <w:rsid w:val="003B4821"/>
    <w:rsid w:val="003B4E27"/>
    <w:rsid w:val="003B707D"/>
    <w:rsid w:val="003B7AF7"/>
    <w:rsid w:val="003C18EA"/>
    <w:rsid w:val="003C4981"/>
    <w:rsid w:val="003C684E"/>
    <w:rsid w:val="003D09F2"/>
    <w:rsid w:val="003D1D26"/>
    <w:rsid w:val="003D24DB"/>
    <w:rsid w:val="003D77FF"/>
    <w:rsid w:val="003E0B55"/>
    <w:rsid w:val="003E0F74"/>
    <w:rsid w:val="003E402B"/>
    <w:rsid w:val="003E767F"/>
    <w:rsid w:val="003F13E6"/>
    <w:rsid w:val="003F25E8"/>
    <w:rsid w:val="003F6FC7"/>
    <w:rsid w:val="00400C1D"/>
    <w:rsid w:val="004010D4"/>
    <w:rsid w:val="004020FF"/>
    <w:rsid w:val="0040715E"/>
    <w:rsid w:val="0040780F"/>
    <w:rsid w:val="00412EC2"/>
    <w:rsid w:val="00414D02"/>
    <w:rsid w:val="00414E0C"/>
    <w:rsid w:val="0041667B"/>
    <w:rsid w:val="00416730"/>
    <w:rsid w:val="00417BF5"/>
    <w:rsid w:val="00420358"/>
    <w:rsid w:val="004219B9"/>
    <w:rsid w:val="00424583"/>
    <w:rsid w:val="00425777"/>
    <w:rsid w:val="00430384"/>
    <w:rsid w:val="004352FD"/>
    <w:rsid w:val="004441A8"/>
    <w:rsid w:val="00450251"/>
    <w:rsid w:val="00452C0E"/>
    <w:rsid w:val="00453A20"/>
    <w:rsid w:val="00453F99"/>
    <w:rsid w:val="00455600"/>
    <w:rsid w:val="00455BEE"/>
    <w:rsid w:val="00455EE7"/>
    <w:rsid w:val="00457E47"/>
    <w:rsid w:val="00462FE0"/>
    <w:rsid w:val="00471B82"/>
    <w:rsid w:val="00472DD6"/>
    <w:rsid w:val="00473101"/>
    <w:rsid w:val="004734E0"/>
    <w:rsid w:val="00476B1E"/>
    <w:rsid w:val="00481F9A"/>
    <w:rsid w:val="004846F5"/>
    <w:rsid w:val="00484BA6"/>
    <w:rsid w:val="00486362"/>
    <w:rsid w:val="0048725B"/>
    <w:rsid w:val="00490923"/>
    <w:rsid w:val="00493165"/>
    <w:rsid w:val="00494B6E"/>
    <w:rsid w:val="00497EC5"/>
    <w:rsid w:val="004A170A"/>
    <w:rsid w:val="004A1D61"/>
    <w:rsid w:val="004A5881"/>
    <w:rsid w:val="004A6E1A"/>
    <w:rsid w:val="004B0745"/>
    <w:rsid w:val="004B55E8"/>
    <w:rsid w:val="004B7E0A"/>
    <w:rsid w:val="004C0BAD"/>
    <w:rsid w:val="004C23BE"/>
    <w:rsid w:val="004C478E"/>
    <w:rsid w:val="004C591D"/>
    <w:rsid w:val="004D038F"/>
    <w:rsid w:val="004D1EA0"/>
    <w:rsid w:val="004D2EDE"/>
    <w:rsid w:val="004D5E56"/>
    <w:rsid w:val="004E1AFE"/>
    <w:rsid w:val="004E408C"/>
    <w:rsid w:val="004E59E2"/>
    <w:rsid w:val="004F05D3"/>
    <w:rsid w:val="004F084B"/>
    <w:rsid w:val="004F255C"/>
    <w:rsid w:val="004F3C62"/>
    <w:rsid w:val="004F7E1F"/>
    <w:rsid w:val="00502933"/>
    <w:rsid w:val="00502FE9"/>
    <w:rsid w:val="00504065"/>
    <w:rsid w:val="00504595"/>
    <w:rsid w:val="00510E8A"/>
    <w:rsid w:val="005111A7"/>
    <w:rsid w:val="00511789"/>
    <w:rsid w:val="005136F9"/>
    <w:rsid w:val="00513C79"/>
    <w:rsid w:val="005213A4"/>
    <w:rsid w:val="00523A97"/>
    <w:rsid w:val="0053249B"/>
    <w:rsid w:val="00533D1E"/>
    <w:rsid w:val="00534A23"/>
    <w:rsid w:val="005422BF"/>
    <w:rsid w:val="00542CA8"/>
    <w:rsid w:val="005465A6"/>
    <w:rsid w:val="00546AC6"/>
    <w:rsid w:val="00550A6B"/>
    <w:rsid w:val="0055154C"/>
    <w:rsid w:val="00551A9E"/>
    <w:rsid w:val="005626D9"/>
    <w:rsid w:val="005654FD"/>
    <w:rsid w:val="00571B7E"/>
    <w:rsid w:val="0057426D"/>
    <w:rsid w:val="0057484F"/>
    <w:rsid w:val="00580124"/>
    <w:rsid w:val="005841CD"/>
    <w:rsid w:val="00587B9A"/>
    <w:rsid w:val="00590CFE"/>
    <w:rsid w:val="00590D85"/>
    <w:rsid w:val="005927F6"/>
    <w:rsid w:val="005951B1"/>
    <w:rsid w:val="00596D4C"/>
    <w:rsid w:val="00597D4C"/>
    <w:rsid w:val="005A0C4E"/>
    <w:rsid w:val="005A2371"/>
    <w:rsid w:val="005A47FA"/>
    <w:rsid w:val="005A4BCC"/>
    <w:rsid w:val="005A62C4"/>
    <w:rsid w:val="005B672B"/>
    <w:rsid w:val="005B67B6"/>
    <w:rsid w:val="005B6964"/>
    <w:rsid w:val="005B7CDA"/>
    <w:rsid w:val="005C378B"/>
    <w:rsid w:val="005C3E56"/>
    <w:rsid w:val="005C47CF"/>
    <w:rsid w:val="005C64A6"/>
    <w:rsid w:val="005C6883"/>
    <w:rsid w:val="005C6F8A"/>
    <w:rsid w:val="005C7642"/>
    <w:rsid w:val="005D20CB"/>
    <w:rsid w:val="005D2890"/>
    <w:rsid w:val="005D63E2"/>
    <w:rsid w:val="005D6C7C"/>
    <w:rsid w:val="005D76FA"/>
    <w:rsid w:val="005E0698"/>
    <w:rsid w:val="005E11CE"/>
    <w:rsid w:val="005E12E8"/>
    <w:rsid w:val="005E4681"/>
    <w:rsid w:val="005E5FC4"/>
    <w:rsid w:val="005F549D"/>
    <w:rsid w:val="0060667A"/>
    <w:rsid w:val="0061747F"/>
    <w:rsid w:val="006203C4"/>
    <w:rsid w:val="00621864"/>
    <w:rsid w:val="00622162"/>
    <w:rsid w:val="00623A04"/>
    <w:rsid w:val="00627260"/>
    <w:rsid w:val="006277E6"/>
    <w:rsid w:val="00634529"/>
    <w:rsid w:val="00636A62"/>
    <w:rsid w:val="00637AD6"/>
    <w:rsid w:val="00643DDB"/>
    <w:rsid w:val="006461F8"/>
    <w:rsid w:val="00646C3E"/>
    <w:rsid w:val="00650C4A"/>
    <w:rsid w:val="00657E0A"/>
    <w:rsid w:val="00660211"/>
    <w:rsid w:val="006637AB"/>
    <w:rsid w:val="00663DBD"/>
    <w:rsid w:val="0066440B"/>
    <w:rsid w:val="00666AA5"/>
    <w:rsid w:val="0067415A"/>
    <w:rsid w:val="00675271"/>
    <w:rsid w:val="00675D0F"/>
    <w:rsid w:val="00680D97"/>
    <w:rsid w:val="006829CA"/>
    <w:rsid w:val="006843CC"/>
    <w:rsid w:val="00690EC7"/>
    <w:rsid w:val="00696BF8"/>
    <w:rsid w:val="006A0FA7"/>
    <w:rsid w:val="006A5AB0"/>
    <w:rsid w:val="006B3317"/>
    <w:rsid w:val="006B5AB0"/>
    <w:rsid w:val="006B66C6"/>
    <w:rsid w:val="006B7C10"/>
    <w:rsid w:val="006C0227"/>
    <w:rsid w:val="006C04FB"/>
    <w:rsid w:val="006C0813"/>
    <w:rsid w:val="006C102E"/>
    <w:rsid w:val="006C3BD5"/>
    <w:rsid w:val="006C42C3"/>
    <w:rsid w:val="006C4618"/>
    <w:rsid w:val="006D3AA6"/>
    <w:rsid w:val="006D3CF4"/>
    <w:rsid w:val="006D6605"/>
    <w:rsid w:val="006D7A9A"/>
    <w:rsid w:val="006E2098"/>
    <w:rsid w:val="006E4B4E"/>
    <w:rsid w:val="006E6D28"/>
    <w:rsid w:val="006E6D9F"/>
    <w:rsid w:val="006F3922"/>
    <w:rsid w:val="006F4CC4"/>
    <w:rsid w:val="006F594A"/>
    <w:rsid w:val="00701095"/>
    <w:rsid w:val="00702A31"/>
    <w:rsid w:val="00704AF8"/>
    <w:rsid w:val="007056EC"/>
    <w:rsid w:val="007105C2"/>
    <w:rsid w:val="007123D2"/>
    <w:rsid w:val="00712DC8"/>
    <w:rsid w:val="007134A6"/>
    <w:rsid w:val="007170CD"/>
    <w:rsid w:val="0072002A"/>
    <w:rsid w:val="007255CA"/>
    <w:rsid w:val="00725C43"/>
    <w:rsid w:val="00726669"/>
    <w:rsid w:val="007326BB"/>
    <w:rsid w:val="00732EA2"/>
    <w:rsid w:val="00734B3E"/>
    <w:rsid w:val="007355FF"/>
    <w:rsid w:val="00742879"/>
    <w:rsid w:val="00745E20"/>
    <w:rsid w:val="00747AEA"/>
    <w:rsid w:val="007545CB"/>
    <w:rsid w:val="00754D14"/>
    <w:rsid w:val="007552A9"/>
    <w:rsid w:val="00757D68"/>
    <w:rsid w:val="00757FA4"/>
    <w:rsid w:val="00761A20"/>
    <w:rsid w:val="00763E83"/>
    <w:rsid w:val="0076410F"/>
    <w:rsid w:val="0076457A"/>
    <w:rsid w:val="00767D89"/>
    <w:rsid w:val="00771F12"/>
    <w:rsid w:val="00772E6F"/>
    <w:rsid w:val="00777662"/>
    <w:rsid w:val="0078149E"/>
    <w:rsid w:val="007814BA"/>
    <w:rsid w:val="00781AD1"/>
    <w:rsid w:val="0078433E"/>
    <w:rsid w:val="007855DE"/>
    <w:rsid w:val="00787F17"/>
    <w:rsid w:val="0079003C"/>
    <w:rsid w:val="00794211"/>
    <w:rsid w:val="007948E6"/>
    <w:rsid w:val="007952DC"/>
    <w:rsid w:val="007A26A8"/>
    <w:rsid w:val="007A6224"/>
    <w:rsid w:val="007A7B6D"/>
    <w:rsid w:val="007B119C"/>
    <w:rsid w:val="007B62B6"/>
    <w:rsid w:val="007C3389"/>
    <w:rsid w:val="007C70FE"/>
    <w:rsid w:val="007D6867"/>
    <w:rsid w:val="007D6E08"/>
    <w:rsid w:val="007D7148"/>
    <w:rsid w:val="007D7728"/>
    <w:rsid w:val="007E454F"/>
    <w:rsid w:val="007E5F05"/>
    <w:rsid w:val="007E638E"/>
    <w:rsid w:val="007E7957"/>
    <w:rsid w:val="007F10F5"/>
    <w:rsid w:val="007F2562"/>
    <w:rsid w:val="007F31CD"/>
    <w:rsid w:val="00801343"/>
    <w:rsid w:val="00803536"/>
    <w:rsid w:val="008035E3"/>
    <w:rsid w:val="00804BE2"/>
    <w:rsid w:val="00810697"/>
    <w:rsid w:val="008134C5"/>
    <w:rsid w:val="00813AC1"/>
    <w:rsid w:val="008174FF"/>
    <w:rsid w:val="008208BA"/>
    <w:rsid w:val="008249AE"/>
    <w:rsid w:val="00834BBF"/>
    <w:rsid w:val="00837F61"/>
    <w:rsid w:val="0084123D"/>
    <w:rsid w:val="00851B94"/>
    <w:rsid w:val="00851BB4"/>
    <w:rsid w:val="00854978"/>
    <w:rsid w:val="0086222C"/>
    <w:rsid w:val="00865508"/>
    <w:rsid w:val="00870250"/>
    <w:rsid w:val="00872ABD"/>
    <w:rsid w:val="00873FDC"/>
    <w:rsid w:val="00877BFF"/>
    <w:rsid w:val="00880BB8"/>
    <w:rsid w:val="008876A4"/>
    <w:rsid w:val="0089628F"/>
    <w:rsid w:val="00896419"/>
    <w:rsid w:val="00897537"/>
    <w:rsid w:val="008A238F"/>
    <w:rsid w:val="008A4A1B"/>
    <w:rsid w:val="008A5040"/>
    <w:rsid w:val="008B0136"/>
    <w:rsid w:val="008B0E0B"/>
    <w:rsid w:val="008B4449"/>
    <w:rsid w:val="008B7803"/>
    <w:rsid w:val="008C327F"/>
    <w:rsid w:val="008C3926"/>
    <w:rsid w:val="008C4632"/>
    <w:rsid w:val="008D050C"/>
    <w:rsid w:val="008D398F"/>
    <w:rsid w:val="008D4851"/>
    <w:rsid w:val="008D5354"/>
    <w:rsid w:val="008D5ADE"/>
    <w:rsid w:val="008D5D72"/>
    <w:rsid w:val="008E3559"/>
    <w:rsid w:val="008E4820"/>
    <w:rsid w:val="008E4E51"/>
    <w:rsid w:val="008F2898"/>
    <w:rsid w:val="008F2AF9"/>
    <w:rsid w:val="008F5E1C"/>
    <w:rsid w:val="008F7140"/>
    <w:rsid w:val="009064E9"/>
    <w:rsid w:val="009067D6"/>
    <w:rsid w:val="009137E7"/>
    <w:rsid w:val="00916930"/>
    <w:rsid w:val="00916AE8"/>
    <w:rsid w:val="00925280"/>
    <w:rsid w:val="00925333"/>
    <w:rsid w:val="00925A36"/>
    <w:rsid w:val="00925B37"/>
    <w:rsid w:val="009267C8"/>
    <w:rsid w:val="00931A75"/>
    <w:rsid w:val="00935DC2"/>
    <w:rsid w:val="009373C6"/>
    <w:rsid w:val="009408A7"/>
    <w:rsid w:val="00952A80"/>
    <w:rsid w:val="00954B9D"/>
    <w:rsid w:val="00957620"/>
    <w:rsid w:val="00962573"/>
    <w:rsid w:val="00962D7B"/>
    <w:rsid w:val="0096303B"/>
    <w:rsid w:val="009638FB"/>
    <w:rsid w:val="0097569D"/>
    <w:rsid w:val="00975884"/>
    <w:rsid w:val="00976A11"/>
    <w:rsid w:val="0098462A"/>
    <w:rsid w:val="009909B4"/>
    <w:rsid w:val="009921CA"/>
    <w:rsid w:val="0099395B"/>
    <w:rsid w:val="009A7455"/>
    <w:rsid w:val="009B29E0"/>
    <w:rsid w:val="009B4A02"/>
    <w:rsid w:val="009B5E2A"/>
    <w:rsid w:val="009B76B1"/>
    <w:rsid w:val="009C0835"/>
    <w:rsid w:val="009C2D92"/>
    <w:rsid w:val="009C3A67"/>
    <w:rsid w:val="009C5C2C"/>
    <w:rsid w:val="009D0BBB"/>
    <w:rsid w:val="009D1A73"/>
    <w:rsid w:val="009D306B"/>
    <w:rsid w:val="009D4985"/>
    <w:rsid w:val="009D4BAB"/>
    <w:rsid w:val="009D6DF3"/>
    <w:rsid w:val="009D6ED7"/>
    <w:rsid w:val="009D7E2D"/>
    <w:rsid w:val="009E148C"/>
    <w:rsid w:val="009E1A93"/>
    <w:rsid w:val="009E5DBC"/>
    <w:rsid w:val="009E7E41"/>
    <w:rsid w:val="009F1697"/>
    <w:rsid w:val="009F5E09"/>
    <w:rsid w:val="00A03353"/>
    <w:rsid w:val="00A0514A"/>
    <w:rsid w:val="00A06220"/>
    <w:rsid w:val="00A06DEC"/>
    <w:rsid w:val="00A1430C"/>
    <w:rsid w:val="00A177B1"/>
    <w:rsid w:val="00A20F9C"/>
    <w:rsid w:val="00A21D6C"/>
    <w:rsid w:val="00A300CC"/>
    <w:rsid w:val="00A32BB9"/>
    <w:rsid w:val="00A34D8F"/>
    <w:rsid w:val="00A408DA"/>
    <w:rsid w:val="00A414A6"/>
    <w:rsid w:val="00A43694"/>
    <w:rsid w:val="00A452F4"/>
    <w:rsid w:val="00A46C4A"/>
    <w:rsid w:val="00A5427C"/>
    <w:rsid w:val="00A57380"/>
    <w:rsid w:val="00A66AE8"/>
    <w:rsid w:val="00A75AE4"/>
    <w:rsid w:val="00A7628C"/>
    <w:rsid w:val="00A7764F"/>
    <w:rsid w:val="00A779E7"/>
    <w:rsid w:val="00A821DD"/>
    <w:rsid w:val="00A82FAC"/>
    <w:rsid w:val="00A833A1"/>
    <w:rsid w:val="00A83805"/>
    <w:rsid w:val="00A93D0F"/>
    <w:rsid w:val="00A94502"/>
    <w:rsid w:val="00A96E81"/>
    <w:rsid w:val="00A96FCC"/>
    <w:rsid w:val="00AA1680"/>
    <w:rsid w:val="00AA37E5"/>
    <w:rsid w:val="00AA3D72"/>
    <w:rsid w:val="00AA422C"/>
    <w:rsid w:val="00AA55E5"/>
    <w:rsid w:val="00AA6039"/>
    <w:rsid w:val="00AB06B6"/>
    <w:rsid w:val="00AB0F79"/>
    <w:rsid w:val="00AB1060"/>
    <w:rsid w:val="00AB5463"/>
    <w:rsid w:val="00AB6753"/>
    <w:rsid w:val="00AB7BDC"/>
    <w:rsid w:val="00AC0CAC"/>
    <w:rsid w:val="00AC6FE5"/>
    <w:rsid w:val="00AD0556"/>
    <w:rsid w:val="00AD2FAF"/>
    <w:rsid w:val="00AE1F10"/>
    <w:rsid w:val="00AE252E"/>
    <w:rsid w:val="00AE3AB3"/>
    <w:rsid w:val="00AF03F4"/>
    <w:rsid w:val="00AF2F67"/>
    <w:rsid w:val="00AF3EAF"/>
    <w:rsid w:val="00AF4711"/>
    <w:rsid w:val="00B00CB2"/>
    <w:rsid w:val="00B054B7"/>
    <w:rsid w:val="00B07EC2"/>
    <w:rsid w:val="00B22BF1"/>
    <w:rsid w:val="00B22E7B"/>
    <w:rsid w:val="00B23785"/>
    <w:rsid w:val="00B24127"/>
    <w:rsid w:val="00B25CA1"/>
    <w:rsid w:val="00B2788B"/>
    <w:rsid w:val="00B3043A"/>
    <w:rsid w:val="00B355DB"/>
    <w:rsid w:val="00B37A48"/>
    <w:rsid w:val="00B400C3"/>
    <w:rsid w:val="00B40685"/>
    <w:rsid w:val="00B40E36"/>
    <w:rsid w:val="00B4186F"/>
    <w:rsid w:val="00B4236F"/>
    <w:rsid w:val="00B46D6F"/>
    <w:rsid w:val="00B5066A"/>
    <w:rsid w:val="00B516C6"/>
    <w:rsid w:val="00B52FD1"/>
    <w:rsid w:val="00B55C63"/>
    <w:rsid w:val="00B57967"/>
    <w:rsid w:val="00B6509E"/>
    <w:rsid w:val="00B66A6B"/>
    <w:rsid w:val="00B675B6"/>
    <w:rsid w:val="00B702A8"/>
    <w:rsid w:val="00B707F9"/>
    <w:rsid w:val="00B711FE"/>
    <w:rsid w:val="00B71C94"/>
    <w:rsid w:val="00B75B67"/>
    <w:rsid w:val="00B833FC"/>
    <w:rsid w:val="00B84D2B"/>
    <w:rsid w:val="00B94813"/>
    <w:rsid w:val="00B965FD"/>
    <w:rsid w:val="00B96EF8"/>
    <w:rsid w:val="00BA0C5A"/>
    <w:rsid w:val="00BA3C02"/>
    <w:rsid w:val="00BA5368"/>
    <w:rsid w:val="00BB0D51"/>
    <w:rsid w:val="00BB1204"/>
    <w:rsid w:val="00BB130A"/>
    <w:rsid w:val="00BC1E39"/>
    <w:rsid w:val="00BC53E8"/>
    <w:rsid w:val="00BD079F"/>
    <w:rsid w:val="00BD08E4"/>
    <w:rsid w:val="00BD0969"/>
    <w:rsid w:val="00BD21FE"/>
    <w:rsid w:val="00BD2CD7"/>
    <w:rsid w:val="00BD2D9A"/>
    <w:rsid w:val="00BD36DB"/>
    <w:rsid w:val="00BD62DF"/>
    <w:rsid w:val="00BD7D6A"/>
    <w:rsid w:val="00BE48DE"/>
    <w:rsid w:val="00BE5EF1"/>
    <w:rsid w:val="00BF0BF4"/>
    <w:rsid w:val="00BF1060"/>
    <w:rsid w:val="00BF3305"/>
    <w:rsid w:val="00BF3F9D"/>
    <w:rsid w:val="00BF4621"/>
    <w:rsid w:val="00BF56AD"/>
    <w:rsid w:val="00BF6CA3"/>
    <w:rsid w:val="00C01CCA"/>
    <w:rsid w:val="00C03C7B"/>
    <w:rsid w:val="00C07959"/>
    <w:rsid w:val="00C12982"/>
    <w:rsid w:val="00C13097"/>
    <w:rsid w:val="00C1315F"/>
    <w:rsid w:val="00C1645C"/>
    <w:rsid w:val="00C2084B"/>
    <w:rsid w:val="00C24AF2"/>
    <w:rsid w:val="00C308E5"/>
    <w:rsid w:val="00C3370D"/>
    <w:rsid w:val="00C35117"/>
    <w:rsid w:val="00C368DF"/>
    <w:rsid w:val="00C410DD"/>
    <w:rsid w:val="00C41CBA"/>
    <w:rsid w:val="00C47A39"/>
    <w:rsid w:val="00C55C63"/>
    <w:rsid w:val="00C63450"/>
    <w:rsid w:val="00C638B1"/>
    <w:rsid w:val="00C64867"/>
    <w:rsid w:val="00C70351"/>
    <w:rsid w:val="00C72BBF"/>
    <w:rsid w:val="00C7329A"/>
    <w:rsid w:val="00C73409"/>
    <w:rsid w:val="00C8131A"/>
    <w:rsid w:val="00C85AA7"/>
    <w:rsid w:val="00C91A75"/>
    <w:rsid w:val="00C92B1F"/>
    <w:rsid w:val="00C94F38"/>
    <w:rsid w:val="00CA3B2B"/>
    <w:rsid w:val="00CA5D82"/>
    <w:rsid w:val="00CA606B"/>
    <w:rsid w:val="00CA6AF7"/>
    <w:rsid w:val="00CB3E58"/>
    <w:rsid w:val="00CC2EC2"/>
    <w:rsid w:val="00CC77AB"/>
    <w:rsid w:val="00CD20AA"/>
    <w:rsid w:val="00CD3340"/>
    <w:rsid w:val="00CD3430"/>
    <w:rsid w:val="00CD456A"/>
    <w:rsid w:val="00CD541C"/>
    <w:rsid w:val="00CD54BA"/>
    <w:rsid w:val="00CD5EB6"/>
    <w:rsid w:val="00CE2B92"/>
    <w:rsid w:val="00CE2C5E"/>
    <w:rsid w:val="00CE340A"/>
    <w:rsid w:val="00CE6C16"/>
    <w:rsid w:val="00CE76C7"/>
    <w:rsid w:val="00CF7757"/>
    <w:rsid w:val="00D02038"/>
    <w:rsid w:val="00D04B1F"/>
    <w:rsid w:val="00D116F9"/>
    <w:rsid w:val="00D13EA9"/>
    <w:rsid w:val="00D155EB"/>
    <w:rsid w:val="00D16326"/>
    <w:rsid w:val="00D175B4"/>
    <w:rsid w:val="00D24C36"/>
    <w:rsid w:val="00D252C6"/>
    <w:rsid w:val="00D335C3"/>
    <w:rsid w:val="00D33F34"/>
    <w:rsid w:val="00D34518"/>
    <w:rsid w:val="00D345E0"/>
    <w:rsid w:val="00D35452"/>
    <w:rsid w:val="00D37115"/>
    <w:rsid w:val="00D3789D"/>
    <w:rsid w:val="00D403B4"/>
    <w:rsid w:val="00D41659"/>
    <w:rsid w:val="00D45B37"/>
    <w:rsid w:val="00D461F3"/>
    <w:rsid w:val="00D5617C"/>
    <w:rsid w:val="00D56643"/>
    <w:rsid w:val="00D6361D"/>
    <w:rsid w:val="00D652AD"/>
    <w:rsid w:val="00D65D09"/>
    <w:rsid w:val="00D665C6"/>
    <w:rsid w:val="00D669CA"/>
    <w:rsid w:val="00D7270A"/>
    <w:rsid w:val="00D7423A"/>
    <w:rsid w:val="00D80EF4"/>
    <w:rsid w:val="00D95E6C"/>
    <w:rsid w:val="00D96248"/>
    <w:rsid w:val="00DA2457"/>
    <w:rsid w:val="00DA4B17"/>
    <w:rsid w:val="00DA6DE6"/>
    <w:rsid w:val="00DB1239"/>
    <w:rsid w:val="00DB148A"/>
    <w:rsid w:val="00DB1F09"/>
    <w:rsid w:val="00DC0884"/>
    <w:rsid w:val="00DC3422"/>
    <w:rsid w:val="00DC3BCB"/>
    <w:rsid w:val="00DC68B1"/>
    <w:rsid w:val="00DD2BF5"/>
    <w:rsid w:val="00DD5ED1"/>
    <w:rsid w:val="00DD6029"/>
    <w:rsid w:val="00DE24FD"/>
    <w:rsid w:val="00DE62F7"/>
    <w:rsid w:val="00DF013C"/>
    <w:rsid w:val="00DF2AB4"/>
    <w:rsid w:val="00DF43FB"/>
    <w:rsid w:val="00DF47D7"/>
    <w:rsid w:val="00DF6A60"/>
    <w:rsid w:val="00E00256"/>
    <w:rsid w:val="00E013C4"/>
    <w:rsid w:val="00E01FC2"/>
    <w:rsid w:val="00E03ACC"/>
    <w:rsid w:val="00E04C0B"/>
    <w:rsid w:val="00E05BE5"/>
    <w:rsid w:val="00E05E53"/>
    <w:rsid w:val="00E10911"/>
    <w:rsid w:val="00E11AB8"/>
    <w:rsid w:val="00E132E0"/>
    <w:rsid w:val="00E13345"/>
    <w:rsid w:val="00E15B24"/>
    <w:rsid w:val="00E1727F"/>
    <w:rsid w:val="00E2004C"/>
    <w:rsid w:val="00E20219"/>
    <w:rsid w:val="00E25A3B"/>
    <w:rsid w:val="00E25F44"/>
    <w:rsid w:val="00E264A9"/>
    <w:rsid w:val="00E3709F"/>
    <w:rsid w:val="00E3754B"/>
    <w:rsid w:val="00E4095A"/>
    <w:rsid w:val="00E41E96"/>
    <w:rsid w:val="00E42B00"/>
    <w:rsid w:val="00E466DA"/>
    <w:rsid w:val="00E46AAA"/>
    <w:rsid w:val="00E514A5"/>
    <w:rsid w:val="00E53297"/>
    <w:rsid w:val="00E57649"/>
    <w:rsid w:val="00E5764C"/>
    <w:rsid w:val="00E57928"/>
    <w:rsid w:val="00E57993"/>
    <w:rsid w:val="00E60E50"/>
    <w:rsid w:val="00E70514"/>
    <w:rsid w:val="00E7099A"/>
    <w:rsid w:val="00E70DA4"/>
    <w:rsid w:val="00E735D0"/>
    <w:rsid w:val="00E737DB"/>
    <w:rsid w:val="00E75A65"/>
    <w:rsid w:val="00E80C11"/>
    <w:rsid w:val="00E833A2"/>
    <w:rsid w:val="00E85B50"/>
    <w:rsid w:val="00E87100"/>
    <w:rsid w:val="00E915FB"/>
    <w:rsid w:val="00E963BC"/>
    <w:rsid w:val="00EA0A49"/>
    <w:rsid w:val="00EA0E4B"/>
    <w:rsid w:val="00EA524D"/>
    <w:rsid w:val="00EA75C5"/>
    <w:rsid w:val="00EA76E7"/>
    <w:rsid w:val="00EB09C2"/>
    <w:rsid w:val="00EB1F19"/>
    <w:rsid w:val="00EB2DED"/>
    <w:rsid w:val="00EB6D23"/>
    <w:rsid w:val="00EB760D"/>
    <w:rsid w:val="00EC0DE4"/>
    <w:rsid w:val="00EC0E2A"/>
    <w:rsid w:val="00EC714D"/>
    <w:rsid w:val="00EC7750"/>
    <w:rsid w:val="00ED1A61"/>
    <w:rsid w:val="00ED1E0D"/>
    <w:rsid w:val="00ED4711"/>
    <w:rsid w:val="00ED4A56"/>
    <w:rsid w:val="00ED6472"/>
    <w:rsid w:val="00ED7665"/>
    <w:rsid w:val="00EE3DE1"/>
    <w:rsid w:val="00EE767A"/>
    <w:rsid w:val="00EF45D7"/>
    <w:rsid w:val="00F00A8D"/>
    <w:rsid w:val="00F016E9"/>
    <w:rsid w:val="00F028B2"/>
    <w:rsid w:val="00F0510D"/>
    <w:rsid w:val="00F06712"/>
    <w:rsid w:val="00F104C2"/>
    <w:rsid w:val="00F16701"/>
    <w:rsid w:val="00F16F60"/>
    <w:rsid w:val="00F20360"/>
    <w:rsid w:val="00F20568"/>
    <w:rsid w:val="00F243C6"/>
    <w:rsid w:val="00F25E07"/>
    <w:rsid w:val="00F27BF5"/>
    <w:rsid w:val="00F40B83"/>
    <w:rsid w:val="00F40DC9"/>
    <w:rsid w:val="00F41F32"/>
    <w:rsid w:val="00F424BA"/>
    <w:rsid w:val="00F43B66"/>
    <w:rsid w:val="00F46208"/>
    <w:rsid w:val="00F464DE"/>
    <w:rsid w:val="00F477B8"/>
    <w:rsid w:val="00F50036"/>
    <w:rsid w:val="00F5155E"/>
    <w:rsid w:val="00F51C32"/>
    <w:rsid w:val="00F52E7B"/>
    <w:rsid w:val="00F53125"/>
    <w:rsid w:val="00F54F0B"/>
    <w:rsid w:val="00F57955"/>
    <w:rsid w:val="00F57FD6"/>
    <w:rsid w:val="00F63751"/>
    <w:rsid w:val="00F6519E"/>
    <w:rsid w:val="00F66C90"/>
    <w:rsid w:val="00F66FE2"/>
    <w:rsid w:val="00F7006F"/>
    <w:rsid w:val="00F73058"/>
    <w:rsid w:val="00F740DA"/>
    <w:rsid w:val="00F81526"/>
    <w:rsid w:val="00F835B5"/>
    <w:rsid w:val="00F91AE3"/>
    <w:rsid w:val="00F96735"/>
    <w:rsid w:val="00F97F04"/>
    <w:rsid w:val="00FA08E4"/>
    <w:rsid w:val="00FA0B9C"/>
    <w:rsid w:val="00FA4DCE"/>
    <w:rsid w:val="00FA55F3"/>
    <w:rsid w:val="00FB3037"/>
    <w:rsid w:val="00FB3999"/>
    <w:rsid w:val="00FB5223"/>
    <w:rsid w:val="00FB6296"/>
    <w:rsid w:val="00FC33FF"/>
    <w:rsid w:val="00FC59BD"/>
    <w:rsid w:val="00FC6563"/>
    <w:rsid w:val="00FC76CC"/>
    <w:rsid w:val="00FD0233"/>
    <w:rsid w:val="00FD0CB9"/>
    <w:rsid w:val="00FD2EC1"/>
    <w:rsid w:val="00FD4B12"/>
    <w:rsid w:val="00FD7DAD"/>
    <w:rsid w:val="00FE1974"/>
    <w:rsid w:val="00FE2C3E"/>
    <w:rsid w:val="00FF01EC"/>
    <w:rsid w:val="00FF5B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6B"/>
    <w:pPr>
      <w:spacing w:line="480" w:lineRule="auto"/>
      <w:ind w:left="720" w:hanging="720"/>
      <w:jc w:val="both"/>
    </w:pPr>
    <w:rPr>
      <w:rFonts w:ascii="Arial" w:hAnsi="Arial"/>
      <w:sz w:val="24"/>
    </w:rPr>
  </w:style>
  <w:style w:type="paragraph" w:styleId="Heading1">
    <w:name w:val="heading 1"/>
    <w:basedOn w:val="Normal"/>
    <w:next w:val="Normal"/>
    <w:qFormat/>
    <w:rsid w:val="00550A6B"/>
    <w:pPr>
      <w:keepNext/>
      <w:jc w:val="center"/>
      <w:outlineLvl w:val="0"/>
    </w:pPr>
    <w:rPr>
      <w:rFonts w:ascii="Times New Roman" w:hAnsi="Times New Roman"/>
      <w:b/>
      <w:caps/>
    </w:rPr>
  </w:style>
  <w:style w:type="paragraph" w:styleId="Heading2">
    <w:name w:val="heading 2"/>
    <w:basedOn w:val="Normal"/>
    <w:next w:val="Normal"/>
    <w:qFormat/>
    <w:rsid w:val="00251747"/>
    <w:pPr>
      <w:keepNext/>
      <w:jc w:val="center"/>
      <w:outlineLvl w:val="1"/>
    </w:pPr>
    <w:rPr>
      <w:u w:val="single"/>
    </w:rPr>
  </w:style>
  <w:style w:type="paragraph" w:styleId="Heading3">
    <w:name w:val="heading 3"/>
    <w:basedOn w:val="Normal"/>
    <w:next w:val="Normal"/>
    <w:qFormat/>
    <w:rsid w:val="00251747"/>
    <w:pPr>
      <w:keepNext/>
      <w:spacing w:before="240"/>
      <w:jc w:val="center"/>
      <w:outlineLvl w:val="2"/>
    </w:pPr>
    <w:rPr>
      <w:b/>
      <w:u w:val="single"/>
    </w:rPr>
  </w:style>
  <w:style w:type="paragraph" w:styleId="Heading4">
    <w:name w:val="heading 4"/>
    <w:basedOn w:val="Normal"/>
    <w:next w:val="Normal"/>
    <w:qFormat/>
    <w:rsid w:val="00251747"/>
    <w:pPr>
      <w:keepNext/>
      <w:spacing w:before="240"/>
      <w:outlineLvl w:val="3"/>
    </w:pPr>
    <w:rPr>
      <w:b/>
    </w:rPr>
  </w:style>
  <w:style w:type="paragraph" w:styleId="Heading5">
    <w:name w:val="heading 5"/>
    <w:basedOn w:val="Normal"/>
    <w:next w:val="Normal"/>
    <w:qFormat/>
    <w:rsid w:val="00251747"/>
    <w:pPr>
      <w:keepNext/>
      <w:keepLines/>
      <w:jc w:val="left"/>
      <w:outlineLvl w:val="4"/>
    </w:pPr>
    <w:rPr>
      <w:rFonts w:ascii="Times New Roman" w:hAnsi="Times New Roman"/>
      <w:b/>
      <w:u w:val="single"/>
    </w:rPr>
  </w:style>
  <w:style w:type="paragraph" w:styleId="Heading6">
    <w:name w:val="heading 6"/>
    <w:basedOn w:val="Normal"/>
    <w:next w:val="Normal"/>
    <w:qFormat/>
    <w:rsid w:val="00251747"/>
    <w:pPr>
      <w:keepNext/>
      <w:ind w:firstLine="0"/>
      <w:outlineLvl w:val="5"/>
    </w:pPr>
    <w:rPr>
      <w:rFonts w:ascii="Times New Roman" w:hAnsi="Times New Roman"/>
      <w:u w:val="single"/>
    </w:rPr>
  </w:style>
  <w:style w:type="paragraph" w:styleId="Heading7">
    <w:name w:val="heading 7"/>
    <w:basedOn w:val="Normal"/>
    <w:next w:val="Normal"/>
    <w:qFormat/>
    <w:rsid w:val="00E25A3B"/>
    <w:pPr>
      <w:spacing w:before="240" w:after="60"/>
      <w:outlineLvl w:val="6"/>
    </w:pPr>
    <w:rPr>
      <w:rFonts w:ascii="Times New Roman" w:hAnsi="Times New Roman"/>
      <w:szCs w:val="24"/>
    </w:rPr>
  </w:style>
  <w:style w:type="paragraph" w:styleId="Heading8">
    <w:name w:val="heading 8"/>
    <w:basedOn w:val="Normal"/>
    <w:next w:val="Normal"/>
    <w:qFormat/>
    <w:rsid w:val="00E25A3B"/>
    <w:pPr>
      <w:spacing w:before="240" w:after="60"/>
      <w:outlineLvl w:val="7"/>
    </w:pPr>
    <w:rPr>
      <w:rFonts w:ascii="Times New Roman" w:hAnsi="Times New Roman"/>
      <w:i/>
      <w:iCs/>
      <w:szCs w:val="24"/>
    </w:rPr>
  </w:style>
  <w:style w:type="paragraph" w:styleId="Heading9">
    <w:name w:val="heading 9"/>
    <w:basedOn w:val="Normal"/>
    <w:next w:val="Normal"/>
    <w:qFormat/>
    <w:rsid w:val="00E25A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Footnote Text Char Char Char Char Char Char Char Char Char"/>
    <w:basedOn w:val="Normal"/>
    <w:link w:val="FootnoteTextChar1"/>
    <w:semiHidden/>
    <w:rsid w:val="00493165"/>
    <w:pPr>
      <w:spacing w:line="240" w:lineRule="auto"/>
      <w:jc w:val="left"/>
    </w:pPr>
    <w:rPr>
      <w:rFonts w:ascii="Times" w:hAnsi="Times"/>
      <w:sz w:val="20"/>
    </w:rPr>
  </w:style>
  <w:style w:type="paragraph" w:styleId="Header">
    <w:name w:val="header"/>
    <w:basedOn w:val="Normal"/>
    <w:link w:val="HeaderChar"/>
    <w:uiPriority w:val="99"/>
    <w:rsid w:val="00251747"/>
    <w:pPr>
      <w:tabs>
        <w:tab w:val="center" w:pos="4320"/>
        <w:tab w:val="right" w:pos="8640"/>
      </w:tabs>
      <w:jc w:val="left"/>
    </w:pPr>
  </w:style>
  <w:style w:type="paragraph" w:styleId="Footer">
    <w:name w:val="footer"/>
    <w:basedOn w:val="Normal"/>
    <w:rsid w:val="00251747"/>
    <w:pPr>
      <w:tabs>
        <w:tab w:val="center" w:pos="4320"/>
        <w:tab w:val="right" w:pos="8640"/>
      </w:tabs>
      <w:jc w:val="left"/>
    </w:pPr>
  </w:style>
  <w:style w:type="character" w:styleId="LineNumber">
    <w:name w:val="line number"/>
    <w:basedOn w:val="DefaultParagraphFont"/>
    <w:rsid w:val="00251747"/>
    <w:rPr>
      <w:rFonts w:ascii="Times New Roman" w:hAnsi="Times New Roman"/>
      <w:sz w:val="24"/>
    </w:rPr>
  </w:style>
  <w:style w:type="character" w:styleId="FootnoteReference">
    <w:name w:val="footnote reference"/>
    <w:basedOn w:val="DefaultParagraphFont"/>
    <w:semiHidden/>
    <w:rsid w:val="00493165"/>
    <w:rPr>
      <w:rFonts w:ascii="Times New Roman" w:hAnsi="Times New Roman"/>
      <w:position w:val="6"/>
      <w:sz w:val="20"/>
    </w:rPr>
  </w:style>
  <w:style w:type="character" w:styleId="PageNumber">
    <w:name w:val="page number"/>
    <w:basedOn w:val="DefaultParagraphFont"/>
    <w:rsid w:val="00251747"/>
  </w:style>
  <w:style w:type="paragraph" w:styleId="BodyTextIndent">
    <w:name w:val="Body Text Indent"/>
    <w:basedOn w:val="Normal"/>
    <w:rsid w:val="00251747"/>
    <w:pPr>
      <w:spacing w:before="240"/>
    </w:pPr>
  </w:style>
  <w:style w:type="paragraph" w:styleId="BlockText">
    <w:name w:val="Block Text"/>
    <w:basedOn w:val="Normal"/>
    <w:rsid w:val="00251747"/>
    <w:pPr>
      <w:ind w:right="-18"/>
    </w:pPr>
  </w:style>
  <w:style w:type="paragraph" w:styleId="BodyTextIndent2">
    <w:name w:val="Body Text Indent 2"/>
    <w:basedOn w:val="Normal"/>
    <w:link w:val="BodyTextIndent2Char"/>
    <w:rsid w:val="00251747"/>
    <w:pPr>
      <w:spacing w:before="240"/>
    </w:pPr>
    <w:rPr>
      <w:b/>
    </w:rPr>
  </w:style>
  <w:style w:type="paragraph" w:styleId="DocumentMap">
    <w:name w:val="Document Map"/>
    <w:basedOn w:val="Normal"/>
    <w:semiHidden/>
    <w:rsid w:val="00251747"/>
    <w:pPr>
      <w:shd w:val="clear" w:color="auto" w:fill="000080"/>
    </w:pPr>
    <w:rPr>
      <w:rFonts w:ascii="Tahoma" w:hAnsi="Tahoma"/>
    </w:rPr>
  </w:style>
  <w:style w:type="paragraph" w:styleId="BodyTextIndent3">
    <w:name w:val="Body Text Indent 3"/>
    <w:basedOn w:val="Normal"/>
    <w:rsid w:val="00251747"/>
    <w:pPr>
      <w:ind w:firstLine="720"/>
    </w:pPr>
  </w:style>
  <w:style w:type="paragraph" w:styleId="BalloonText">
    <w:name w:val="Balloon Text"/>
    <w:basedOn w:val="Normal"/>
    <w:semiHidden/>
    <w:rsid w:val="00251747"/>
    <w:rPr>
      <w:rFonts w:ascii="Tahoma" w:hAnsi="Tahoma" w:cs="Tahoma"/>
      <w:sz w:val="16"/>
      <w:szCs w:val="16"/>
    </w:rPr>
  </w:style>
  <w:style w:type="character" w:styleId="CommentReference">
    <w:name w:val="annotation reference"/>
    <w:basedOn w:val="DefaultParagraphFont"/>
    <w:semiHidden/>
    <w:rsid w:val="00251747"/>
    <w:rPr>
      <w:sz w:val="16"/>
      <w:szCs w:val="16"/>
    </w:rPr>
  </w:style>
  <w:style w:type="paragraph" w:styleId="CommentText">
    <w:name w:val="annotation text"/>
    <w:basedOn w:val="Normal"/>
    <w:semiHidden/>
    <w:rsid w:val="00251747"/>
    <w:rPr>
      <w:sz w:val="20"/>
    </w:rPr>
  </w:style>
  <w:style w:type="paragraph" w:styleId="CommentSubject">
    <w:name w:val="annotation subject"/>
    <w:basedOn w:val="CommentText"/>
    <w:next w:val="CommentText"/>
    <w:semiHidden/>
    <w:rsid w:val="00251747"/>
    <w:rPr>
      <w:b/>
      <w:bCs/>
    </w:rPr>
  </w:style>
  <w:style w:type="character" w:styleId="Hyperlink">
    <w:name w:val="Hyperlink"/>
    <w:basedOn w:val="DefaultParagraphFont"/>
    <w:uiPriority w:val="99"/>
    <w:rsid w:val="00251747"/>
    <w:rPr>
      <w:color w:val="0000FF"/>
      <w:u w:val="single"/>
    </w:rPr>
  </w:style>
  <w:style w:type="paragraph" w:styleId="Revision">
    <w:name w:val="Revision"/>
    <w:hidden/>
    <w:uiPriority w:val="99"/>
    <w:semiHidden/>
    <w:rsid w:val="00251747"/>
    <w:rPr>
      <w:rFonts w:ascii="Arial" w:hAnsi="Arial"/>
      <w:sz w:val="24"/>
    </w:rPr>
  </w:style>
  <w:style w:type="character" w:styleId="FollowedHyperlink">
    <w:name w:val="FollowedHyperlink"/>
    <w:basedOn w:val="DefaultParagraphFont"/>
    <w:uiPriority w:val="99"/>
    <w:semiHidden/>
    <w:unhideWhenUsed/>
    <w:rsid w:val="00120CB2"/>
    <w:rPr>
      <w:color w:val="800080"/>
      <w:u w:val="single"/>
    </w:rPr>
  </w:style>
  <w:style w:type="paragraph" w:styleId="BodyText">
    <w:name w:val="Body Text"/>
    <w:basedOn w:val="Normal"/>
    <w:rsid w:val="00E25A3B"/>
    <w:pPr>
      <w:spacing w:after="120"/>
    </w:pPr>
  </w:style>
  <w:style w:type="paragraph" w:styleId="BodyText2">
    <w:name w:val="Body Text 2"/>
    <w:basedOn w:val="Normal"/>
    <w:rsid w:val="00E25A3B"/>
    <w:pPr>
      <w:spacing w:after="120"/>
    </w:pPr>
  </w:style>
  <w:style w:type="paragraph" w:styleId="BodyText3">
    <w:name w:val="Body Text 3"/>
    <w:basedOn w:val="Normal"/>
    <w:rsid w:val="00E25A3B"/>
    <w:pPr>
      <w:spacing w:after="120"/>
    </w:pPr>
    <w:rPr>
      <w:sz w:val="16"/>
      <w:szCs w:val="16"/>
    </w:rPr>
  </w:style>
  <w:style w:type="paragraph" w:styleId="BodyTextFirstIndent">
    <w:name w:val="Body Text First Indent"/>
    <w:basedOn w:val="BodyText"/>
    <w:rsid w:val="00E25A3B"/>
    <w:pPr>
      <w:ind w:firstLine="210"/>
    </w:pPr>
  </w:style>
  <w:style w:type="paragraph" w:styleId="BodyTextFirstIndent2">
    <w:name w:val="Body Text First Indent 2"/>
    <w:basedOn w:val="BodyTextIndent"/>
    <w:rsid w:val="00E25A3B"/>
    <w:pPr>
      <w:spacing w:before="0" w:after="120"/>
      <w:ind w:left="360" w:firstLine="210"/>
    </w:pPr>
  </w:style>
  <w:style w:type="paragraph" w:styleId="Caption">
    <w:name w:val="caption"/>
    <w:basedOn w:val="Normal"/>
    <w:next w:val="Normal"/>
    <w:qFormat/>
    <w:rsid w:val="00E25A3B"/>
    <w:pPr>
      <w:spacing w:before="120" w:after="120"/>
    </w:pPr>
    <w:rPr>
      <w:b/>
      <w:bCs/>
      <w:sz w:val="20"/>
    </w:rPr>
  </w:style>
  <w:style w:type="paragraph" w:styleId="Closing">
    <w:name w:val="Closing"/>
    <w:basedOn w:val="Normal"/>
    <w:rsid w:val="00E25A3B"/>
    <w:pPr>
      <w:ind w:left="4320"/>
    </w:pPr>
  </w:style>
  <w:style w:type="paragraph" w:styleId="Date">
    <w:name w:val="Date"/>
    <w:basedOn w:val="Normal"/>
    <w:next w:val="Normal"/>
    <w:rsid w:val="00E25A3B"/>
  </w:style>
  <w:style w:type="paragraph" w:styleId="E-mailSignature">
    <w:name w:val="E-mail Signature"/>
    <w:basedOn w:val="Normal"/>
    <w:rsid w:val="00E25A3B"/>
  </w:style>
  <w:style w:type="paragraph" w:styleId="EndnoteText">
    <w:name w:val="endnote text"/>
    <w:basedOn w:val="Normal"/>
    <w:semiHidden/>
    <w:rsid w:val="00E25A3B"/>
    <w:rPr>
      <w:sz w:val="20"/>
    </w:rPr>
  </w:style>
  <w:style w:type="paragraph" w:styleId="EnvelopeAddress">
    <w:name w:val="envelope address"/>
    <w:basedOn w:val="Normal"/>
    <w:rsid w:val="00E25A3B"/>
    <w:pPr>
      <w:framePr w:w="7920" w:h="1980" w:hRule="exact" w:hSpace="180" w:wrap="auto" w:hAnchor="page" w:xAlign="center" w:yAlign="bottom"/>
      <w:ind w:left="2880"/>
    </w:pPr>
    <w:rPr>
      <w:rFonts w:cs="Arial"/>
      <w:szCs w:val="24"/>
    </w:rPr>
  </w:style>
  <w:style w:type="paragraph" w:styleId="EnvelopeReturn">
    <w:name w:val="envelope return"/>
    <w:basedOn w:val="Normal"/>
    <w:rsid w:val="00E25A3B"/>
    <w:rPr>
      <w:rFonts w:cs="Arial"/>
      <w:sz w:val="20"/>
    </w:rPr>
  </w:style>
  <w:style w:type="paragraph" w:styleId="HTMLAddress">
    <w:name w:val="HTML Address"/>
    <w:basedOn w:val="Normal"/>
    <w:rsid w:val="00E25A3B"/>
    <w:rPr>
      <w:i/>
      <w:iCs/>
    </w:rPr>
  </w:style>
  <w:style w:type="paragraph" w:styleId="HTMLPreformatted">
    <w:name w:val="HTML Preformatted"/>
    <w:basedOn w:val="Normal"/>
    <w:rsid w:val="00E25A3B"/>
    <w:rPr>
      <w:rFonts w:ascii="Courier New" w:hAnsi="Courier New" w:cs="Courier New"/>
      <w:sz w:val="20"/>
    </w:rPr>
  </w:style>
  <w:style w:type="paragraph" w:styleId="Index1">
    <w:name w:val="index 1"/>
    <w:basedOn w:val="Normal"/>
    <w:next w:val="Normal"/>
    <w:autoRedefine/>
    <w:semiHidden/>
    <w:rsid w:val="00E25A3B"/>
    <w:pPr>
      <w:ind w:left="240" w:hanging="240"/>
    </w:pPr>
  </w:style>
  <w:style w:type="paragraph" w:styleId="Index2">
    <w:name w:val="index 2"/>
    <w:basedOn w:val="Normal"/>
    <w:next w:val="Normal"/>
    <w:autoRedefine/>
    <w:semiHidden/>
    <w:rsid w:val="00E25A3B"/>
    <w:pPr>
      <w:ind w:left="480" w:hanging="240"/>
    </w:pPr>
  </w:style>
  <w:style w:type="paragraph" w:styleId="Index3">
    <w:name w:val="index 3"/>
    <w:basedOn w:val="Normal"/>
    <w:next w:val="Normal"/>
    <w:autoRedefine/>
    <w:semiHidden/>
    <w:rsid w:val="00E25A3B"/>
    <w:pPr>
      <w:ind w:hanging="240"/>
    </w:pPr>
  </w:style>
  <w:style w:type="paragraph" w:styleId="Index4">
    <w:name w:val="index 4"/>
    <w:basedOn w:val="Normal"/>
    <w:next w:val="Normal"/>
    <w:autoRedefine/>
    <w:semiHidden/>
    <w:rsid w:val="00E25A3B"/>
    <w:pPr>
      <w:ind w:left="960" w:hanging="240"/>
    </w:pPr>
  </w:style>
  <w:style w:type="paragraph" w:styleId="Index5">
    <w:name w:val="index 5"/>
    <w:basedOn w:val="Normal"/>
    <w:next w:val="Normal"/>
    <w:autoRedefine/>
    <w:semiHidden/>
    <w:rsid w:val="00E25A3B"/>
    <w:pPr>
      <w:ind w:left="1200" w:hanging="240"/>
    </w:pPr>
  </w:style>
  <w:style w:type="paragraph" w:styleId="Index6">
    <w:name w:val="index 6"/>
    <w:basedOn w:val="Normal"/>
    <w:next w:val="Normal"/>
    <w:autoRedefine/>
    <w:semiHidden/>
    <w:rsid w:val="00E25A3B"/>
    <w:pPr>
      <w:ind w:left="1440" w:hanging="240"/>
    </w:pPr>
  </w:style>
  <w:style w:type="paragraph" w:styleId="Index7">
    <w:name w:val="index 7"/>
    <w:basedOn w:val="Normal"/>
    <w:next w:val="Normal"/>
    <w:autoRedefine/>
    <w:semiHidden/>
    <w:rsid w:val="00E25A3B"/>
    <w:pPr>
      <w:ind w:left="1680" w:hanging="240"/>
    </w:pPr>
  </w:style>
  <w:style w:type="paragraph" w:styleId="Index8">
    <w:name w:val="index 8"/>
    <w:basedOn w:val="Normal"/>
    <w:next w:val="Normal"/>
    <w:autoRedefine/>
    <w:semiHidden/>
    <w:rsid w:val="00E25A3B"/>
    <w:pPr>
      <w:ind w:left="1920" w:hanging="240"/>
    </w:pPr>
  </w:style>
  <w:style w:type="paragraph" w:styleId="Index9">
    <w:name w:val="index 9"/>
    <w:basedOn w:val="Normal"/>
    <w:next w:val="Normal"/>
    <w:autoRedefine/>
    <w:semiHidden/>
    <w:rsid w:val="00E25A3B"/>
    <w:pPr>
      <w:ind w:left="2160" w:hanging="240"/>
    </w:pPr>
  </w:style>
  <w:style w:type="paragraph" w:styleId="IndexHeading">
    <w:name w:val="index heading"/>
    <w:basedOn w:val="Normal"/>
    <w:next w:val="Index1"/>
    <w:semiHidden/>
    <w:rsid w:val="00E25A3B"/>
    <w:rPr>
      <w:rFonts w:cs="Arial"/>
      <w:b/>
      <w:bCs/>
    </w:rPr>
  </w:style>
  <w:style w:type="paragraph" w:styleId="List">
    <w:name w:val="List"/>
    <w:basedOn w:val="Normal"/>
    <w:rsid w:val="00E25A3B"/>
    <w:pPr>
      <w:ind w:left="360" w:hanging="360"/>
    </w:pPr>
  </w:style>
  <w:style w:type="paragraph" w:styleId="List2">
    <w:name w:val="List 2"/>
    <w:basedOn w:val="Normal"/>
    <w:rsid w:val="00E25A3B"/>
    <w:pPr>
      <w:ind w:hanging="360"/>
    </w:pPr>
  </w:style>
  <w:style w:type="paragraph" w:styleId="List3">
    <w:name w:val="List 3"/>
    <w:basedOn w:val="Normal"/>
    <w:rsid w:val="00E25A3B"/>
    <w:pPr>
      <w:ind w:left="1080" w:hanging="360"/>
    </w:pPr>
  </w:style>
  <w:style w:type="paragraph" w:styleId="List4">
    <w:name w:val="List 4"/>
    <w:basedOn w:val="Normal"/>
    <w:rsid w:val="00E25A3B"/>
    <w:pPr>
      <w:ind w:left="1440" w:hanging="360"/>
    </w:pPr>
  </w:style>
  <w:style w:type="paragraph" w:styleId="List5">
    <w:name w:val="List 5"/>
    <w:basedOn w:val="Normal"/>
    <w:rsid w:val="00E25A3B"/>
    <w:pPr>
      <w:ind w:left="1800" w:hanging="360"/>
    </w:pPr>
  </w:style>
  <w:style w:type="paragraph" w:styleId="ListBullet">
    <w:name w:val="List Bullet"/>
    <w:basedOn w:val="Normal"/>
    <w:autoRedefine/>
    <w:rsid w:val="00E25A3B"/>
    <w:pPr>
      <w:numPr>
        <w:numId w:val="4"/>
      </w:numPr>
    </w:pPr>
  </w:style>
  <w:style w:type="paragraph" w:styleId="ListBullet2">
    <w:name w:val="List Bullet 2"/>
    <w:basedOn w:val="Normal"/>
    <w:autoRedefine/>
    <w:rsid w:val="00E25A3B"/>
    <w:pPr>
      <w:numPr>
        <w:numId w:val="5"/>
      </w:numPr>
    </w:pPr>
  </w:style>
  <w:style w:type="paragraph" w:styleId="ListBullet3">
    <w:name w:val="List Bullet 3"/>
    <w:basedOn w:val="Normal"/>
    <w:autoRedefine/>
    <w:rsid w:val="00E25A3B"/>
    <w:pPr>
      <w:numPr>
        <w:numId w:val="6"/>
      </w:numPr>
    </w:pPr>
  </w:style>
  <w:style w:type="paragraph" w:styleId="ListBullet4">
    <w:name w:val="List Bullet 4"/>
    <w:basedOn w:val="Normal"/>
    <w:autoRedefine/>
    <w:rsid w:val="00E25A3B"/>
    <w:pPr>
      <w:numPr>
        <w:numId w:val="7"/>
      </w:numPr>
    </w:pPr>
  </w:style>
  <w:style w:type="paragraph" w:styleId="ListBullet5">
    <w:name w:val="List Bullet 5"/>
    <w:basedOn w:val="Normal"/>
    <w:autoRedefine/>
    <w:rsid w:val="00E25A3B"/>
    <w:pPr>
      <w:numPr>
        <w:numId w:val="8"/>
      </w:numPr>
    </w:pPr>
  </w:style>
  <w:style w:type="paragraph" w:styleId="ListContinue">
    <w:name w:val="List Continue"/>
    <w:basedOn w:val="Normal"/>
    <w:rsid w:val="00E25A3B"/>
    <w:pPr>
      <w:spacing w:after="120"/>
      <w:ind w:left="360"/>
    </w:pPr>
  </w:style>
  <w:style w:type="paragraph" w:styleId="ListContinue2">
    <w:name w:val="List Continue 2"/>
    <w:basedOn w:val="Normal"/>
    <w:rsid w:val="00E25A3B"/>
    <w:pPr>
      <w:spacing w:after="120"/>
    </w:pPr>
  </w:style>
  <w:style w:type="paragraph" w:styleId="ListContinue3">
    <w:name w:val="List Continue 3"/>
    <w:basedOn w:val="Normal"/>
    <w:rsid w:val="00E25A3B"/>
    <w:pPr>
      <w:spacing w:after="120"/>
      <w:ind w:left="1080"/>
    </w:pPr>
  </w:style>
  <w:style w:type="paragraph" w:styleId="ListContinue4">
    <w:name w:val="List Continue 4"/>
    <w:basedOn w:val="Normal"/>
    <w:rsid w:val="00E25A3B"/>
    <w:pPr>
      <w:spacing w:after="120"/>
      <w:ind w:left="1440"/>
    </w:pPr>
  </w:style>
  <w:style w:type="paragraph" w:styleId="ListContinue5">
    <w:name w:val="List Continue 5"/>
    <w:basedOn w:val="Normal"/>
    <w:rsid w:val="00E25A3B"/>
    <w:pPr>
      <w:spacing w:after="120"/>
      <w:ind w:left="1800"/>
    </w:pPr>
  </w:style>
  <w:style w:type="paragraph" w:styleId="ListNumber">
    <w:name w:val="List Number"/>
    <w:basedOn w:val="Normal"/>
    <w:rsid w:val="00E25A3B"/>
    <w:pPr>
      <w:numPr>
        <w:numId w:val="9"/>
      </w:numPr>
    </w:pPr>
  </w:style>
  <w:style w:type="paragraph" w:styleId="ListNumber2">
    <w:name w:val="List Number 2"/>
    <w:basedOn w:val="Normal"/>
    <w:rsid w:val="00E25A3B"/>
    <w:pPr>
      <w:numPr>
        <w:numId w:val="10"/>
      </w:numPr>
    </w:pPr>
  </w:style>
  <w:style w:type="paragraph" w:styleId="ListNumber3">
    <w:name w:val="List Number 3"/>
    <w:basedOn w:val="Normal"/>
    <w:rsid w:val="00E25A3B"/>
    <w:pPr>
      <w:numPr>
        <w:numId w:val="11"/>
      </w:numPr>
    </w:pPr>
  </w:style>
  <w:style w:type="paragraph" w:styleId="ListNumber4">
    <w:name w:val="List Number 4"/>
    <w:basedOn w:val="Normal"/>
    <w:rsid w:val="00E25A3B"/>
    <w:pPr>
      <w:numPr>
        <w:numId w:val="12"/>
      </w:numPr>
    </w:pPr>
  </w:style>
  <w:style w:type="paragraph" w:styleId="ListNumber5">
    <w:name w:val="List Number 5"/>
    <w:basedOn w:val="Normal"/>
    <w:rsid w:val="00E25A3B"/>
    <w:pPr>
      <w:numPr>
        <w:numId w:val="13"/>
      </w:numPr>
    </w:pPr>
  </w:style>
  <w:style w:type="paragraph" w:styleId="MacroText">
    <w:name w:val="macro"/>
    <w:semiHidden/>
    <w:rsid w:val="00E25A3B"/>
    <w:pPr>
      <w:tabs>
        <w:tab w:val="left" w:pos="480"/>
        <w:tab w:val="left" w:pos="960"/>
        <w:tab w:val="left" w:pos="1440"/>
        <w:tab w:val="left" w:pos="1920"/>
        <w:tab w:val="left" w:pos="2400"/>
        <w:tab w:val="left" w:pos="2880"/>
        <w:tab w:val="left" w:pos="3360"/>
        <w:tab w:val="left" w:pos="3840"/>
        <w:tab w:val="left" w:pos="4320"/>
      </w:tabs>
      <w:spacing w:line="480" w:lineRule="auto"/>
      <w:ind w:left="720" w:hanging="720"/>
      <w:jc w:val="both"/>
    </w:pPr>
    <w:rPr>
      <w:rFonts w:ascii="Courier New" w:hAnsi="Courier New" w:cs="Courier New"/>
    </w:rPr>
  </w:style>
  <w:style w:type="paragraph" w:styleId="MessageHeader">
    <w:name w:val="Message Header"/>
    <w:basedOn w:val="Normal"/>
    <w:rsid w:val="00E25A3B"/>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E25A3B"/>
    <w:rPr>
      <w:rFonts w:ascii="Times New Roman" w:hAnsi="Times New Roman"/>
      <w:szCs w:val="24"/>
    </w:rPr>
  </w:style>
  <w:style w:type="paragraph" w:styleId="NormalIndent">
    <w:name w:val="Normal Indent"/>
    <w:basedOn w:val="Normal"/>
    <w:rsid w:val="00E25A3B"/>
  </w:style>
  <w:style w:type="paragraph" w:styleId="NoteHeading">
    <w:name w:val="Note Heading"/>
    <w:basedOn w:val="Normal"/>
    <w:next w:val="Normal"/>
    <w:rsid w:val="00E25A3B"/>
  </w:style>
  <w:style w:type="paragraph" w:styleId="PlainText">
    <w:name w:val="Plain Text"/>
    <w:basedOn w:val="Normal"/>
    <w:rsid w:val="00E25A3B"/>
    <w:rPr>
      <w:rFonts w:ascii="Courier New" w:hAnsi="Courier New" w:cs="Courier New"/>
      <w:sz w:val="20"/>
    </w:rPr>
  </w:style>
  <w:style w:type="paragraph" w:styleId="Salutation">
    <w:name w:val="Salutation"/>
    <w:basedOn w:val="Normal"/>
    <w:next w:val="Normal"/>
    <w:rsid w:val="00E25A3B"/>
  </w:style>
  <w:style w:type="paragraph" w:styleId="Signature">
    <w:name w:val="Signature"/>
    <w:basedOn w:val="Normal"/>
    <w:rsid w:val="00E25A3B"/>
    <w:pPr>
      <w:ind w:left="4320"/>
    </w:pPr>
  </w:style>
  <w:style w:type="paragraph" w:styleId="Subtitle">
    <w:name w:val="Subtitle"/>
    <w:basedOn w:val="Normal"/>
    <w:qFormat/>
    <w:rsid w:val="00E25A3B"/>
    <w:pPr>
      <w:spacing w:after="60"/>
      <w:jc w:val="center"/>
      <w:outlineLvl w:val="1"/>
    </w:pPr>
    <w:rPr>
      <w:rFonts w:cs="Arial"/>
      <w:szCs w:val="24"/>
    </w:rPr>
  </w:style>
  <w:style w:type="paragraph" w:styleId="TableofAuthorities">
    <w:name w:val="table of authorities"/>
    <w:basedOn w:val="Normal"/>
    <w:next w:val="Normal"/>
    <w:semiHidden/>
    <w:rsid w:val="00E25A3B"/>
    <w:pPr>
      <w:ind w:left="240" w:hanging="240"/>
    </w:pPr>
  </w:style>
  <w:style w:type="paragraph" w:styleId="TableofFigures">
    <w:name w:val="table of figures"/>
    <w:basedOn w:val="Normal"/>
    <w:next w:val="Normal"/>
    <w:semiHidden/>
    <w:rsid w:val="00E25A3B"/>
    <w:pPr>
      <w:ind w:left="480" w:hanging="480"/>
    </w:pPr>
  </w:style>
  <w:style w:type="paragraph" w:styleId="Title">
    <w:name w:val="Title"/>
    <w:basedOn w:val="Normal"/>
    <w:qFormat/>
    <w:rsid w:val="00E25A3B"/>
    <w:pPr>
      <w:spacing w:before="240" w:after="60"/>
      <w:jc w:val="center"/>
      <w:outlineLvl w:val="0"/>
    </w:pPr>
    <w:rPr>
      <w:rFonts w:cs="Arial"/>
      <w:b/>
      <w:bCs/>
      <w:kern w:val="28"/>
      <w:sz w:val="32"/>
      <w:szCs w:val="32"/>
    </w:rPr>
  </w:style>
  <w:style w:type="paragraph" w:styleId="TOAHeading">
    <w:name w:val="toa heading"/>
    <w:basedOn w:val="Normal"/>
    <w:next w:val="Normal"/>
    <w:semiHidden/>
    <w:rsid w:val="00E25A3B"/>
    <w:pPr>
      <w:spacing w:before="120"/>
    </w:pPr>
    <w:rPr>
      <w:rFonts w:cs="Arial"/>
      <w:b/>
      <w:bCs/>
      <w:szCs w:val="24"/>
    </w:rPr>
  </w:style>
  <w:style w:type="paragraph" w:styleId="TOC1">
    <w:name w:val="toc 1"/>
    <w:basedOn w:val="Normal"/>
    <w:next w:val="Normal"/>
    <w:autoRedefine/>
    <w:uiPriority w:val="39"/>
    <w:rsid w:val="00747AEA"/>
    <w:pPr>
      <w:suppressLineNumbers/>
      <w:tabs>
        <w:tab w:val="right" w:leader="dot" w:pos="8990"/>
      </w:tabs>
      <w:spacing w:line="360" w:lineRule="auto"/>
      <w:ind w:left="0" w:firstLine="0"/>
    </w:pPr>
  </w:style>
  <w:style w:type="paragraph" w:styleId="TOC2">
    <w:name w:val="toc 2"/>
    <w:basedOn w:val="Normal"/>
    <w:next w:val="Normal"/>
    <w:autoRedefine/>
    <w:semiHidden/>
    <w:rsid w:val="00E25A3B"/>
    <w:pPr>
      <w:ind w:left="240"/>
    </w:pPr>
  </w:style>
  <w:style w:type="paragraph" w:styleId="TOC3">
    <w:name w:val="toc 3"/>
    <w:basedOn w:val="Normal"/>
    <w:next w:val="Normal"/>
    <w:autoRedefine/>
    <w:semiHidden/>
    <w:rsid w:val="00E25A3B"/>
    <w:pPr>
      <w:ind w:left="480"/>
    </w:pPr>
  </w:style>
  <w:style w:type="paragraph" w:styleId="TOC4">
    <w:name w:val="toc 4"/>
    <w:basedOn w:val="Normal"/>
    <w:next w:val="Normal"/>
    <w:autoRedefine/>
    <w:semiHidden/>
    <w:rsid w:val="00E25A3B"/>
  </w:style>
  <w:style w:type="paragraph" w:styleId="TOC5">
    <w:name w:val="toc 5"/>
    <w:basedOn w:val="Normal"/>
    <w:next w:val="Normal"/>
    <w:autoRedefine/>
    <w:semiHidden/>
    <w:rsid w:val="00E25A3B"/>
    <w:pPr>
      <w:ind w:left="960"/>
    </w:pPr>
  </w:style>
  <w:style w:type="paragraph" w:styleId="TOC6">
    <w:name w:val="toc 6"/>
    <w:basedOn w:val="Normal"/>
    <w:next w:val="Normal"/>
    <w:autoRedefine/>
    <w:semiHidden/>
    <w:rsid w:val="00E25A3B"/>
    <w:pPr>
      <w:ind w:left="1200"/>
    </w:pPr>
  </w:style>
  <w:style w:type="paragraph" w:styleId="TOC7">
    <w:name w:val="toc 7"/>
    <w:basedOn w:val="Normal"/>
    <w:next w:val="Normal"/>
    <w:autoRedefine/>
    <w:semiHidden/>
    <w:rsid w:val="00E25A3B"/>
    <w:pPr>
      <w:ind w:left="1440"/>
    </w:pPr>
  </w:style>
  <w:style w:type="paragraph" w:styleId="TOC8">
    <w:name w:val="toc 8"/>
    <w:basedOn w:val="Normal"/>
    <w:next w:val="Normal"/>
    <w:autoRedefine/>
    <w:semiHidden/>
    <w:rsid w:val="00E25A3B"/>
    <w:pPr>
      <w:ind w:left="1680"/>
    </w:pPr>
  </w:style>
  <w:style w:type="paragraph" w:styleId="TOC9">
    <w:name w:val="toc 9"/>
    <w:basedOn w:val="Normal"/>
    <w:next w:val="Normal"/>
    <w:autoRedefine/>
    <w:semiHidden/>
    <w:rsid w:val="00E25A3B"/>
    <w:pPr>
      <w:ind w:left="1920"/>
    </w:pPr>
  </w:style>
  <w:style w:type="character" w:customStyle="1" w:styleId="HeaderChar">
    <w:name w:val="Header Char"/>
    <w:basedOn w:val="DefaultParagraphFont"/>
    <w:link w:val="Header"/>
    <w:uiPriority w:val="99"/>
    <w:rsid w:val="005E4681"/>
    <w:rPr>
      <w:rFonts w:ascii="Arial" w:hAnsi="Arial"/>
      <w:sz w:val="24"/>
    </w:rPr>
  </w:style>
  <w:style w:type="character" w:customStyle="1" w:styleId="FootnoteTextChar1">
    <w:name w:val="Footnote Text Char1"/>
    <w:aliases w:val="fn Char,Footnote Text Char Char,Footnote Text Char Char Char Char Char Char Char Char Char Char"/>
    <w:basedOn w:val="DefaultParagraphFont"/>
    <w:link w:val="FootnoteText"/>
    <w:semiHidden/>
    <w:rsid w:val="00493165"/>
    <w:rPr>
      <w:rFonts w:ascii="Times" w:hAnsi="Times"/>
    </w:rPr>
  </w:style>
  <w:style w:type="paragraph" w:customStyle="1" w:styleId="answer">
    <w:name w:val="answer"/>
    <w:basedOn w:val="Normal"/>
    <w:link w:val="answerChar"/>
    <w:rsid w:val="00725C43"/>
    <w:pPr>
      <w:spacing w:line="540" w:lineRule="atLeast"/>
    </w:pPr>
  </w:style>
  <w:style w:type="character" w:customStyle="1" w:styleId="answerChar">
    <w:name w:val="answer Char"/>
    <w:basedOn w:val="DefaultParagraphFont"/>
    <w:link w:val="answer"/>
    <w:rsid w:val="00725C43"/>
    <w:rPr>
      <w:rFonts w:ascii="Arial" w:hAnsi="Arial"/>
      <w:sz w:val="24"/>
    </w:rPr>
  </w:style>
  <w:style w:type="paragraph" w:customStyle="1" w:styleId="Question">
    <w:name w:val="Question"/>
    <w:basedOn w:val="BodyText"/>
    <w:rsid w:val="004F7E1F"/>
    <w:pPr>
      <w:spacing w:after="0"/>
      <w:jc w:val="left"/>
    </w:pPr>
    <w:rPr>
      <w:rFonts w:ascii="Times New Roman" w:hAnsi="Times New Roman"/>
      <w:b/>
      <w:bCs/>
    </w:rPr>
  </w:style>
  <w:style w:type="paragraph" w:customStyle="1" w:styleId="Answer0">
    <w:name w:val="Answer"/>
    <w:basedOn w:val="BodyText"/>
    <w:link w:val="AnswerChar0"/>
    <w:rsid w:val="004F7E1F"/>
    <w:pPr>
      <w:spacing w:after="0"/>
      <w:jc w:val="left"/>
    </w:pPr>
    <w:rPr>
      <w:rFonts w:ascii="Times New Roman" w:hAnsi="Times New Roman"/>
    </w:rPr>
  </w:style>
  <w:style w:type="character" w:customStyle="1" w:styleId="AnswerChar0">
    <w:name w:val="Answer Char"/>
    <w:basedOn w:val="DefaultParagraphFont"/>
    <w:link w:val="Answer0"/>
    <w:rsid w:val="004F7E1F"/>
    <w:rPr>
      <w:sz w:val="24"/>
    </w:rPr>
  </w:style>
  <w:style w:type="character" w:styleId="EndnoteReference">
    <w:name w:val="endnote reference"/>
    <w:basedOn w:val="DefaultParagraphFont"/>
    <w:uiPriority w:val="99"/>
    <w:semiHidden/>
    <w:unhideWhenUsed/>
    <w:rsid w:val="00EF45D7"/>
    <w:rPr>
      <w:vertAlign w:val="superscript"/>
    </w:rPr>
  </w:style>
  <w:style w:type="paragraph" w:customStyle="1" w:styleId="EntergyQuestion">
    <w:name w:val="Entergy Question"/>
    <w:basedOn w:val="Normal"/>
    <w:qFormat/>
    <w:rsid w:val="00BD21FE"/>
    <w:pPr>
      <w:widowControl w:val="0"/>
      <w:autoSpaceDE w:val="0"/>
      <w:autoSpaceDN w:val="0"/>
    </w:pPr>
    <w:rPr>
      <w:rFonts w:cs="Arial"/>
      <w:caps/>
      <w:szCs w:val="24"/>
    </w:rPr>
  </w:style>
  <w:style w:type="paragraph" w:customStyle="1" w:styleId="EntergyTestimony">
    <w:name w:val="Entergy Testimony"/>
    <w:basedOn w:val="Normal"/>
    <w:qFormat/>
    <w:rsid w:val="00BD21FE"/>
    <w:rPr>
      <w:rFonts w:cs="Arial"/>
      <w:szCs w:val="24"/>
    </w:rPr>
  </w:style>
  <w:style w:type="paragraph" w:customStyle="1" w:styleId="Default">
    <w:name w:val="Default"/>
    <w:rsid w:val="00777662"/>
    <w:pPr>
      <w:autoSpaceDE w:val="0"/>
      <w:autoSpaceDN w:val="0"/>
      <w:adjustRightInd w:val="0"/>
    </w:pPr>
    <w:rPr>
      <w:color w:val="000000"/>
      <w:sz w:val="24"/>
      <w:szCs w:val="24"/>
    </w:rPr>
  </w:style>
  <w:style w:type="character" w:customStyle="1" w:styleId="BodyTextIndent2Char">
    <w:name w:val="Body Text Indent 2 Char"/>
    <w:basedOn w:val="DefaultParagraphFont"/>
    <w:link w:val="BodyTextIndent2"/>
    <w:rsid w:val="00C410DD"/>
    <w:rPr>
      <w:rFonts w:ascii="Arial" w:hAnsi="Arial"/>
      <w:b/>
      <w:sz w:val="24"/>
    </w:rPr>
  </w:style>
  <w:style w:type="paragraph" w:styleId="TOCHeading">
    <w:name w:val="TOC Heading"/>
    <w:basedOn w:val="Heading1"/>
    <w:next w:val="Normal"/>
    <w:uiPriority w:val="39"/>
    <w:semiHidden/>
    <w:unhideWhenUsed/>
    <w:qFormat/>
    <w:rsid w:val="00747AEA"/>
    <w:pPr>
      <w:keepLines/>
      <w:spacing w:before="480" w:line="276" w:lineRule="auto"/>
      <w:ind w:left="0" w:firstLine="0"/>
      <w:jc w:val="left"/>
      <w:outlineLvl w:val="9"/>
    </w:pPr>
    <w:rPr>
      <w:rFonts w:asciiTheme="majorHAnsi" w:eastAsiaTheme="majorEastAsia" w:hAnsiTheme="majorHAnsi" w:cstheme="majorBidi"/>
      <w:bCs/>
      <w:caps w:val="0"/>
      <w:color w:val="365F91" w:themeColor="accent1" w:themeShade="BF"/>
      <w:sz w:val="28"/>
      <w:szCs w:val="28"/>
    </w:rPr>
  </w:style>
  <w:style w:type="paragraph" w:customStyle="1" w:styleId="FreeForm">
    <w:name w:val="Free Form"/>
    <w:autoRedefine/>
    <w:rsid w:val="002B4BD8"/>
    <w:pPr>
      <w:tabs>
        <w:tab w:val="right" w:pos="8640"/>
      </w:tabs>
      <w:jc w:val="center"/>
    </w:pPr>
    <w:rPr>
      <w:rFonts w:eastAsia="ヒラギノ角ゴ Pro W3"/>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65"/>
    <w:pPr>
      <w:spacing w:line="480" w:lineRule="auto"/>
      <w:ind w:left="720" w:hanging="720"/>
      <w:jc w:val="both"/>
    </w:pPr>
    <w:rPr>
      <w:rFonts w:ascii="Arial" w:hAnsi="Arial"/>
      <w:sz w:val="24"/>
    </w:rPr>
  </w:style>
  <w:style w:type="paragraph" w:styleId="Heading1">
    <w:name w:val="heading 1"/>
    <w:basedOn w:val="Normal"/>
    <w:next w:val="Normal"/>
    <w:qFormat/>
    <w:rsid w:val="00A5427C"/>
    <w:pPr>
      <w:keepNext/>
      <w:jc w:val="center"/>
      <w:outlineLvl w:val="0"/>
    </w:pPr>
    <w:rPr>
      <w:rFonts w:ascii="Times New Roman" w:hAnsi="Times New Roman"/>
      <w:b/>
      <w:caps/>
    </w:rPr>
  </w:style>
  <w:style w:type="paragraph" w:styleId="Heading2">
    <w:name w:val="heading 2"/>
    <w:basedOn w:val="Normal"/>
    <w:next w:val="Normal"/>
    <w:qFormat/>
    <w:rsid w:val="00251747"/>
    <w:pPr>
      <w:keepNext/>
      <w:jc w:val="center"/>
      <w:outlineLvl w:val="1"/>
    </w:pPr>
    <w:rPr>
      <w:u w:val="single"/>
    </w:rPr>
  </w:style>
  <w:style w:type="paragraph" w:styleId="Heading3">
    <w:name w:val="heading 3"/>
    <w:basedOn w:val="Normal"/>
    <w:next w:val="Normal"/>
    <w:qFormat/>
    <w:rsid w:val="00251747"/>
    <w:pPr>
      <w:keepNext/>
      <w:spacing w:before="240"/>
      <w:jc w:val="center"/>
      <w:outlineLvl w:val="2"/>
    </w:pPr>
    <w:rPr>
      <w:b/>
      <w:u w:val="single"/>
    </w:rPr>
  </w:style>
  <w:style w:type="paragraph" w:styleId="Heading4">
    <w:name w:val="heading 4"/>
    <w:basedOn w:val="Normal"/>
    <w:next w:val="Normal"/>
    <w:qFormat/>
    <w:rsid w:val="00251747"/>
    <w:pPr>
      <w:keepNext/>
      <w:spacing w:before="240"/>
      <w:outlineLvl w:val="3"/>
    </w:pPr>
    <w:rPr>
      <w:b/>
    </w:rPr>
  </w:style>
  <w:style w:type="paragraph" w:styleId="Heading5">
    <w:name w:val="heading 5"/>
    <w:basedOn w:val="Normal"/>
    <w:next w:val="Normal"/>
    <w:qFormat/>
    <w:rsid w:val="00251747"/>
    <w:pPr>
      <w:keepNext/>
      <w:keepLines/>
      <w:jc w:val="left"/>
      <w:outlineLvl w:val="4"/>
    </w:pPr>
    <w:rPr>
      <w:rFonts w:ascii="Times New Roman" w:hAnsi="Times New Roman"/>
      <w:b/>
      <w:u w:val="single"/>
    </w:rPr>
  </w:style>
  <w:style w:type="paragraph" w:styleId="Heading6">
    <w:name w:val="heading 6"/>
    <w:basedOn w:val="Normal"/>
    <w:next w:val="Normal"/>
    <w:qFormat/>
    <w:rsid w:val="00251747"/>
    <w:pPr>
      <w:keepNext/>
      <w:ind w:firstLine="0"/>
      <w:outlineLvl w:val="5"/>
    </w:pPr>
    <w:rPr>
      <w:rFonts w:ascii="Times New Roman" w:hAnsi="Times New Roman"/>
      <w:u w:val="single"/>
    </w:rPr>
  </w:style>
  <w:style w:type="paragraph" w:styleId="Heading7">
    <w:name w:val="heading 7"/>
    <w:basedOn w:val="Normal"/>
    <w:next w:val="Normal"/>
    <w:qFormat/>
    <w:rsid w:val="00E25A3B"/>
    <w:pPr>
      <w:spacing w:before="240" w:after="60"/>
      <w:outlineLvl w:val="6"/>
    </w:pPr>
    <w:rPr>
      <w:rFonts w:ascii="Times New Roman" w:hAnsi="Times New Roman"/>
      <w:szCs w:val="24"/>
    </w:rPr>
  </w:style>
  <w:style w:type="paragraph" w:styleId="Heading8">
    <w:name w:val="heading 8"/>
    <w:basedOn w:val="Normal"/>
    <w:next w:val="Normal"/>
    <w:qFormat/>
    <w:rsid w:val="00E25A3B"/>
    <w:pPr>
      <w:spacing w:before="240" w:after="60"/>
      <w:outlineLvl w:val="7"/>
    </w:pPr>
    <w:rPr>
      <w:rFonts w:ascii="Times New Roman" w:hAnsi="Times New Roman"/>
      <w:i/>
      <w:iCs/>
      <w:szCs w:val="24"/>
    </w:rPr>
  </w:style>
  <w:style w:type="paragraph" w:styleId="Heading9">
    <w:name w:val="heading 9"/>
    <w:basedOn w:val="Normal"/>
    <w:next w:val="Normal"/>
    <w:qFormat/>
    <w:rsid w:val="00E25A3B"/>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Footnote Text Char Char Char Char Char Char Char Char Char"/>
    <w:basedOn w:val="Normal"/>
    <w:link w:val="FootnoteTextChar1"/>
    <w:semiHidden/>
    <w:rsid w:val="00493165"/>
    <w:pPr>
      <w:spacing w:line="240" w:lineRule="auto"/>
      <w:jc w:val="left"/>
    </w:pPr>
    <w:rPr>
      <w:rFonts w:ascii="Times" w:hAnsi="Times"/>
      <w:sz w:val="20"/>
    </w:rPr>
  </w:style>
  <w:style w:type="paragraph" w:styleId="Header">
    <w:name w:val="header"/>
    <w:basedOn w:val="Normal"/>
    <w:link w:val="HeaderChar"/>
    <w:uiPriority w:val="99"/>
    <w:rsid w:val="00251747"/>
    <w:pPr>
      <w:tabs>
        <w:tab w:val="center" w:pos="4320"/>
        <w:tab w:val="right" w:pos="8640"/>
      </w:tabs>
      <w:jc w:val="left"/>
    </w:pPr>
  </w:style>
  <w:style w:type="paragraph" w:styleId="Footer">
    <w:name w:val="footer"/>
    <w:basedOn w:val="Normal"/>
    <w:rsid w:val="00251747"/>
    <w:pPr>
      <w:tabs>
        <w:tab w:val="center" w:pos="4320"/>
        <w:tab w:val="right" w:pos="8640"/>
      </w:tabs>
      <w:jc w:val="left"/>
    </w:pPr>
  </w:style>
  <w:style w:type="character" w:styleId="LineNumber">
    <w:name w:val="line number"/>
    <w:basedOn w:val="DefaultParagraphFont"/>
    <w:rsid w:val="00251747"/>
    <w:rPr>
      <w:rFonts w:ascii="Times New Roman" w:hAnsi="Times New Roman"/>
      <w:sz w:val="24"/>
    </w:rPr>
  </w:style>
  <w:style w:type="character" w:styleId="FootnoteReference">
    <w:name w:val="footnote reference"/>
    <w:basedOn w:val="DefaultParagraphFont"/>
    <w:semiHidden/>
    <w:rsid w:val="00493165"/>
    <w:rPr>
      <w:rFonts w:ascii="Times New Roman" w:hAnsi="Times New Roman"/>
      <w:position w:val="6"/>
      <w:sz w:val="20"/>
    </w:rPr>
  </w:style>
  <w:style w:type="character" w:styleId="PageNumber">
    <w:name w:val="page number"/>
    <w:basedOn w:val="DefaultParagraphFont"/>
    <w:rsid w:val="00251747"/>
  </w:style>
  <w:style w:type="paragraph" w:styleId="BodyTextIndent">
    <w:name w:val="Body Text Indent"/>
    <w:basedOn w:val="Normal"/>
    <w:rsid w:val="00251747"/>
    <w:pPr>
      <w:spacing w:before="240"/>
    </w:pPr>
  </w:style>
  <w:style w:type="paragraph" w:styleId="BlockText">
    <w:name w:val="Block Text"/>
    <w:basedOn w:val="Normal"/>
    <w:rsid w:val="00251747"/>
    <w:pPr>
      <w:ind w:right="-18"/>
    </w:pPr>
  </w:style>
  <w:style w:type="paragraph" w:styleId="BodyTextIndent2">
    <w:name w:val="Body Text Indent 2"/>
    <w:basedOn w:val="Normal"/>
    <w:link w:val="BodyTextIndent2Char"/>
    <w:rsid w:val="00251747"/>
    <w:pPr>
      <w:spacing w:before="240"/>
    </w:pPr>
    <w:rPr>
      <w:b/>
    </w:rPr>
  </w:style>
  <w:style w:type="paragraph" w:styleId="DocumentMap">
    <w:name w:val="Document Map"/>
    <w:basedOn w:val="Normal"/>
    <w:semiHidden/>
    <w:rsid w:val="00251747"/>
    <w:pPr>
      <w:shd w:val="clear" w:color="auto" w:fill="000080"/>
    </w:pPr>
    <w:rPr>
      <w:rFonts w:ascii="Tahoma" w:hAnsi="Tahoma"/>
    </w:rPr>
  </w:style>
  <w:style w:type="paragraph" w:styleId="BodyTextIndent3">
    <w:name w:val="Body Text Indent 3"/>
    <w:basedOn w:val="Normal"/>
    <w:rsid w:val="00251747"/>
    <w:pPr>
      <w:ind w:firstLine="720"/>
    </w:pPr>
  </w:style>
  <w:style w:type="paragraph" w:styleId="BalloonText">
    <w:name w:val="Balloon Text"/>
    <w:basedOn w:val="Normal"/>
    <w:semiHidden/>
    <w:rsid w:val="00251747"/>
    <w:rPr>
      <w:rFonts w:ascii="Tahoma" w:hAnsi="Tahoma" w:cs="Tahoma"/>
      <w:sz w:val="16"/>
      <w:szCs w:val="16"/>
    </w:rPr>
  </w:style>
  <w:style w:type="character" w:styleId="CommentReference">
    <w:name w:val="annotation reference"/>
    <w:basedOn w:val="DefaultParagraphFont"/>
    <w:semiHidden/>
    <w:rsid w:val="00251747"/>
    <w:rPr>
      <w:sz w:val="16"/>
      <w:szCs w:val="16"/>
    </w:rPr>
  </w:style>
  <w:style w:type="paragraph" w:styleId="CommentText">
    <w:name w:val="annotation text"/>
    <w:basedOn w:val="Normal"/>
    <w:semiHidden/>
    <w:rsid w:val="00251747"/>
    <w:rPr>
      <w:sz w:val="20"/>
    </w:rPr>
  </w:style>
  <w:style w:type="paragraph" w:styleId="CommentSubject">
    <w:name w:val="annotation subject"/>
    <w:basedOn w:val="CommentText"/>
    <w:next w:val="CommentText"/>
    <w:semiHidden/>
    <w:rsid w:val="00251747"/>
    <w:rPr>
      <w:b/>
      <w:bCs/>
    </w:rPr>
  </w:style>
  <w:style w:type="character" w:styleId="Hyperlink">
    <w:name w:val="Hyperlink"/>
    <w:basedOn w:val="DefaultParagraphFont"/>
    <w:uiPriority w:val="99"/>
    <w:rsid w:val="00251747"/>
    <w:rPr>
      <w:color w:val="0000FF"/>
      <w:u w:val="single"/>
    </w:rPr>
  </w:style>
  <w:style w:type="paragraph" w:styleId="Revision">
    <w:name w:val="Revision"/>
    <w:hidden/>
    <w:uiPriority w:val="99"/>
    <w:semiHidden/>
    <w:rsid w:val="00251747"/>
    <w:rPr>
      <w:rFonts w:ascii="Arial" w:hAnsi="Arial"/>
      <w:sz w:val="24"/>
    </w:rPr>
  </w:style>
  <w:style w:type="character" w:styleId="FollowedHyperlink">
    <w:name w:val="FollowedHyperlink"/>
    <w:basedOn w:val="DefaultParagraphFont"/>
    <w:uiPriority w:val="99"/>
    <w:semiHidden/>
    <w:unhideWhenUsed/>
    <w:rsid w:val="00120CB2"/>
    <w:rPr>
      <w:color w:val="800080"/>
      <w:u w:val="single"/>
    </w:rPr>
  </w:style>
  <w:style w:type="paragraph" w:styleId="BodyText">
    <w:name w:val="Body Text"/>
    <w:basedOn w:val="Normal"/>
    <w:rsid w:val="00E25A3B"/>
    <w:pPr>
      <w:spacing w:after="120"/>
    </w:pPr>
  </w:style>
  <w:style w:type="paragraph" w:styleId="BodyText2">
    <w:name w:val="Body Text 2"/>
    <w:basedOn w:val="Normal"/>
    <w:rsid w:val="00E25A3B"/>
    <w:pPr>
      <w:spacing w:after="120"/>
    </w:pPr>
  </w:style>
  <w:style w:type="paragraph" w:styleId="BodyText3">
    <w:name w:val="Body Text 3"/>
    <w:basedOn w:val="Normal"/>
    <w:rsid w:val="00E25A3B"/>
    <w:pPr>
      <w:spacing w:after="120"/>
    </w:pPr>
    <w:rPr>
      <w:sz w:val="16"/>
      <w:szCs w:val="16"/>
    </w:rPr>
  </w:style>
  <w:style w:type="paragraph" w:styleId="BodyTextFirstIndent">
    <w:name w:val="Body Text First Indent"/>
    <w:basedOn w:val="BodyText"/>
    <w:rsid w:val="00E25A3B"/>
    <w:pPr>
      <w:ind w:firstLine="210"/>
    </w:pPr>
  </w:style>
  <w:style w:type="paragraph" w:styleId="BodyTextFirstIndent2">
    <w:name w:val="Body Text First Indent 2"/>
    <w:basedOn w:val="BodyTextIndent"/>
    <w:rsid w:val="00E25A3B"/>
    <w:pPr>
      <w:spacing w:before="0" w:after="120"/>
      <w:ind w:left="360" w:firstLine="210"/>
    </w:pPr>
  </w:style>
  <w:style w:type="paragraph" w:styleId="Caption">
    <w:name w:val="caption"/>
    <w:basedOn w:val="Normal"/>
    <w:next w:val="Normal"/>
    <w:qFormat/>
    <w:rsid w:val="00E25A3B"/>
    <w:pPr>
      <w:spacing w:before="120" w:after="120"/>
    </w:pPr>
    <w:rPr>
      <w:b/>
      <w:bCs/>
      <w:sz w:val="20"/>
    </w:rPr>
  </w:style>
  <w:style w:type="paragraph" w:styleId="Closing">
    <w:name w:val="Closing"/>
    <w:basedOn w:val="Normal"/>
    <w:rsid w:val="00E25A3B"/>
    <w:pPr>
      <w:ind w:left="4320"/>
    </w:pPr>
  </w:style>
  <w:style w:type="paragraph" w:styleId="Date">
    <w:name w:val="Date"/>
    <w:basedOn w:val="Normal"/>
    <w:next w:val="Normal"/>
    <w:rsid w:val="00E25A3B"/>
  </w:style>
  <w:style w:type="paragraph" w:styleId="E-mailSignature">
    <w:name w:val="E-mail Signature"/>
    <w:basedOn w:val="Normal"/>
    <w:rsid w:val="00E25A3B"/>
  </w:style>
  <w:style w:type="paragraph" w:styleId="EndnoteText">
    <w:name w:val="endnote text"/>
    <w:basedOn w:val="Normal"/>
    <w:semiHidden/>
    <w:rsid w:val="00E25A3B"/>
    <w:rPr>
      <w:sz w:val="20"/>
    </w:rPr>
  </w:style>
  <w:style w:type="paragraph" w:styleId="EnvelopeAddress">
    <w:name w:val="envelope address"/>
    <w:basedOn w:val="Normal"/>
    <w:rsid w:val="00E25A3B"/>
    <w:pPr>
      <w:framePr w:w="7920" w:h="1980" w:hRule="exact" w:hSpace="180" w:wrap="auto" w:hAnchor="page" w:xAlign="center" w:yAlign="bottom"/>
      <w:ind w:left="2880"/>
    </w:pPr>
    <w:rPr>
      <w:rFonts w:cs="Arial"/>
      <w:szCs w:val="24"/>
    </w:rPr>
  </w:style>
  <w:style w:type="paragraph" w:styleId="EnvelopeReturn">
    <w:name w:val="envelope return"/>
    <w:basedOn w:val="Normal"/>
    <w:rsid w:val="00E25A3B"/>
    <w:rPr>
      <w:rFonts w:cs="Arial"/>
      <w:sz w:val="20"/>
    </w:rPr>
  </w:style>
  <w:style w:type="paragraph" w:styleId="HTMLAddress">
    <w:name w:val="HTML Address"/>
    <w:basedOn w:val="Normal"/>
    <w:rsid w:val="00E25A3B"/>
    <w:rPr>
      <w:i/>
      <w:iCs/>
    </w:rPr>
  </w:style>
  <w:style w:type="paragraph" w:styleId="HTMLPreformatted">
    <w:name w:val="HTML Preformatted"/>
    <w:basedOn w:val="Normal"/>
    <w:rsid w:val="00E25A3B"/>
    <w:rPr>
      <w:rFonts w:ascii="Courier New" w:hAnsi="Courier New" w:cs="Courier New"/>
      <w:sz w:val="20"/>
    </w:rPr>
  </w:style>
  <w:style w:type="paragraph" w:styleId="Index1">
    <w:name w:val="index 1"/>
    <w:basedOn w:val="Normal"/>
    <w:next w:val="Normal"/>
    <w:autoRedefine/>
    <w:semiHidden/>
    <w:rsid w:val="00E25A3B"/>
    <w:pPr>
      <w:ind w:left="240" w:hanging="240"/>
    </w:pPr>
  </w:style>
  <w:style w:type="paragraph" w:styleId="Index2">
    <w:name w:val="index 2"/>
    <w:basedOn w:val="Normal"/>
    <w:next w:val="Normal"/>
    <w:autoRedefine/>
    <w:semiHidden/>
    <w:rsid w:val="00E25A3B"/>
    <w:pPr>
      <w:ind w:left="480" w:hanging="240"/>
    </w:pPr>
  </w:style>
  <w:style w:type="paragraph" w:styleId="Index3">
    <w:name w:val="index 3"/>
    <w:basedOn w:val="Normal"/>
    <w:next w:val="Normal"/>
    <w:autoRedefine/>
    <w:semiHidden/>
    <w:rsid w:val="00E25A3B"/>
    <w:pPr>
      <w:ind w:hanging="240"/>
    </w:pPr>
  </w:style>
  <w:style w:type="paragraph" w:styleId="Index4">
    <w:name w:val="index 4"/>
    <w:basedOn w:val="Normal"/>
    <w:next w:val="Normal"/>
    <w:autoRedefine/>
    <w:semiHidden/>
    <w:rsid w:val="00E25A3B"/>
    <w:pPr>
      <w:ind w:left="960" w:hanging="240"/>
    </w:pPr>
  </w:style>
  <w:style w:type="paragraph" w:styleId="Index5">
    <w:name w:val="index 5"/>
    <w:basedOn w:val="Normal"/>
    <w:next w:val="Normal"/>
    <w:autoRedefine/>
    <w:semiHidden/>
    <w:rsid w:val="00E25A3B"/>
    <w:pPr>
      <w:ind w:left="1200" w:hanging="240"/>
    </w:pPr>
  </w:style>
  <w:style w:type="paragraph" w:styleId="Index6">
    <w:name w:val="index 6"/>
    <w:basedOn w:val="Normal"/>
    <w:next w:val="Normal"/>
    <w:autoRedefine/>
    <w:semiHidden/>
    <w:rsid w:val="00E25A3B"/>
    <w:pPr>
      <w:ind w:left="1440" w:hanging="240"/>
    </w:pPr>
  </w:style>
  <w:style w:type="paragraph" w:styleId="Index7">
    <w:name w:val="index 7"/>
    <w:basedOn w:val="Normal"/>
    <w:next w:val="Normal"/>
    <w:autoRedefine/>
    <w:semiHidden/>
    <w:rsid w:val="00E25A3B"/>
    <w:pPr>
      <w:ind w:left="1680" w:hanging="240"/>
    </w:pPr>
  </w:style>
  <w:style w:type="paragraph" w:styleId="Index8">
    <w:name w:val="index 8"/>
    <w:basedOn w:val="Normal"/>
    <w:next w:val="Normal"/>
    <w:autoRedefine/>
    <w:semiHidden/>
    <w:rsid w:val="00E25A3B"/>
    <w:pPr>
      <w:ind w:left="1920" w:hanging="240"/>
    </w:pPr>
  </w:style>
  <w:style w:type="paragraph" w:styleId="Index9">
    <w:name w:val="index 9"/>
    <w:basedOn w:val="Normal"/>
    <w:next w:val="Normal"/>
    <w:autoRedefine/>
    <w:semiHidden/>
    <w:rsid w:val="00E25A3B"/>
    <w:pPr>
      <w:ind w:left="2160" w:hanging="240"/>
    </w:pPr>
  </w:style>
  <w:style w:type="paragraph" w:styleId="IndexHeading">
    <w:name w:val="index heading"/>
    <w:basedOn w:val="Normal"/>
    <w:next w:val="Index1"/>
    <w:semiHidden/>
    <w:rsid w:val="00E25A3B"/>
    <w:rPr>
      <w:rFonts w:cs="Arial"/>
      <w:b/>
      <w:bCs/>
    </w:rPr>
  </w:style>
  <w:style w:type="paragraph" w:styleId="List">
    <w:name w:val="List"/>
    <w:basedOn w:val="Normal"/>
    <w:rsid w:val="00E25A3B"/>
    <w:pPr>
      <w:ind w:left="360" w:hanging="360"/>
    </w:pPr>
  </w:style>
  <w:style w:type="paragraph" w:styleId="List2">
    <w:name w:val="List 2"/>
    <w:basedOn w:val="Normal"/>
    <w:rsid w:val="00E25A3B"/>
    <w:pPr>
      <w:ind w:hanging="360"/>
    </w:pPr>
  </w:style>
  <w:style w:type="paragraph" w:styleId="List3">
    <w:name w:val="List 3"/>
    <w:basedOn w:val="Normal"/>
    <w:rsid w:val="00E25A3B"/>
    <w:pPr>
      <w:ind w:left="1080" w:hanging="360"/>
    </w:pPr>
  </w:style>
  <w:style w:type="paragraph" w:styleId="List4">
    <w:name w:val="List 4"/>
    <w:basedOn w:val="Normal"/>
    <w:rsid w:val="00E25A3B"/>
    <w:pPr>
      <w:ind w:left="1440" w:hanging="360"/>
    </w:pPr>
  </w:style>
  <w:style w:type="paragraph" w:styleId="List5">
    <w:name w:val="List 5"/>
    <w:basedOn w:val="Normal"/>
    <w:rsid w:val="00E25A3B"/>
    <w:pPr>
      <w:ind w:left="1800" w:hanging="360"/>
    </w:pPr>
  </w:style>
  <w:style w:type="paragraph" w:styleId="ListBullet">
    <w:name w:val="List Bullet"/>
    <w:basedOn w:val="Normal"/>
    <w:autoRedefine/>
    <w:rsid w:val="00E25A3B"/>
    <w:pPr>
      <w:numPr>
        <w:numId w:val="4"/>
      </w:numPr>
    </w:pPr>
  </w:style>
  <w:style w:type="paragraph" w:styleId="ListBullet2">
    <w:name w:val="List Bullet 2"/>
    <w:basedOn w:val="Normal"/>
    <w:autoRedefine/>
    <w:rsid w:val="00E25A3B"/>
    <w:pPr>
      <w:numPr>
        <w:numId w:val="5"/>
      </w:numPr>
    </w:pPr>
  </w:style>
  <w:style w:type="paragraph" w:styleId="ListBullet3">
    <w:name w:val="List Bullet 3"/>
    <w:basedOn w:val="Normal"/>
    <w:autoRedefine/>
    <w:rsid w:val="00E25A3B"/>
    <w:pPr>
      <w:numPr>
        <w:numId w:val="6"/>
      </w:numPr>
    </w:pPr>
  </w:style>
  <w:style w:type="paragraph" w:styleId="ListBullet4">
    <w:name w:val="List Bullet 4"/>
    <w:basedOn w:val="Normal"/>
    <w:autoRedefine/>
    <w:rsid w:val="00E25A3B"/>
    <w:pPr>
      <w:numPr>
        <w:numId w:val="7"/>
      </w:numPr>
    </w:pPr>
  </w:style>
  <w:style w:type="paragraph" w:styleId="ListBullet5">
    <w:name w:val="List Bullet 5"/>
    <w:basedOn w:val="Normal"/>
    <w:autoRedefine/>
    <w:rsid w:val="00E25A3B"/>
    <w:pPr>
      <w:numPr>
        <w:numId w:val="8"/>
      </w:numPr>
    </w:pPr>
  </w:style>
  <w:style w:type="paragraph" w:styleId="ListContinue">
    <w:name w:val="List Continue"/>
    <w:basedOn w:val="Normal"/>
    <w:rsid w:val="00E25A3B"/>
    <w:pPr>
      <w:spacing w:after="120"/>
      <w:ind w:left="360"/>
    </w:pPr>
  </w:style>
  <w:style w:type="paragraph" w:styleId="ListContinue2">
    <w:name w:val="List Continue 2"/>
    <w:basedOn w:val="Normal"/>
    <w:rsid w:val="00E25A3B"/>
    <w:pPr>
      <w:spacing w:after="120"/>
    </w:pPr>
  </w:style>
  <w:style w:type="paragraph" w:styleId="ListContinue3">
    <w:name w:val="List Continue 3"/>
    <w:basedOn w:val="Normal"/>
    <w:rsid w:val="00E25A3B"/>
    <w:pPr>
      <w:spacing w:after="120"/>
      <w:ind w:left="1080"/>
    </w:pPr>
  </w:style>
  <w:style w:type="paragraph" w:styleId="ListContinue4">
    <w:name w:val="List Continue 4"/>
    <w:basedOn w:val="Normal"/>
    <w:rsid w:val="00E25A3B"/>
    <w:pPr>
      <w:spacing w:after="120"/>
      <w:ind w:left="1440"/>
    </w:pPr>
  </w:style>
  <w:style w:type="paragraph" w:styleId="ListContinue5">
    <w:name w:val="List Continue 5"/>
    <w:basedOn w:val="Normal"/>
    <w:rsid w:val="00E25A3B"/>
    <w:pPr>
      <w:spacing w:after="120"/>
      <w:ind w:left="1800"/>
    </w:pPr>
  </w:style>
  <w:style w:type="paragraph" w:styleId="ListNumber">
    <w:name w:val="List Number"/>
    <w:basedOn w:val="Normal"/>
    <w:rsid w:val="00E25A3B"/>
    <w:pPr>
      <w:numPr>
        <w:numId w:val="9"/>
      </w:numPr>
    </w:pPr>
  </w:style>
  <w:style w:type="paragraph" w:styleId="ListNumber2">
    <w:name w:val="List Number 2"/>
    <w:basedOn w:val="Normal"/>
    <w:rsid w:val="00E25A3B"/>
    <w:pPr>
      <w:numPr>
        <w:numId w:val="10"/>
      </w:numPr>
    </w:pPr>
  </w:style>
  <w:style w:type="paragraph" w:styleId="ListNumber3">
    <w:name w:val="List Number 3"/>
    <w:basedOn w:val="Normal"/>
    <w:rsid w:val="00E25A3B"/>
    <w:pPr>
      <w:numPr>
        <w:numId w:val="11"/>
      </w:numPr>
    </w:pPr>
  </w:style>
  <w:style w:type="paragraph" w:styleId="ListNumber4">
    <w:name w:val="List Number 4"/>
    <w:basedOn w:val="Normal"/>
    <w:rsid w:val="00E25A3B"/>
    <w:pPr>
      <w:numPr>
        <w:numId w:val="12"/>
      </w:numPr>
    </w:pPr>
  </w:style>
  <w:style w:type="paragraph" w:styleId="ListNumber5">
    <w:name w:val="List Number 5"/>
    <w:basedOn w:val="Normal"/>
    <w:rsid w:val="00E25A3B"/>
    <w:pPr>
      <w:numPr>
        <w:numId w:val="13"/>
      </w:numPr>
    </w:pPr>
  </w:style>
  <w:style w:type="paragraph" w:styleId="MacroText">
    <w:name w:val="macro"/>
    <w:semiHidden/>
    <w:rsid w:val="00E25A3B"/>
    <w:pPr>
      <w:tabs>
        <w:tab w:val="left" w:pos="480"/>
        <w:tab w:val="left" w:pos="960"/>
        <w:tab w:val="left" w:pos="1440"/>
        <w:tab w:val="left" w:pos="1920"/>
        <w:tab w:val="left" w:pos="2400"/>
        <w:tab w:val="left" w:pos="2880"/>
        <w:tab w:val="left" w:pos="3360"/>
        <w:tab w:val="left" w:pos="3840"/>
        <w:tab w:val="left" w:pos="4320"/>
      </w:tabs>
      <w:spacing w:line="480" w:lineRule="auto"/>
      <w:ind w:left="720" w:hanging="720"/>
      <w:jc w:val="both"/>
    </w:pPr>
    <w:rPr>
      <w:rFonts w:ascii="Courier New" w:hAnsi="Courier New" w:cs="Courier New"/>
    </w:rPr>
  </w:style>
  <w:style w:type="paragraph" w:styleId="MessageHeader">
    <w:name w:val="Message Header"/>
    <w:basedOn w:val="Normal"/>
    <w:rsid w:val="00E25A3B"/>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E25A3B"/>
    <w:rPr>
      <w:rFonts w:ascii="Times New Roman" w:hAnsi="Times New Roman"/>
      <w:szCs w:val="24"/>
    </w:rPr>
  </w:style>
  <w:style w:type="paragraph" w:styleId="NormalIndent">
    <w:name w:val="Normal Indent"/>
    <w:basedOn w:val="Normal"/>
    <w:rsid w:val="00E25A3B"/>
  </w:style>
  <w:style w:type="paragraph" w:styleId="NoteHeading">
    <w:name w:val="Note Heading"/>
    <w:basedOn w:val="Normal"/>
    <w:next w:val="Normal"/>
    <w:rsid w:val="00E25A3B"/>
  </w:style>
  <w:style w:type="paragraph" w:styleId="PlainText">
    <w:name w:val="Plain Text"/>
    <w:basedOn w:val="Normal"/>
    <w:rsid w:val="00E25A3B"/>
    <w:rPr>
      <w:rFonts w:ascii="Courier New" w:hAnsi="Courier New" w:cs="Courier New"/>
      <w:sz w:val="20"/>
    </w:rPr>
  </w:style>
  <w:style w:type="paragraph" w:styleId="Salutation">
    <w:name w:val="Salutation"/>
    <w:basedOn w:val="Normal"/>
    <w:next w:val="Normal"/>
    <w:rsid w:val="00E25A3B"/>
  </w:style>
  <w:style w:type="paragraph" w:styleId="Signature">
    <w:name w:val="Signature"/>
    <w:basedOn w:val="Normal"/>
    <w:rsid w:val="00E25A3B"/>
    <w:pPr>
      <w:ind w:left="4320"/>
    </w:pPr>
  </w:style>
  <w:style w:type="paragraph" w:styleId="Subtitle">
    <w:name w:val="Subtitle"/>
    <w:basedOn w:val="Normal"/>
    <w:qFormat/>
    <w:rsid w:val="00E25A3B"/>
    <w:pPr>
      <w:spacing w:after="60"/>
      <w:jc w:val="center"/>
      <w:outlineLvl w:val="1"/>
    </w:pPr>
    <w:rPr>
      <w:rFonts w:cs="Arial"/>
      <w:szCs w:val="24"/>
    </w:rPr>
  </w:style>
  <w:style w:type="paragraph" w:styleId="TableofAuthorities">
    <w:name w:val="table of authorities"/>
    <w:basedOn w:val="Normal"/>
    <w:next w:val="Normal"/>
    <w:semiHidden/>
    <w:rsid w:val="00E25A3B"/>
    <w:pPr>
      <w:ind w:left="240" w:hanging="240"/>
    </w:pPr>
  </w:style>
  <w:style w:type="paragraph" w:styleId="TableofFigures">
    <w:name w:val="table of figures"/>
    <w:basedOn w:val="Normal"/>
    <w:next w:val="Normal"/>
    <w:semiHidden/>
    <w:rsid w:val="00E25A3B"/>
    <w:pPr>
      <w:ind w:left="480" w:hanging="480"/>
    </w:pPr>
  </w:style>
  <w:style w:type="paragraph" w:styleId="Title">
    <w:name w:val="Title"/>
    <w:basedOn w:val="Normal"/>
    <w:qFormat/>
    <w:rsid w:val="00E25A3B"/>
    <w:pPr>
      <w:spacing w:before="240" w:after="60"/>
      <w:jc w:val="center"/>
      <w:outlineLvl w:val="0"/>
    </w:pPr>
    <w:rPr>
      <w:rFonts w:cs="Arial"/>
      <w:b/>
      <w:bCs/>
      <w:kern w:val="28"/>
      <w:sz w:val="32"/>
      <w:szCs w:val="32"/>
    </w:rPr>
  </w:style>
  <w:style w:type="paragraph" w:styleId="TOAHeading">
    <w:name w:val="toa heading"/>
    <w:basedOn w:val="Normal"/>
    <w:next w:val="Normal"/>
    <w:semiHidden/>
    <w:rsid w:val="00E25A3B"/>
    <w:pPr>
      <w:spacing w:before="120"/>
    </w:pPr>
    <w:rPr>
      <w:rFonts w:cs="Arial"/>
      <w:b/>
      <w:bCs/>
      <w:szCs w:val="24"/>
    </w:rPr>
  </w:style>
  <w:style w:type="paragraph" w:styleId="TOC1">
    <w:name w:val="toc 1"/>
    <w:basedOn w:val="Normal"/>
    <w:next w:val="Normal"/>
    <w:autoRedefine/>
    <w:semiHidden/>
    <w:rsid w:val="00E25A3B"/>
    <w:pPr>
      <w:ind w:left="0"/>
    </w:pPr>
  </w:style>
  <w:style w:type="paragraph" w:styleId="TOC2">
    <w:name w:val="toc 2"/>
    <w:basedOn w:val="Normal"/>
    <w:next w:val="Normal"/>
    <w:autoRedefine/>
    <w:semiHidden/>
    <w:rsid w:val="00E25A3B"/>
    <w:pPr>
      <w:ind w:left="240"/>
    </w:pPr>
  </w:style>
  <w:style w:type="paragraph" w:styleId="TOC3">
    <w:name w:val="toc 3"/>
    <w:basedOn w:val="Normal"/>
    <w:next w:val="Normal"/>
    <w:autoRedefine/>
    <w:semiHidden/>
    <w:rsid w:val="00E25A3B"/>
    <w:pPr>
      <w:ind w:left="480"/>
    </w:pPr>
  </w:style>
  <w:style w:type="paragraph" w:styleId="TOC4">
    <w:name w:val="toc 4"/>
    <w:basedOn w:val="Normal"/>
    <w:next w:val="Normal"/>
    <w:autoRedefine/>
    <w:semiHidden/>
    <w:rsid w:val="00E25A3B"/>
  </w:style>
  <w:style w:type="paragraph" w:styleId="TOC5">
    <w:name w:val="toc 5"/>
    <w:basedOn w:val="Normal"/>
    <w:next w:val="Normal"/>
    <w:autoRedefine/>
    <w:semiHidden/>
    <w:rsid w:val="00E25A3B"/>
    <w:pPr>
      <w:ind w:left="960"/>
    </w:pPr>
  </w:style>
  <w:style w:type="paragraph" w:styleId="TOC6">
    <w:name w:val="toc 6"/>
    <w:basedOn w:val="Normal"/>
    <w:next w:val="Normal"/>
    <w:autoRedefine/>
    <w:semiHidden/>
    <w:rsid w:val="00E25A3B"/>
    <w:pPr>
      <w:ind w:left="1200"/>
    </w:pPr>
  </w:style>
  <w:style w:type="paragraph" w:styleId="TOC7">
    <w:name w:val="toc 7"/>
    <w:basedOn w:val="Normal"/>
    <w:next w:val="Normal"/>
    <w:autoRedefine/>
    <w:semiHidden/>
    <w:rsid w:val="00E25A3B"/>
    <w:pPr>
      <w:ind w:left="1440"/>
    </w:pPr>
  </w:style>
  <w:style w:type="paragraph" w:styleId="TOC8">
    <w:name w:val="toc 8"/>
    <w:basedOn w:val="Normal"/>
    <w:next w:val="Normal"/>
    <w:autoRedefine/>
    <w:semiHidden/>
    <w:rsid w:val="00E25A3B"/>
    <w:pPr>
      <w:ind w:left="1680"/>
    </w:pPr>
  </w:style>
  <w:style w:type="paragraph" w:styleId="TOC9">
    <w:name w:val="toc 9"/>
    <w:basedOn w:val="Normal"/>
    <w:next w:val="Normal"/>
    <w:autoRedefine/>
    <w:semiHidden/>
    <w:rsid w:val="00E25A3B"/>
    <w:pPr>
      <w:ind w:left="1920"/>
    </w:pPr>
  </w:style>
  <w:style w:type="character" w:customStyle="1" w:styleId="HeaderChar">
    <w:name w:val="Header Char"/>
    <w:basedOn w:val="DefaultParagraphFont"/>
    <w:link w:val="Header"/>
    <w:uiPriority w:val="99"/>
    <w:rsid w:val="005E4681"/>
    <w:rPr>
      <w:rFonts w:ascii="Arial" w:hAnsi="Arial"/>
      <w:sz w:val="24"/>
    </w:rPr>
  </w:style>
  <w:style w:type="character" w:customStyle="1" w:styleId="FootnoteTextChar1">
    <w:name w:val="Footnote Text Char1"/>
    <w:aliases w:val="fn Char,Footnote Text Char Char,Footnote Text Char Char Char Char Char Char Char Char Char Char"/>
    <w:basedOn w:val="DefaultParagraphFont"/>
    <w:link w:val="FootnoteText"/>
    <w:semiHidden/>
    <w:rsid w:val="00493165"/>
    <w:rPr>
      <w:rFonts w:ascii="Times" w:hAnsi="Times"/>
    </w:rPr>
  </w:style>
  <w:style w:type="paragraph" w:customStyle="1" w:styleId="answer">
    <w:name w:val="answer"/>
    <w:basedOn w:val="Normal"/>
    <w:link w:val="answerChar"/>
    <w:rsid w:val="00725C43"/>
    <w:pPr>
      <w:spacing w:line="540" w:lineRule="atLeast"/>
    </w:pPr>
  </w:style>
  <w:style w:type="character" w:customStyle="1" w:styleId="answerChar">
    <w:name w:val="answer Char"/>
    <w:basedOn w:val="DefaultParagraphFont"/>
    <w:link w:val="answer"/>
    <w:rsid w:val="00725C43"/>
    <w:rPr>
      <w:rFonts w:ascii="Arial" w:hAnsi="Arial"/>
      <w:sz w:val="24"/>
    </w:rPr>
  </w:style>
  <w:style w:type="paragraph" w:customStyle="1" w:styleId="Question">
    <w:name w:val="Question"/>
    <w:basedOn w:val="BodyText"/>
    <w:rsid w:val="004F7E1F"/>
    <w:pPr>
      <w:spacing w:after="0"/>
      <w:jc w:val="left"/>
    </w:pPr>
    <w:rPr>
      <w:rFonts w:ascii="Times New Roman" w:hAnsi="Times New Roman"/>
      <w:b/>
      <w:bCs/>
    </w:rPr>
  </w:style>
  <w:style w:type="paragraph" w:customStyle="1" w:styleId="Answer0">
    <w:name w:val="Answer"/>
    <w:basedOn w:val="BodyText"/>
    <w:link w:val="AnswerChar0"/>
    <w:rsid w:val="004F7E1F"/>
    <w:pPr>
      <w:spacing w:after="0"/>
      <w:jc w:val="left"/>
    </w:pPr>
    <w:rPr>
      <w:rFonts w:ascii="Times New Roman" w:hAnsi="Times New Roman"/>
    </w:rPr>
  </w:style>
  <w:style w:type="character" w:customStyle="1" w:styleId="AnswerChar0">
    <w:name w:val="Answer Char"/>
    <w:basedOn w:val="DefaultParagraphFont"/>
    <w:link w:val="Answer0"/>
    <w:rsid w:val="004F7E1F"/>
    <w:rPr>
      <w:sz w:val="24"/>
    </w:rPr>
  </w:style>
  <w:style w:type="character" w:styleId="EndnoteReference">
    <w:name w:val="endnote reference"/>
    <w:basedOn w:val="DefaultParagraphFont"/>
    <w:uiPriority w:val="99"/>
    <w:semiHidden/>
    <w:unhideWhenUsed/>
    <w:rsid w:val="00EF45D7"/>
    <w:rPr>
      <w:vertAlign w:val="superscript"/>
    </w:rPr>
  </w:style>
  <w:style w:type="paragraph" w:customStyle="1" w:styleId="EntergyQuestion">
    <w:name w:val="Entergy Question"/>
    <w:basedOn w:val="Normal"/>
    <w:qFormat/>
    <w:rsid w:val="00BD21FE"/>
    <w:pPr>
      <w:widowControl w:val="0"/>
      <w:autoSpaceDE w:val="0"/>
      <w:autoSpaceDN w:val="0"/>
    </w:pPr>
    <w:rPr>
      <w:rFonts w:cs="Arial"/>
      <w:caps/>
      <w:szCs w:val="24"/>
    </w:rPr>
  </w:style>
  <w:style w:type="paragraph" w:customStyle="1" w:styleId="EntergyTestimony">
    <w:name w:val="Entergy Testimony"/>
    <w:basedOn w:val="Normal"/>
    <w:qFormat/>
    <w:rsid w:val="00BD21FE"/>
    <w:rPr>
      <w:rFonts w:cs="Arial"/>
      <w:szCs w:val="24"/>
    </w:rPr>
  </w:style>
  <w:style w:type="paragraph" w:customStyle="1" w:styleId="Default">
    <w:name w:val="Default"/>
    <w:rsid w:val="00777662"/>
    <w:pPr>
      <w:autoSpaceDE w:val="0"/>
      <w:autoSpaceDN w:val="0"/>
      <w:adjustRightInd w:val="0"/>
    </w:pPr>
    <w:rPr>
      <w:color w:val="000000"/>
      <w:sz w:val="24"/>
      <w:szCs w:val="24"/>
    </w:rPr>
  </w:style>
  <w:style w:type="character" w:customStyle="1" w:styleId="BodyTextIndent2Char">
    <w:name w:val="Body Text Indent 2 Char"/>
    <w:basedOn w:val="DefaultParagraphFont"/>
    <w:link w:val="BodyTextIndent2"/>
    <w:rsid w:val="00C410DD"/>
    <w:rPr>
      <w:rFonts w:ascii="Arial" w:hAnsi="Arial"/>
      <w:b/>
      <w:sz w:val="24"/>
    </w:rPr>
  </w:style>
</w:styles>
</file>

<file path=word/webSettings.xml><?xml version="1.0" encoding="utf-8"?>
<w:webSettings xmlns:r="http://schemas.openxmlformats.org/officeDocument/2006/relationships" xmlns:w="http://schemas.openxmlformats.org/wordprocessingml/2006/main">
  <w:divs>
    <w:div w:id="290093536">
      <w:bodyDiv w:val="1"/>
      <w:marLeft w:val="0"/>
      <w:marRight w:val="0"/>
      <w:marTop w:val="0"/>
      <w:marBottom w:val="0"/>
      <w:divBdr>
        <w:top w:val="none" w:sz="0" w:space="0" w:color="auto"/>
        <w:left w:val="none" w:sz="0" w:space="0" w:color="auto"/>
        <w:bottom w:val="none" w:sz="0" w:space="0" w:color="auto"/>
        <w:right w:val="none" w:sz="0" w:space="0" w:color="auto"/>
      </w:divBdr>
      <w:divsChild>
        <w:div w:id="1595747825">
          <w:marLeft w:val="0"/>
          <w:marRight w:val="0"/>
          <w:marTop w:val="0"/>
          <w:marBottom w:val="0"/>
          <w:divBdr>
            <w:top w:val="none" w:sz="0" w:space="0" w:color="auto"/>
            <w:left w:val="none" w:sz="0" w:space="0" w:color="auto"/>
            <w:bottom w:val="none" w:sz="0" w:space="0" w:color="auto"/>
            <w:right w:val="none" w:sz="0" w:space="0" w:color="auto"/>
          </w:divBdr>
        </w:div>
        <w:div w:id="107091681">
          <w:marLeft w:val="0"/>
          <w:marRight w:val="0"/>
          <w:marTop w:val="0"/>
          <w:marBottom w:val="0"/>
          <w:divBdr>
            <w:top w:val="none" w:sz="0" w:space="0" w:color="auto"/>
            <w:left w:val="none" w:sz="0" w:space="0" w:color="auto"/>
            <w:bottom w:val="none" w:sz="0" w:space="0" w:color="auto"/>
            <w:right w:val="none" w:sz="0" w:space="0" w:color="auto"/>
          </w:divBdr>
        </w:div>
        <w:div w:id="1153641088">
          <w:marLeft w:val="0"/>
          <w:marRight w:val="0"/>
          <w:marTop w:val="0"/>
          <w:marBottom w:val="0"/>
          <w:divBdr>
            <w:top w:val="none" w:sz="0" w:space="0" w:color="auto"/>
            <w:left w:val="none" w:sz="0" w:space="0" w:color="auto"/>
            <w:bottom w:val="none" w:sz="0" w:space="0" w:color="auto"/>
            <w:right w:val="none" w:sz="0" w:space="0" w:color="auto"/>
          </w:divBdr>
        </w:div>
        <w:div w:id="2032563838">
          <w:marLeft w:val="0"/>
          <w:marRight w:val="0"/>
          <w:marTop w:val="0"/>
          <w:marBottom w:val="0"/>
          <w:divBdr>
            <w:top w:val="none" w:sz="0" w:space="0" w:color="auto"/>
            <w:left w:val="none" w:sz="0" w:space="0" w:color="auto"/>
            <w:bottom w:val="none" w:sz="0" w:space="0" w:color="auto"/>
            <w:right w:val="none" w:sz="0" w:space="0" w:color="auto"/>
          </w:divBdr>
        </w:div>
        <w:div w:id="1706250844">
          <w:marLeft w:val="0"/>
          <w:marRight w:val="0"/>
          <w:marTop w:val="0"/>
          <w:marBottom w:val="0"/>
          <w:divBdr>
            <w:top w:val="none" w:sz="0" w:space="0" w:color="auto"/>
            <w:left w:val="none" w:sz="0" w:space="0" w:color="auto"/>
            <w:bottom w:val="none" w:sz="0" w:space="0" w:color="auto"/>
            <w:right w:val="none" w:sz="0" w:space="0" w:color="auto"/>
          </w:divBdr>
        </w:div>
        <w:div w:id="1188325125">
          <w:marLeft w:val="0"/>
          <w:marRight w:val="0"/>
          <w:marTop w:val="0"/>
          <w:marBottom w:val="0"/>
          <w:divBdr>
            <w:top w:val="none" w:sz="0" w:space="0" w:color="auto"/>
            <w:left w:val="none" w:sz="0" w:space="0" w:color="auto"/>
            <w:bottom w:val="none" w:sz="0" w:space="0" w:color="auto"/>
            <w:right w:val="none" w:sz="0" w:space="0" w:color="auto"/>
          </w:divBdr>
        </w:div>
        <w:div w:id="1516067547">
          <w:marLeft w:val="0"/>
          <w:marRight w:val="0"/>
          <w:marTop w:val="0"/>
          <w:marBottom w:val="0"/>
          <w:divBdr>
            <w:top w:val="none" w:sz="0" w:space="0" w:color="auto"/>
            <w:left w:val="none" w:sz="0" w:space="0" w:color="auto"/>
            <w:bottom w:val="none" w:sz="0" w:space="0" w:color="auto"/>
            <w:right w:val="none" w:sz="0" w:space="0" w:color="auto"/>
          </w:divBdr>
        </w:div>
        <w:div w:id="732200364">
          <w:marLeft w:val="0"/>
          <w:marRight w:val="0"/>
          <w:marTop w:val="0"/>
          <w:marBottom w:val="0"/>
          <w:divBdr>
            <w:top w:val="none" w:sz="0" w:space="0" w:color="auto"/>
            <w:left w:val="none" w:sz="0" w:space="0" w:color="auto"/>
            <w:bottom w:val="none" w:sz="0" w:space="0" w:color="auto"/>
            <w:right w:val="none" w:sz="0" w:space="0" w:color="auto"/>
          </w:divBdr>
        </w:div>
        <w:div w:id="1672567327">
          <w:marLeft w:val="0"/>
          <w:marRight w:val="0"/>
          <w:marTop w:val="0"/>
          <w:marBottom w:val="0"/>
          <w:divBdr>
            <w:top w:val="none" w:sz="0" w:space="0" w:color="auto"/>
            <w:left w:val="none" w:sz="0" w:space="0" w:color="auto"/>
            <w:bottom w:val="none" w:sz="0" w:space="0" w:color="auto"/>
            <w:right w:val="none" w:sz="0" w:space="0" w:color="auto"/>
          </w:divBdr>
        </w:div>
        <w:div w:id="1994336781">
          <w:marLeft w:val="0"/>
          <w:marRight w:val="0"/>
          <w:marTop w:val="0"/>
          <w:marBottom w:val="0"/>
          <w:divBdr>
            <w:top w:val="none" w:sz="0" w:space="0" w:color="auto"/>
            <w:left w:val="none" w:sz="0" w:space="0" w:color="auto"/>
            <w:bottom w:val="none" w:sz="0" w:space="0" w:color="auto"/>
            <w:right w:val="none" w:sz="0" w:space="0" w:color="auto"/>
          </w:divBdr>
        </w:div>
        <w:div w:id="1243445862">
          <w:marLeft w:val="0"/>
          <w:marRight w:val="0"/>
          <w:marTop w:val="0"/>
          <w:marBottom w:val="0"/>
          <w:divBdr>
            <w:top w:val="none" w:sz="0" w:space="0" w:color="auto"/>
            <w:left w:val="none" w:sz="0" w:space="0" w:color="auto"/>
            <w:bottom w:val="none" w:sz="0" w:space="0" w:color="auto"/>
            <w:right w:val="none" w:sz="0" w:space="0" w:color="auto"/>
          </w:divBdr>
        </w:div>
        <w:div w:id="1019552418">
          <w:marLeft w:val="0"/>
          <w:marRight w:val="0"/>
          <w:marTop w:val="0"/>
          <w:marBottom w:val="0"/>
          <w:divBdr>
            <w:top w:val="none" w:sz="0" w:space="0" w:color="auto"/>
            <w:left w:val="none" w:sz="0" w:space="0" w:color="auto"/>
            <w:bottom w:val="none" w:sz="0" w:space="0" w:color="auto"/>
            <w:right w:val="none" w:sz="0" w:space="0" w:color="auto"/>
          </w:divBdr>
        </w:div>
        <w:div w:id="770049454">
          <w:marLeft w:val="0"/>
          <w:marRight w:val="0"/>
          <w:marTop w:val="0"/>
          <w:marBottom w:val="0"/>
          <w:divBdr>
            <w:top w:val="none" w:sz="0" w:space="0" w:color="auto"/>
            <w:left w:val="none" w:sz="0" w:space="0" w:color="auto"/>
            <w:bottom w:val="none" w:sz="0" w:space="0" w:color="auto"/>
            <w:right w:val="none" w:sz="0" w:space="0" w:color="auto"/>
          </w:divBdr>
        </w:div>
        <w:div w:id="1657565773">
          <w:marLeft w:val="0"/>
          <w:marRight w:val="0"/>
          <w:marTop w:val="0"/>
          <w:marBottom w:val="0"/>
          <w:divBdr>
            <w:top w:val="none" w:sz="0" w:space="0" w:color="auto"/>
            <w:left w:val="none" w:sz="0" w:space="0" w:color="auto"/>
            <w:bottom w:val="none" w:sz="0" w:space="0" w:color="auto"/>
            <w:right w:val="none" w:sz="0" w:space="0" w:color="auto"/>
          </w:divBdr>
        </w:div>
        <w:div w:id="814956777">
          <w:marLeft w:val="0"/>
          <w:marRight w:val="0"/>
          <w:marTop w:val="0"/>
          <w:marBottom w:val="0"/>
          <w:divBdr>
            <w:top w:val="none" w:sz="0" w:space="0" w:color="auto"/>
            <w:left w:val="none" w:sz="0" w:space="0" w:color="auto"/>
            <w:bottom w:val="none" w:sz="0" w:space="0" w:color="auto"/>
            <w:right w:val="none" w:sz="0" w:space="0" w:color="auto"/>
          </w:divBdr>
        </w:div>
        <w:div w:id="895505756">
          <w:marLeft w:val="0"/>
          <w:marRight w:val="0"/>
          <w:marTop w:val="0"/>
          <w:marBottom w:val="0"/>
          <w:divBdr>
            <w:top w:val="none" w:sz="0" w:space="0" w:color="auto"/>
            <w:left w:val="none" w:sz="0" w:space="0" w:color="auto"/>
            <w:bottom w:val="none" w:sz="0" w:space="0" w:color="auto"/>
            <w:right w:val="none" w:sz="0" w:space="0" w:color="auto"/>
          </w:divBdr>
        </w:div>
        <w:div w:id="1124999528">
          <w:marLeft w:val="0"/>
          <w:marRight w:val="0"/>
          <w:marTop w:val="0"/>
          <w:marBottom w:val="0"/>
          <w:divBdr>
            <w:top w:val="none" w:sz="0" w:space="0" w:color="auto"/>
            <w:left w:val="none" w:sz="0" w:space="0" w:color="auto"/>
            <w:bottom w:val="none" w:sz="0" w:space="0" w:color="auto"/>
            <w:right w:val="none" w:sz="0" w:space="0" w:color="auto"/>
          </w:divBdr>
        </w:div>
        <w:div w:id="689798169">
          <w:marLeft w:val="0"/>
          <w:marRight w:val="0"/>
          <w:marTop w:val="0"/>
          <w:marBottom w:val="0"/>
          <w:divBdr>
            <w:top w:val="none" w:sz="0" w:space="0" w:color="auto"/>
            <w:left w:val="none" w:sz="0" w:space="0" w:color="auto"/>
            <w:bottom w:val="none" w:sz="0" w:space="0" w:color="auto"/>
            <w:right w:val="none" w:sz="0" w:space="0" w:color="auto"/>
          </w:divBdr>
        </w:div>
        <w:div w:id="2126920753">
          <w:marLeft w:val="0"/>
          <w:marRight w:val="0"/>
          <w:marTop w:val="0"/>
          <w:marBottom w:val="0"/>
          <w:divBdr>
            <w:top w:val="none" w:sz="0" w:space="0" w:color="auto"/>
            <w:left w:val="none" w:sz="0" w:space="0" w:color="auto"/>
            <w:bottom w:val="none" w:sz="0" w:space="0" w:color="auto"/>
            <w:right w:val="none" w:sz="0" w:space="0" w:color="auto"/>
          </w:divBdr>
        </w:div>
        <w:div w:id="1238055787">
          <w:marLeft w:val="0"/>
          <w:marRight w:val="0"/>
          <w:marTop w:val="0"/>
          <w:marBottom w:val="0"/>
          <w:divBdr>
            <w:top w:val="none" w:sz="0" w:space="0" w:color="auto"/>
            <w:left w:val="none" w:sz="0" w:space="0" w:color="auto"/>
            <w:bottom w:val="none" w:sz="0" w:space="0" w:color="auto"/>
            <w:right w:val="none" w:sz="0" w:space="0" w:color="auto"/>
          </w:divBdr>
        </w:div>
      </w:divsChild>
    </w:div>
    <w:div w:id="408767333">
      <w:bodyDiv w:val="1"/>
      <w:marLeft w:val="0"/>
      <w:marRight w:val="0"/>
      <w:marTop w:val="0"/>
      <w:marBottom w:val="0"/>
      <w:divBdr>
        <w:top w:val="none" w:sz="0" w:space="0" w:color="auto"/>
        <w:left w:val="none" w:sz="0" w:space="0" w:color="auto"/>
        <w:bottom w:val="none" w:sz="0" w:space="0" w:color="auto"/>
        <w:right w:val="none" w:sz="0" w:space="0" w:color="auto"/>
      </w:divBdr>
      <w:divsChild>
        <w:div w:id="210850105">
          <w:marLeft w:val="0"/>
          <w:marRight w:val="0"/>
          <w:marTop w:val="0"/>
          <w:marBottom w:val="0"/>
          <w:divBdr>
            <w:top w:val="none" w:sz="0" w:space="0" w:color="auto"/>
            <w:left w:val="none" w:sz="0" w:space="0" w:color="auto"/>
            <w:bottom w:val="none" w:sz="0" w:space="0" w:color="auto"/>
            <w:right w:val="none" w:sz="0" w:space="0" w:color="auto"/>
          </w:divBdr>
        </w:div>
        <w:div w:id="421142316">
          <w:marLeft w:val="0"/>
          <w:marRight w:val="0"/>
          <w:marTop w:val="0"/>
          <w:marBottom w:val="0"/>
          <w:divBdr>
            <w:top w:val="none" w:sz="0" w:space="0" w:color="auto"/>
            <w:left w:val="none" w:sz="0" w:space="0" w:color="auto"/>
            <w:bottom w:val="none" w:sz="0" w:space="0" w:color="auto"/>
            <w:right w:val="none" w:sz="0" w:space="0" w:color="auto"/>
          </w:divBdr>
        </w:div>
        <w:div w:id="1923030993">
          <w:marLeft w:val="0"/>
          <w:marRight w:val="0"/>
          <w:marTop w:val="0"/>
          <w:marBottom w:val="0"/>
          <w:divBdr>
            <w:top w:val="none" w:sz="0" w:space="0" w:color="auto"/>
            <w:left w:val="none" w:sz="0" w:space="0" w:color="auto"/>
            <w:bottom w:val="none" w:sz="0" w:space="0" w:color="auto"/>
            <w:right w:val="none" w:sz="0" w:space="0" w:color="auto"/>
          </w:divBdr>
        </w:div>
        <w:div w:id="443421741">
          <w:marLeft w:val="0"/>
          <w:marRight w:val="0"/>
          <w:marTop w:val="0"/>
          <w:marBottom w:val="0"/>
          <w:divBdr>
            <w:top w:val="none" w:sz="0" w:space="0" w:color="auto"/>
            <w:left w:val="none" w:sz="0" w:space="0" w:color="auto"/>
            <w:bottom w:val="none" w:sz="0" w:space="0" w:color="auto"/>
            <w:right w:val="none" w:sz="0" w:space="0" w:color="auto"/>
          </w:divBdr>
        </w:div>
        <w:div w:id="300621927">
          <w:marLeft w:val="0"/>
          <w:marRight w:val="0"/>
          <w:marTop w:val="0"/>
          <w:marBottom w:val="0"/>
          <w:divBdr>
            <w:top w:val="none" w:sz="0" w:space="0" w:color="auto"/>
            <w:left w:val="none" w:sz="0" w:space="0" w:color="auto"/>
            <w:bottom w:val="none" w:sz="0" w:space="0" w:color="auto"/>
            <w:right w:val="none" w:sz="0" w:space="0" w:color="auto"/>
          </w:divBdr>
        </w:div>
        <w:div w:id="441732896">
          <w:marLeft w:val="0"/>
          <w:marRight w:val="0"/>
          <w:marTop w:val="0"/>
          <w:marBottom w:val="0"/>
          <w:divBdr>
            <w:top w:val="none" w:sz="0" w:space="0" w:color="auto"/>
            <w:left w:val="none" w:sz="0" w:space="0" w:color="auto"/>
            <w:bottom w:val="none" w:sz="0" w:space="0" w:color="auto"/>
            <w:right w:val="none" w:sz="0" w:space="0" w:color="auto"/>
          </w:divBdr>
        </w:div>
      </w:divsChild>
    </w:div>
    <w:div w:id="742800081">
      <w:bodyDiv w:val="1"/>
      <w:marLeft w:val="0"/>
      <w:marRight w:val="0"/>
      <w:marTop w:val="0"/>
      <w:marBottom w:val="0"/>
      <w:divBdr>
        <w:top w:val="none" w:sz="0" w:space="0" w:color="auto"/>
        <w:left w:val="none" w:sz="0" w:space="0" w:color="auto"/>
        <w:bottom w:val="none" w:sz="0" w:space="0" w:color="auto"/>
        <w:right w:val="none" w:sz="0" w:space="0" w:color="auto"/>
      </w:divBdr>
      <w:divsChild>
        <w:div w:id="1209221112">
          <w:marLeft w:val="0"/>
          <w:marRight w:val="0"/>
          <w:marTop w:val="0"/>
          <w:marBottom w:val="0"/>
          <w:divBdr>
            <w:top w:val="none" w:sz="0" w:space="0" w:color="auto"/>
            <w:left w:val="none" w:sz="0" w:space="0" w:color="auto"/>
            <w:bottom w:val="none" w:sz="0" w:space="0" w:color="auto"/>
            <w:right w:val="none" w:sz="0" w:space="0" w:color="auto"/>
          </w:divBdr>
        </w:div>
        <w:div w:id="792408151">
          <w:marLeft w:val="0"/>
          <w:marRight w:val="0"/>
          <w:marTop w:val="0"/>
          <w:marBottom w:val="0"/>
          <w:divBdr>
            <w:top w:val="none" w:sz="0" w:space="0" w:color="auto"/>
            <w:left w:val="none" w:sz="0" w:space="0" w:color="auto"/>
            <w:bottom w:val="none" w:sz="0" w:space="0" w:color="auto"/>
            <w:right w:val="none" w:sz="0" w:space="0" w:color="auto"/>
          </w:divBdr>
        </w:div>
        <w:div w:id="252781224">
          <w:marLeft w:val="0"/>
          <w:marRight w:val="0"/>
          <w:marTop w:val="0"/>
          <w:marBottom w:val="0"/>
          <w:divBdr>
            <w:top w:val="none" w:sz="0" w:space="0" w:color="auto"/>
            <w:left w:val="none" w:sz="0" w:space="0" w:color="auto"/>
            <w:bottom w:val="none" w:sz="0" w:space="0" w:color="auto"/>
            <w:right w:val="none" w:sz="0" w:space="0" w:color="auto"/>
          </w:divBdr>
        </w:div>
        <w:div w:id="576866107">
          <w:marLeft w:val="0"/>
          <w:marRight w:val="0"/>
          <w:marTop w:val="0"/>
          <w:marBottom w:val="0"/>
          <w:divBdr>
            <w:top w:val="none" w:sz="0" w:space="0" w:color="auto"/>
            <w:left w:val="none" w:sz="0" w:space="0" w:color="auto"/>
            <w:bottom w:val="none" w:sz="0" w:space="0" w:color="auto"/>
            <w:right w:val="none" w:sz="0" w:space="0" w:color="auto"/>
          </w:divBdr>
        </w:div>
        <w:div w:id="890269975">
          <w:marLeft w:val="0"/>
          <w:marRight w:val="0"/>
          <w:marTop w:val="0"/>
          <w:marBottom w:val="0"/>
          <w:divBdr>
            <w:top w:val="none" w:sz="0" w:space="0" w:color="auto"/>
            <w:left w:val="none" w:sz="0" w:space="0" w:color="auto"/>
            <w:bottom w:val="none" w:sz="0" w:space="0" w:color="auto"/>
            <w:right w:val="none" w:sz="0" w:space="0" w:color="auto"/>
          </w:divBdr>
        </w:div>
        <w:div w:id="513152038">
          <w:marLeft w:val="0"/>
          <w:marRight w:val="0"/>
          <w:marTop w:val="0"/>
          <w:marBottom w:val="0"/>
          <w:divBdr>
            <w:top w:val="none" w:sz="0" w:space="0" w:color="auto"/>
            <w:left w:val="none" w:sz="0" w:space="0" w:color="auto"/>
            <w:bottom w:val="none" w:sz="0" w:space="0" w:color="auto"/>
            <w:right w:val="none" w:sz="0" w:space="0" w:color="auto"/>
          </w:divBdr>
        </w:div>
        <w:div w:id="164638098">
          <w:marLeft w:val="0"/>
          <w:marRight w:val="0"/>
          <w:marTop w:val="0"/>
          <w:marBottom w:val="0"/>
          <w:divBdr>
            <w:top w:val="none" w:sz="0" w:space="0" w:color="auto"/>
            <w:left w:val="none" w:sz="0" w:space="0" w:color="auto"/>
            <w:bottom w:val="none" w:sz="0" w:space="0" w:color="auto"/>
            <w:right w:val="none" w:sz="0" w:space="0" w:color="auto"/>
          </w:divBdr>
        </w:div>
        <w:div w:id="1221401520">
          <w:marLeft w:val="0"/>
          <w:marRight w:val="0"/>
          <w:marTop w:val="0"/>
          <w:marBottom w:val="0"/>
          <w:divBdr>
            <w:top w:val="none" w:sz="0" w:space="0" w:color="auto"/>
            <w:left w:val="none" w:sz="0" w:space="0" w:color="auto"/>
            <w:bottom w:val="none" w:sz="0" w:space="0" w:color="auto"/>
            <w:right w:val="none" w:sz="0" w:space="0" w:color="auto"/>
          </w:divBdr>
        </w:div>
        <w:div w:id="933709471">
          <w:marLeft w:val="0"/>
          <w:marRight w:val="0"/>
          <w:marTop w:val="0"/>
          <w:marBottom w:val="0"/>
          <w:divBdr>
            <w:top w:val="none" w:sz="0" w:space="0" w:color="auto"/>
            <w:left w:val="none" w:sz="0" w:space="0" w:color="auto"/>
            <w:bottom w:val="none" w:sz="0" w:space="0" w:color="auto"/>
            <w:right w:val="none" w:sz="0" w:space="0" w:color="auto"/>
          </w:divBdr>
        </w:div>
        <w:div w:id="1347748283">
          <w:marLeft w:val="0"/>
          <w:marRight w:val="0"/>
          <w:marTop w:val="0"/>
          <w:marBottom w:val="0"/>
          <w:divBdr>
            <w:top w:val="none" w:sz="0" w:space="0" w:color="auto"/>
            <w:left w:val="none" w:sz="0" w:space="0" w:color="auto"/>
            <w:bottom w:val="none" w:sz="0" w:space="0" w:color="auto"/>
            <w:right w:val="none" w:sz="0" w:space="0" w:color="auto"/>
          </w:divBdr>
        </w:div>
        <w:div w:id="2037733017">
          <w:marLeft w:val="0"/>
          <w:marRight w:val="0"/>
          <w:marTop w:val="0"/>
          <w:marBottom w:val="0"/>
          <w:divBdr>
            <w:top w:val="none" w:sz="0" w:space="0" w:color="auto"/>
            <w:left w:val="none" w:sz="0" w:space="0" w:color="auto"/>
            <w:bottom w:val="none" w:sz="0" w:space="0" w:color="auto"/>
            <w:right w:val="none" w:sz="0" w:space="0" w:color="auto"/>
          </w:divBdr>
        </w:div>
        <w:div w:id="1104611949">
          <w:marLeft w:val="0"/>
          <w:marRight w:val="0"/>
          <w:marTop w:val="0"/>
          <w:marBottom w:val="0"/>
          <w:divBdr>
            <w:top w:val="none" w:sz="0" w:space="0" w:color="auto"/>
            <w:left w:val="none" w:sz="0" w:space="0" w:color="auto"/>
            <w:bottom w:val="none" w:sz="0" w:space="0" w:color="auto"/>
            <w:right w:val="none" w:sz="0" w:space="0" w:color="auto"/>
          </w:divBdr>
        </w:div>
        <w:div w:id="1963029114">
          <w:marLeft w:val="0"/>
          <w:marRight w:val="0"/>
          <w:marTop w:val="0"/>
          <w:marBottom w:val="0"/>
          <w:divBdr>
            <w:top w:val="none" w:sz="0" w:space="0" w:color="auto"/>
            <w:left w:val="none" w:sz="0" w:space="0" w:color="auto"/>
            <w:bottom w:val="none" w:sz="0" w:space="0" w:color="auto"/>
            <w:right w:val="none" w:sz="0" w:space="0" w:color="auto"/>
          </w:divBdr>
        </w:div>
        <w:div w:id="1799295282">
          <w:marLeft w:val="0"/>
          <w:marRight w:val="0"/>
          <w:marTop w:val="0"/>
          <w:marBottom w:val="0"/>
          <w:divBdr>
            <w:top w:val="none" w:sz="0" w:space="0" w:color="auto"/>
            <w:left w:val="none" w:sz="0" w:space="0" w:color="auto"/>
            <w:bottom w:val="none" w:sz="0" w:space="0" w:color="auto"/>
            <w:right w:val="none" w:sz="0" w:space="0" w:color="auto"/>
          </w:divBdr>
        </w:div>
        <w:div w:id="1164934740">
          <w:marLeft w:val="0"/>
          <w:marRight w:val="0"/>
          <w:marTop w:val="0"/>
          <w:marBottom w:val="0"/>
          <w:divBdr>
            <w:top w:val="none" w:sz="0" w:space="0" w:color="auto"/>
            <w:left w:val="none" w:sz="0" w:space="0" w:color="auto"/>
            <w:bottom w:val="none" w:sz="0" w:space="0" w:color="auto"/>
            <w:right w:val="none" w:sz="0" w:space="0" w:color="auto"/>
          </w:divBdr>
        </w:div>
        <w:div w:id="2105371567">
          <w:marLeft w:val="0"/>
          <w:marRight w:val="0"/>
          <w:marTop w:val="0"/>
          <w:marBottom w:val="0"/>
          <w:divBdr>
            <w:top w:val="none" w:sz="0" w:space="0" w:color="auto"/>
            <w:left w:val="none" w:sz="0" w:space="0" w:color="auto"/>
            <w:bottom w:val="none" w:sz="0" w:space="0" w:color="auto"/>
            <w:right w:val="none" w:sz="0" w:space="0" w:color="auto"/>
          </w:divBdr>
        </w:div>
        <w:div w:id="1036391175">
          <w:marLeft w:val="0"/>
          <w:marRight w:val="0"/>
          <w:marTop w:val="0"/>
          <w:marBottom w:val="0"/>
          <w:divBdr>
            <w:top w:val="none" w:sz="0" w:space="0" w:color="auto"/>
            <w:left w:val="none" w:sz="0" w:space="0" w:color="auto"/>
            <w:bottom w:val="none" w:sz="0" w:space="0" w:color="auto"/>
            <w:right w:val="none" w:sz="0" w:space="0" w:color="auto"/>
          </w:divBdr>
        </w:div>
        <w:div w:id="1845627845">
          <w:marLeft w:val="0"/>
          <w:marRight w:val="0"/>
          <w:marTop w:val="0"/>
          <w:marBottom w:val="0"/>
          <w:divBdr>
            <w:top w:val="none" w:sz="0" w:space="0" w:color="auto"/>
            <w:left w:val="none" w:sz="0" w:space="0" w:color="auto"/>
            <w:bottom w:val="none" w:sz="0" w:space="0" w:color="auto"/>
            <w:right w:val="none" w:sz="0" w:space="0" w:color="auto"/>
          </w:divBdr>
        </w:div>
        <w:div w:id="2144735235">
          <w:marLeft w:val="0"/>
          <w:marRight w:val="0"/>
          <w:marTop w:val="0"/>
          <w:marBottom w:val="0"/>
          <w:divBdr>
            <w:top w:val="none" w:sz="0" w:space="0" w:color="auto"/>
            <w:left w:val="none" w:sz="0" w:space="0" w:color="auto"/>
            <w:bottom w:val="none" w:sz="0" w:space="0" w:color="auto"/>
            <w:right w:val="none" w:sz="0" w:space="0" w:color="auto"/>
          </w:divBdr>
        </w:div>
        <w:div w:id="1207136729">
          <w:marLeft w:val="0"/>
          <w:marRight w:val="0"/>
          <w:marTop w:val="0"/>
          <w:marBottom w:val="0"/>
          <w:divBdr>
            <w:top w:val="none" w:sz="0" w:space="0" w:color="auto"/>
            <w:left w:val="none" w:sz="0" w:space="0" w:color="auto"/>
            <w:bottom w:val="none" w:sz="0" w:space="0" w:color="auto"/>
            <w:right w:val="none" w:sz="0" w:space="0" w:color="auto"/>
          </w:divBdr>
        </w:div>
      </w:divsChild>
    </w:div>
    <w:div w:id="913899955">
      <w:bodyDiv w:val="1"/>
      <w:marLeft w:val="0"/>
      <w:marRight w:val="0"/>
      <w:marTop w:val="0"/>
      <w:marBottom w:val="0"/>
      <w:divBdr>
        <w:top w:val="none" w:sz="0" w:space="0" w:color="auto"/>
        <w:left w:val="none" w:sz="0" w:space="0" w:color="auto"/>
        <w:bottom w:val="none" w:sz="0" w:space="0" w:color="auto"/>
        <w:right w:val="none" w:sz="0" w:space="0" w:color="auto"/>
      </w:divBdr>
    </w:div>
    <w:div w:id="1178152574">
      <w:bodyDiv w:val="1"/>
      <w:marLeft w:val="0"/>
      <w:marRight w:val="0"/>
      <w:marTop w:val="0"/>
      <w:marBottom w:val="0"/>
      <w:divBdr>
        <w:top w:val="none" w:sz="0" w:space="0" w:color="auto"/>
        <w:left w:val="none" w:sz="0" w:space="0" w:color="auto"/>
        <w:bottom w:val="none" w:sz="0" w:space="0" w:color="auto"/>
        <w:right w:val="none" w:sz="0" w:space="0" w:color="auto"/>
      </w:divBdr>
    </w:div>
    <w:div w:id="2088648567">
      <w:bodyDiv w:val="1"/>
      <w:marLeft w:val="0"/>
      <w:marRight w:val="0"/>
      <w:marTop w:val="0"/>
      <w:marBottom w:val="0"/>
      <w:divBdr>
        <w:top w:val="none" w:sz="0" w:space="0" w:color="auto"/>
        <w:left w:val="none" w:sz="0" w:space="0" w:color="auto"/>
        <w:bottom w:val="none" w:sz="0" w:space="0" w:color="auto"/>
        <w:right w:val="none" w:sz="0" w:space="0" w:color="auto"/>
      </w:divBdr>
    </w:div>
    <w:div w:id="21392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customXml" Target="../customXml/item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ederalreserve.gov"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federalreserv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2013-08-02T07:00:00+00:00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4596D-B2C4-4D76-93FA-C8EC81149865}"/>
</file>

<file path=customXml/itemProps2.xml><?xml version="1.0" encoding="utf-8"?>
<ds:datastoreItem xmlns:ds="http://schemas.openxmlformats.org/officeDocument/2006/customXml" ds:itemID="{DB6FCB19-C8DE-47F6-98F4-3F85F0525409}"/>
</file>

<file path=customXml/itemProps3.xml><?xml version="1.0" encoding="utf-8"?>
<ds:datastoreItem xmlns:ds="http://schemas.openxmlformats.org/officeDocument/2006/customXml" ds:itemID="{E1335168-2978-42B6-B131-C161D62DC3AB}"/>
</file>

<file path=customXml/itemProps4.xml><?xml version="1.0" encoding="utf-8"?>
<ds:datastoreItem xmlns:ds="http://schemas.openxmlformats.org/officeDocument/2006/customXml" ds:itemID="{1826C1E7-5418-41DC-AC65-43600ECE5ED8}"/>
</file>

<file path=docProps/app.xml><?xml version="1.0" encoding="utf-8"?>
<Properties xmlns="http://schemas.openxmlformats.org/officeDocument/2006/extended-properties" xmlns:vt="http://schemas.openxmlformats.org/officeDocument/2006/docPropsVTypes">
  <Template>Normal.dotm</Template>
  <TotalTime>0</TotalTime>
  <Pages>25</Pages>
  <Words>5752</Words>
  <Characters>31011</Characters>
  <Application>Microsoft Office Word</Application>
  <DocSecurity>2</DocSecurity>
  <Lines>258</Lines>
  <Paragraphs>73</Paragraphs>
  <ScaleCrop>false</ScaleCrop>
  <Company/>
  <LinksUpToDate>false</LinksUpToDate>
  <CharactersWithSpaces>36690</CharactersWithSpaces>
  <SharedDoc>false</SharedDoc>
  <HLinks>
    <vt:vector size="6" baseType="variant">
      <vt:variant>
        <vt:i4>3080246</vt:i4>
      </vt:variant>
      <vt:variant>
        <vt:i4>0</vt:i4>
      </vt:variant>
      <vt:variant>
        <vt:i4>0</vt:i4>
      </vt:variant>
      <vt:variant>
        <vt:i4>5</vt:i4>
      </vt:variant>
      <vt:variant>
        <vt:lpwstr>http://www.federalreserve.gov/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2013-07-31T19:30:00Z</dcterms:created>
  <dcterms:modified xsi:type="dcterms:W3CDTF">2013-07-31T19:31:00Z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