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05115024"/>
        <w:docPartObj>
          <w:docPartGallery w:val="Table of Contents"/>
          <w:docPartUnique/>
        </w:docPartObj>
      </w:sdtPr>
      <w:sdtEndPr>
        <w:rPr>
          <w:noProof/>
        </w:rPr>
      </w:sdtEndPr>
      <w:sdtContent>
        <w:p w:rsidR="00890D88" w:rsidRPr="00903424" w:rsidRDefault="00AF4ACA" w:rsidP="001C0E0F">
          <w:pPr>
            <w:pStyle w:val="TOCHeading"/>
            <w:suppressLineNumbers/>
            <w:spacing w:before="0" w:line="360" w:lineRule="auto"/>
            <w:jc w:val="center"/>
            <w:rPr>
              <w:rFonts w:ascii="Times New Roman" w:hAnsi="Times New Roman" w:cs="Times New Roman"/>
              <w:caps/>
              <w:color w:val="auto"/>
              <w:sz w:val="24"/>
              <w:szCs w:val="24"/>
            </w:rPr>
          </w:pPr>
          <w:r w:rsidRPr="00903424">
            <w:rPr>
              <w:rFonts w:ascii="Times New Roman" w:eastAsia="Times New Roman" w:hAnsi="Times New Roman" w:cs="Times New Roman"/>
              <w:bCs w:val="0"/>
              <w:caps/>
              <w:color w:val="auto"/>
              <w:sz w:val="24"/>
              <w:szCs w:val="24"/>
              <w:lang w:eastAsia="en-US"/>
            </w:rPr>
            <w:t xml:space="preserve">Table of </w:t>
          </w:r>
          <w:r w:rsidR="00890D88" w:rsidRPr="00903424">
            <w:rPr>
              <w:rFonts w:ascii="Times New Roman" w:hAnsi="Times New Roman" w:cs="Times New Roman"/>
              <w:caps/>
              <w:color w:val="auto"/>
              <w:sz w:val="24"/>
              <w:szCs w:val="24"/>
            </w:rPr>
            <w:t>Contents</w:t>
          </w:r>
        </w:p>
        <w:p w:rsidR="001C0E0F" w:rsidRDefault="00890D88" w:rsidP="00480DEE">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3718428" w:history="1">
            <w:r w:rsidR="00480DEE" w:rsidRPr="001A667C">
              <w:rPr>
                <w:rStyle w:val="Hyperlink"/>
                <w:noProof/>
              </w:rPr>
              <w:t>PURPOSE AND SUMMARY OF TESTIMONY</w:t>
            </w:r>
            <w:r w:rsidR="001C0E0F">
              <w:rPr>
                <w:noProof/>
                <w:webHidden/>
              </w:rPr>
              <w:tab/>
            </w:r>
            <w:r w:rsidR="001C0E0F">
              <w:rPr>
                <w:noProof/>
                <w:webHidden/>
              </w:rPr>
              <w:fldChar w:fldCharType="begin"/>
            </w:r>
            <w:r w:rsidR="001C0E0F">
              <w:rPr>
                <w:noProof/>
                <w:webHidden/>
              </w:rPr>
              <w:instrText xml:space="preserve"> PAGEREF _Toc403718428 \h </w:instrText>
            </w:r>
            <w:r w:rsidR="001C0E0F">
              <w:rPr>
                <w:noProof/>
                <w:webHidden/>
              </w:rPr>
            </w:r>
            <w:r w:rsidR="001C0E0F">
              <w:rPr>
                <w:noProof/>
                <w:webHidden/>
              </w:rPr>
              <w:fldChar w:fldCharType="separate"/>
            </w:r>
            <w:r w:rsidR="001C0E0F">
              <w:rPr>
                <w:noProof/>
                <w:webHidden/>
              </w:rPr>
              <w:t>1</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29" w:history="1">
            <w:r w:rsidR="00480DEE" w:rsidRPr="001A667C">
              <w:rPr>
                <w:rStyle w:val="Hyperlink"/>
                <w:noProof/>
              </w:rPr>
              <w:t>REVENUE REQUIREMENT</w:t>
            </w:r>
            <w:r w:rsidR="001C0E0F">
              <w:rPr>
                <w:noProof/>
                <w:webHidden/>
              </w:rPr>
              <w:tab/>
            </w:r>
            <w:r w:rsidR="001C0E0F">
              <w:rPr>
                <w:noProof/>
                <w:webHidden/>
              </w:rPr>
              <w:fldChar w:fldCharType="begin"/>
            </w:r>
            <w:r w:rsidR="001C0E0F">
              <w:rPr>
                <w:noProof/>
                <w:webHidden/>
              </w:rPr>
              <w:instrText xml:space="preserve"> PAGEREF _Toc403718429 \h </w:instrText>
            </w:r>
            <w:r w:rsidR="001C0E0F">
              <w:rPr>
                <w:noProof/>
                <w:webHidden/>
              </w:rPr>
            </w:r>
            <w:r w:rsidR="001C0E0F">
              <w:rPr>
                <w:noProof/>
                <w:webHidden/>
              </w:rPr>
              <w:fldChar w:fldCharType="separate"/>
            </w:r>
            <w:r w:rsidR="001C0E0F">
              <w:rPr>
                <w:noProof/>
                <w:webHidden/>
              </w:rPr>
              <w:t>2</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30" w:history="1">
            <w:r w:rsidR="00480DEE" w:rsidRPr="001A667C">
              <w:rPr>
                <w:rStyle w:val="Hyperlink"/>
                <w:noProof/>
              </w:rPr>
              <w:t>REVENUE ADJUSTMENTS</w:t>
            </w:r>
            <w:r w:rsidR="001C0E0F">
              <w:rPr>
                <w:noProof/>
                <w:webHidden/>
              </w:rPr>
              <w:tab/>
            </w:r>
            <w:r w:rsidR="001C0E0F">
              <w:rPr>
                <w:noProof/>
                <w:webHidden/>
              </w:rPr>
              <w:fldChar w:fldCharType="begin"/>
            </w:r>
            <w:r w:rsidR="001C0E0F">
              <w:rPr>
                <w:noProof/>
                <w:webHidden/>
              </w:rPr>
              <w:instrText xml:space="preserve"> PAGEREF _Toc403718430 \h </w:instrText>
            </w:r>
            <w:r w:rsidR="001C0E0F">
              <w:rPr>
                <w:noProof/>
                <w:webHidden/>
              </w:rPr>
            </w:r>
            <w:r w:rsidR="001C0E0F">
              <w:rPr>
                <w:noProof/>
                <w:webHidden/>
              </w:rPr>
              <w:fldChar w:fldCharType="separate"/>
            </w:r>
            <w:r w:rsidR="001C0E0F">
              <w:rPr>
                <w:noProof/>
                <w:webHidden/>
              </w:rPr>
              <w:t>4</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1" w:history="1">
            <w:r w:rsidR="001C0E0F" w:rsidRPr="001A667C">
              <w:rPr>
                <w:rStyle w:val="Hyperlink"/>
                <w:noProof/>
              </w:rPr>
              <w:t>Schedule 300 Fee Changes</w:t>
            </w:r>
            <w:r w:rsidR="001C0E0F">
              <w:rPr>
                <w:noProof/>
                <w:webHidden/>
              </w:rPr>
              <w:tab/>
            </w:r>
            <w:r w:rsidR="001C0E0F">
              <w:rPr>
                <w:noProof/>
                <w:webHidden/>
              </w:rPr>
              <w:fldChar w:fldCharType="begin"/>
            </w:r>
            <w:r w:rsidR="001C0E0F">
              <w:rPr>
                <w:noProof/>
                <w:webHidden/>
              </w:rPr>
              <w:instrText xml:space="preserve"> PAGEREF _Toc403718431 \h </w:instrText>
            </w:r>
            <w:r w:rsidR="001C0E0F">
              <w:rPr>
                <w:noProof/>
                <w:webHidden/>
              </w:rPr>
            </w:r>
            <w:r w:rsidR="001C0E0F">
              <w:rPr>
                <w:noProof/>
                <w:webHidden/>
              </w:rPr>
              <w:fldChar w:fldCharType="separate"/>
            </w:r>
            <w:r w:rsidR="001C0E0F">
              <w:rPr>
                <w:noProof/>
                <w:webHidden/>
              </w:rPr>
              <w:t>4</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32" w:history="1">
            <w:r w:rsidR="00480DEE" w:rsidRPr="001A667C">
              <w:rPr>
                <w:rStyle w:val="Hyperlink"/>
                <w:noProof/>
              </w:rPr>
              <w:t>OPERATION AND MAINTENANCE AND  ADMINISTRATIVE AND GENERAL EXPENSES</w:t>
            </w:r>
            <w:r w:rsidR="00480DEE">
              <w:rPr>
                <w:noProof/>
                <w:webHidden/>
              </w:rPr>
              <w:tab/>
            </w:r>
            <w:r w:rsidR="001C0E0F">
              <w:rPr>
                <w:noProof/>
                <w:webHidden/>
              </w:rPr>
              <w:fldChar w:fldCharType="begin"/>
            </w:r>
            <w:r w:rsidR="001C0E0F">
              <w:rPr>
                <w:noProof/>
                <w:webHidden/>
              </w:rPr>
              <w:instrText xml:space="preserve"> PAGEREF _Toc403718432 \h </w:instrText>
            </w:r>
            <w:r w:rsidR="001C0E0F">
              <w:rPr>
                <w:noProof/>
                <w:webHidden/>
              </w:rPr>
            </w:r>
            <w:r w:rsidR="001C0E0F">
              <w:rPr>
                <w:noProof/>
                <w:webHidden/>
              </w:rPr>
              <w:fldChar w:fldCharType="separate"/>
            </w:r>
            <w:r w:rsidR="00480DEE">
              <w:rPr>
                <w:noProof/>
                <w:webHidden/>
              </w:rPr>
              <w:t>4</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3" w:history="1">
            <w:r w:rsidR="001C0E0F" w:rsidRPr="001A667C">
              <w:rPr>
                <w:rStyle w:val="Hyperlink"/>
                <w:noProof/>
              </w:rPr>
              <w:t>General Wage Increases</w:t>
            </w:r>
            <w:r w:rsidR="001C0E0F">
              <w:rPr>
                <w:noProof/>
                <w:webHidden/>
              </w:rPr>
              <w:tab/>
            </w:r>
            <w:r w:rsidR="001C0E0F">
              <w:rPr>
                <w:noProof/>
                <w:webHidden/>
              </w:rPr>
              <w:fldChar w:fldCharType="begin"/>
            </w:r>
            <w:r w:rsidR="001C0E0F">
              <w:rPr>
                <w:noProof/>
                <w:webHidden/>
              </w:rPr>
              <w:instrText xml:space="preserve"> PAGEREF _Toc403718433 \h </w:instrText>
            </w:r>
            <w:r w:rsidR="001C0E0F">
              <w:rPr>
                <w:noProof/>
                <w:webHidden/>
              </w:rPr>
            </w:r>
            <w:r w:rsidR="001C0E0F">
              <w:rPr>
                <w:noProof/>
                <w:webHidden/>
              </w:rPr>
              <w:fldChar w:fldCharType="separate"/>
            </w:r>
            <w:r w:rsidR="001C0E0F">
              <w:rPr>
                <w:noProof/>
                <w:webHidden/>
              </w:rPr>
              <w:t>4</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4" w:history="1">
            <w:r w:rsidR="001C0E0F" w:rsidRPr="001A667C">
              <w:rPr>
                <w:rStyle w:val="Hyperlink"/>
                <w:noProof/>
              </w:rPr>
              <w:t>Insurance Expense</w:t>
            </w:r>
            <w:r w:rsidR="001C0E0F">
              <w:rPr>
                <w:noProof/>
                <w:webHidden/>
              </w:rPr>
              <w:tab/>
            </w:r>
            <w:r w:rsidR="001C0E0F">
              <w:rPr>
                <w:noProof/>
                <w:webHidden/>
              </w:rPr>
              <w:fldChar w:fldCharType="begin"/>
            </w:r>
            <w:r w:rsidR="001C0E0F">
              <w:rPr>
                <w:noProof/>
                <w:webHidden/>
              </w:rPr>
              <w:instrText xml:space="preserve"> PAGEREF _Toc403718434 \h </w:instrText>
            </w:r>
            <w:r w:rsidR="001C0E0F">
              <w:rPr>
                <w:noProof/>
                <w:webHidden/>
              </w:rPr>
            </w:r>
            <w:r w:rsidR="001C0E0F">
              <w:rPr>
                <w:noProof/>
                <w:webHidden/>
              </w:rPr>
              <w:fldChar w:fldCharType="separate"/>
            </w:r>
            <w:r w:rsidR="001C0E0F">
              <w:rPr>
                <w:noProof/>
                <w:webHidden/>
              </w:rPr>
              <w:t>7</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5" w:history="1">
            <w:r w:rsidR="001C0E0F" w:rsidRPr="001A667C">
              <w:rPr>
                <w:rStyle w:val="Hyperlink"/>
                <w:noProof/>
              </w:rPr>
              <w:t>Legal Expenses</w:t>
            </w:r>
            <w:r w:rsidR="001C0E0F">
              <w:rPr>
                <w:noProof/>
                <w:webHidden/>
              </w:rPr>
              <w:tab/>
            </w:r>
            <w:r w:rsidR="001C0E0F">
              <w:rPr>
                <w:noProof/>
                <w:webHidden/>
              </w:rPr>
              <w:fldChar w:fldCharType="begin"/>
            </w:r>
            <w:r w:rsidR="001C0E0F">
              <w:rPr>
                <w:noProof/>
                <w:webHidden/>
              </w:rPr>
              <w:instrText xml:space="preserve"> PAGEREF _Toc403718435 \h </w:instrText>
            </w:r>
            <w:r w:rsidR="001C0E0F">
              <w:rPr>
                <w:noProof/>
                <w:webHidden/>
              </w:rPr>
            </w:r>
            <w:r w:rsidR="001C0E0F">
              <w:rPr>
                <w:noProof/>
                <w:webHidden/>
              </w:rPr>
              <w:fldChar w:fldCharType="separate"/>
            </w:r>
            <w:r w:rsidR="001C0E0F">
              <w:rPr>
                <w:noProof/>
                <w:webHidden/>
              </w:rPr>
              <w:t>9</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6" w:history="1">
            <w:r w:rsidR="001C0E0F" w:rsidRPr="001A667C">
              <w:rPr>
                <w:rStyle w:val="Hyperlink"/>
                <w:noProof/>
              </w:rPr>
              <w:t>Collection Agency Fees</w:t>
            </w:r>
            <w:r w:rsidR="001C0E0F">
              <w:rPr>
                <w:noProof/>
                <w:webHidden/>
              </w:rPr>
              <w:tab/>
            </w:r>
            <w:r w:rsidR="001C0E0F">
              <w:rPr>
                <w:noProof/>
                <w:webHidden/>
              </w:rPr>
              <w:fldChar w:fldCharType="begin"/>
            </w:r>
            <w:r w:rsidR="001C0E0F">
              <w:rPr>
                <w:noProof/>
                <w:webHidden/>
              </w:rPr>
              <w:instrText xml:space="preserve"> PAGEREF _Toc403718436 \h </w:instrText>
            </w:r>
            <w:r w:rsidR="001C0E0F">
              <w:rPr>
                <w:noProof/>
                <w:webHidden/>
              </w:rPr>
            </w:r>
            <w:r w:rsidR="001C0E0F">
              <w:rPr>
                <w:noProof/>
                <w:webHidden/>
              </w:rPr>
              <w:fldChar w:fldCharType="separate"/>
            </w:r>
            <w:r w:rsidR="001C0E0F">
              <w:rPr>
                <w:noProof/>
                <w:webHidden/>
              </w:rPr>
              <w:t>9</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7" w:history="1">
            <w:r w:rsidR="001C0E0F" w:rsidRPr="001A667C">
              <w:rPr>
                <w:rStyle w:val="Hyperlink"/>
                <w:noProof/>
              </w:rPr>
              <w:t>IHS Global Insight Escalation Adjustment</w:t>
            </w:r>
            <w:r w:rsidR="001C0E0F">
              <w:rPr>
                <w:noProof/>
                <w:webHidden/>
              </w:rPr>
              <w:tab/>
            </w:r>
            <w:r w:rsidR="001C0E0F">
              <w:rPr>
                <w:noProof/>
                <w:webHidden/>
              </w:rPr>
              <w:fldChar w:fldCharType="begin"/>
            </w:r>
            <w:r w:rsidR="001C0E0F">
              <w:rPr>
                <w:noProof/>
                <w:webHidden/>
              </w:rPr>
              <w:instrText xml:space="preserve"> PAGEREF _Toc403718437 \h </w:instrText>
            </w:r>
            <w:r w:rsidR="001C0E0F">
              <w:rPr>
                <w:noProof/>
                <w:webHidden/>
              </w:rPr>
            </w:r>
            <w:r w:rsidR="001C0E0F">
              <w:rPr>
                <w:noProof/>
                <w:webHidden/>
              </w:rPr>
              <w:fldChar w:fldCharType="separate"/>
            </w:r>
            <w:r w:rsidR="001C0E0F">
              <w:rPr>
                <w:noProof/>
                <w:webHidden/>
              </w:rPr>
              <w:t>10</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38" w:history="1">
            <w:r w:rsidR="00480DEE" w:rsidRPr="001A667C">
              <w:rPr>
                <w:rStyle w:val="Hyperlink"/>
                <w:noProof/>
              </w:rPr>
              <w:t>NET POWER COSTS</w:t>
            </w:r>
            <w:r w:rsidR="001C0E0F">
              <w:rPr>
                <w:noProof/>
                <w:webHidden/>
              </w:rPr>
              <w:tab/>
            </w:r>
            <w:r w:rsidR="001C0E0F">
              <w:rPr>
                <w:noProof/>
                <w:webHidden/>
              </w:rPr>
              <w:fldChar w:fldCharType="begin"/>
            </w:r>
            <w:r w:rsidR="001C0E0F">
              <w:rPr>
                <w:noProof/>
                <w:webHidden/>
              </w:rPr>
              <w:instrText xml:space="preserve"> PAGEREF _Toc403718438 \h </w:instrText>
            </w:r>
            <w:r w:rsidR="001C0E0F">
              <w:rPr>
                <w:noProof/>
                <w:webHidden/>
              </w:rPr>
            </w:r>
            <w:r w:rsidR="001C0E0F">
              <w:rPr>
                <w:noProof/>
                <w:webHidden/>
              </w:rPr>
              <w:fldChar w:fldCharType="separate"/>
            </w:r>
            <w:r w:rsidR="001C0E0F">
              <w:rPr>
                <w:noProof/>
                <w:webHidden/>
              </w:rPr>
              <w:t>10</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39" w:history="1">
            <w:r w:rsidR="001C0E0F" w:rsidRPr="001A667C">
              <w:rPr>
                <w:rStyle w:val="Hyperlink"/>
                <w:noProof/>
              </w:rPr>
              <w:t>Net Power Cost Update</w:t>
            </w:r>
            <w:r w:rsidR="001C0E0F">
              <w:rPr>
                <w:noProof/>
                <w:webHidden/>
              </w:rPr>
              <w:tab/>
            </w:r>
            <w:r w:rsidR="001C0E0F">
              <w:rPr>
                <w:noProof/>
                <w:webHidden/>
              </w:rPr>
              <w:fldChar w:fldCharType="begin"/>
            </w:r>
            <w:r w:rsidR="001C0E0F">
              <w:rPr>
                <w:noProof/>
                <w:webHidden/>
              </w:rPr>
              <w:instrText xml:space="preserve"> PAGEREF _Toc403718439 \h </w:instrText>
            </w:r>
            <w:r w:rsidR="001C0E0F">
              <w:rPr>
                <w:noProof/>
                <w:webHidden/>
              </w:rPr>
            </w:r>
            <w:r w:rsidR="001C0E0F">
              <w:rPr>
                <w:noProof/>
                <w:webHidden/>
              </w:rPr>
              <w:fldChar w:fldCharType="separate"/>
            </w:r>
            <w:r w:rsidR="001C0E0F">
              <w:rPr>
                <w:noProof/>
                <w:webHidden/>
              </w:rPr>
              <w:t>10</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0" w:history="1">
            <w:r w:rsidR="001C0E0F" w:rsidRPr="001A667C">
              <w:rPr>
                <w:rStyle w:val="Hyperlink"/>
                <w:noProof/>
              </w:rPr>
              <w:t>Qualifying Facilities</w:t>
            </w:r>
            <w:r w:rsidR="001C0E0F">
              <w:rPr>
                <w:noProof/>
                <w:webHidden/>
              </w:rPr>
              <w:tab/>
            </w:r>
            <w:r w:rsidR="001C0E0F">
              <w:rPr>
                <w:noProof/>
                <w:webHidden/>
              </w:rPr>
              <w:fldChar w:fldCharType="begin"/>
            </w:r>
            <w:r w:rsidR="001C0E0F">
              <w:rPr>
                <w:noProof/>
                <w:webHidden/>
              </w:rPr>
              <w:instrText xml:space="preserve"> PAGEREF _Toc403718440 \h </w:instrText>
            </w:r>
            <w:r w:rsidR="001C0E0F">
              <w:rPr>
                <w:noProof/>
                <w:webHidden/>
              </w:rPr>
            </w:r>
            <w:r w:rsidR="001C0E0F">
              <w:rPr>
                <w:noProof/>
                <w:webHidden/>
              </w:rPr>
              <w:fldChar w:fldCharType="separate"/>
            </w:r>
            <w:r w:rsidR="001C0E0F">
              <w:rPr>
                <w:noProof/>
                <w:webHidden/>
              </w:rPr>
              <w:t>11</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41" w:history="1">
            <w:r w:rsidR="00480DEE" w:rsidRPr="001A667C">
              <w:rPr>
                <w:rStyle w:val="Hyperlink"/>
                <w:noProof/>
              </w:rPr>
              <w:t>DEPRECIATION</w:t>
            </w:r>
            <w:r w:rsidR="001C0E0F">
              <w:rPr>
                <w:noProof/>
                <w:webHidden/>
              </w:rPr>
              <w:tab/>
            </w:r>
            <w:r w:rsidR="001C0E0F">
              <w:rPr>
                <w:noProof/>
                <w:webHidden/>
              </w:rPr>
              <w:fldChar w:fldCharType="begin"/>
            </w:r>
            <w:r w:rsidR="001C0E0F">
              <w:rPr>
                <w:noProof/>
                <w:webHidden/>
              </w:rPr>
              <w:instrText xml:space="preserve"> PAGEREF _Toc403718441 \h </w:instrText>
            </w:r>
            <w:r w:rsidR="001C0E0F">
              <w:rPr>
                <w:noProof/>
                <w:webHidden/>
              </w:rPr>
            </w:r>
            <w:r w:rsidR="001C0E0F">
              <w:rPr>
                <w:noProof/>
                <w:webHidden/>
              </w:rPr>
              <w:fldChar w:fldCharType="separate"/>
            </w:r>
            <w:r w:rsidR="001C0E0F">
              <w:rPr>
                <w:noProof/>
                <w:webHidden/>
              </w:rPr>
              <w:t>11</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42" w:history="1">
            <w:r w:rsidR="00480DEE" w:rsidRPr="001A667C">
              <w:rPr>
                <w:rStyle w:val="Hyperlink"/>
                <w:noProof/>
              </w:rPr>
              <w:t>INTEREST AND TAXES</w:t>
            </w:r>
            <w:r w:rsidR="001C0E0F">
              <w:rPr>
                <w:noProof/>
                <w:webHidden/>
              </w:rPr>
              <w:tab/>
            </w:r>
            <w:r w:rsidR="001C0E0F">
              <w:rPr>
                <w:noProof/>
                <w:webHidden/>
              </w:rPr>
              <w:fldChar w:fldCharType="begin"/>
            </w:r>
            <w:r w:rsidR="001C0E0F">
              <w:rPr>
                <w:noProof/>
                <w:webHidden/>
              </w:rPr>
              <w:instrText xml:space="preserve"> PAGEREF _Toc403718442 \h </w:instrText>
            </w:r>
            <w:r w:rsidR="001C0E0F">
              <w:rPr>
                <w:noProof/>
                <w:webHidden/>
              </w:rPr>
            </w:r>
            <w:r w:rsidR="001C0E0F">
              <w:rPr>
                <w:noProof/>
                <w:webHidden/>
              </w:rPr>
              <w:fldChar w:fldCharType="separate"/>
            </w:r>
            <w:r w:rsidR="001C0E0F">
              <w:rPr>
                <w:noProof/>
                <w:webHidden/>
              </w:rPr>
              <w:t>12</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3" w:history="1">
            <w:r w:rsidR="001C0E0F" w:rsidRPr="001A667C">
              <w:rPr>
                <w:rStyle w:val="Hyperlink"/>
                <w:noProof/>
              </w:rPr>
              <w:t>Interest True Up</w:t>
            </w:r>
            <w:r w:rsidR="001C0E0F">
              <w:rPr>
                <w:noProof/>
                <w:webHidden/>
              </w:rPr>
              <w:tab/>
            </w:r>
            <w:r w:rsidR="001C0E0F">
              <w:rPr>
                <w:noProof/>
                <w:webHidden/>
              </w:rPr>
              <w:fldChar w:fldCharType="begin"/>
            </w:r>
            <w:r w:rsidR="001C0E0F">
              <w:rPr>
                <w:noProof/>
                <w:webHidden/>
              </w:rPr>
              <w:instrText xml:space="preserve"> PAGEREF _Toc403718443 \h </w:instrText>
            </w:r>
            <w:r w:rsidR="001C0E0F">
              <w:rPr>
                <w:noProof/>
                <w:webHidden/>
              </w:rPr>
            </w:r>
            <w:r w:rsidR="001C0E0F">
              <w:rPr>
                <w:noProof/>
                <w:webHidden/>
              </w:rPr>
              <w:fldChar w:fldCharType="separate"/>
            </w:r>
            <w:r w:rsidR="001C0E0F">
              <w:rPr>
                <w:noProof/>
                <w:webHidden/>
              </w:rPr>
              <w:t>12</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4" w:history="1">
            <w:r w:rsidR="001C0E0F" w:rsidRPr="001A667C">
              <w:rPr>
                <w:rStyle w:val="Hyperlink"/>
                <w:noProof/>
              </w:rPr>
              <w:t>Property Taxes</w:t>
            </w:r>
            <w:r w:rsidR="001C0E0F">
              <w:rPr>
                <w:noProof/>
                <w:webHidden/>
              </w:rPr>
              <w:tab/>
            </w:r>
            <w:r w:rsidR="001C0E0F">
              <w:rPr>
                <w:noProof/>
                <w:webHidden/>
              </w:rPr>
              <w:fldChar w:fldCharType="begin"/>
            </w:r>
            <w:r w:rsidR="001C0E0F">
              <w:rPr>
                <w:noProof/>
                <w:webHidden/>
              </w:rPr>
              <w:instrText xml:space="preserve"> PAGEREF _Toc403718444 \h </w:instrText>
            </w:r>
            <w:r w:rsidR="001C0E0F">
              <w:rPr>
                <w:noProof/>
                <w:webHidden/>
              </w:rPr>
            </w:r>
            <w:r w:rsidR="001C0E0F">
              <w:rPr>
                <w:noProof/>
                <w:webHidden/>
              </w:rPr>
              <w:fldChar w:fldCharType="separate"/>
            </w:r>
            <w:r w:rsidR="001C0E0F">
              <w:rPr>
                <w:noProof/>
                <w:webHidden/>
              </w:rPr>
              <w:t>12</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5" w:history="1">
            <w:r w:rsidR="001C0E0F" w:rsidRPr="001A667C">
              <w:rPr>
                <w:rStyle w:val="Hyperlink"/>
                <w:noProof/>
              </w:rPr>
              <w:t>Washington Low Income Tax Credit</w:t>
            </w:r>
            <w:r w:rsidR="001C0E0F">
              <w:rPr>
                <w:noProof/>
                <w:webHidden/>
              </w:rPr>
              <w:tab/>
            </w:r>
            <w:r w:rsidR="001C0E0F">
              <w:rPr>
                <w:noProof/>
                <w:webHidden/>
              </w:rPr>
              <w:fldChar w:fldCharType="begin"/>
            </w:r>
            <w:r w:rsidR="001C0E0F">
              <w:rPr>
                <w:noProof/>
                <w:webHidden/>
              </w:rPr>
              <w:instrText xml:space="preserve"> PAGEREF _Toc403718445 \h </w:instrText>
            </w:r>
            <w:r w:rsidR="001C0E0F">
              <w:rPr>
                <w:noProof/>
                <w:webHidden/>
              </w:rPr>
            </w:r>
            <w:r w:rsidR="001C0E0F">
              <w:rPr>
                <w:noProof/>
                <w:webHidden/>
              </w:rPr>
              <w:fldChar w:fldCharType="separate"/>
            </w:r>
            <w:r w:rsidR="001C0E0F">
              <w:rPr>
                <w:noProof/>
                <w:webHidden/>
              </w:rPr>
              <w:t>13</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46" w:history="1">
            <w:r w:rsidR="00480DEE" w:rsidRPr="001A667C">
              <w:rPr>
                <w:rStyle w:val="Hyperlink"/>
                <w:noProof/>
              </w:rPr>
              <w:t>RATE BASE ADJUSTMENTS</w:t>
            </w:r>
            <w:r w:rsidR="001C0E0F">
              <w:rPr>
                <w:noProof/>
                <w:webHidden/>
              </w:rPr>
              <w:tab/>
            </w:r>
            <w:r w:rsidR="001C0E0F">
              <w:rPr>
                <w:noProof/>
                <w:webHidden/>
              </w:rPr>
              <w:fldChar w:fldCharType="begin"/>
            </w:r>
            <w:r w:rsidR="001C0E0F">
              <w:rPr>
                <w:noProof/>
                <w:webHidden/>
              </w:rPr>
              <w:instrText xml:space="preserve"> PAGEREF _Toc403718446 \h </w:instrText>
            </w:r>
            <w:r w:rsidR="001C0E0F">
              <w:rPr>
                <w:noProof/>
                <w:webHidden/>
              </w:rPr>
            </w:r>
            <w:r w:rsidR="001C0E0F">
              <w:rPr>
                <w:noProof/>
                <w:webHidden/>
              </w:rPr>
              <w:fldChar w:fldCharType="separate"/>
            </w:r>
            <w:r w:rsidR="001C0E0F">
              <w:rPr>
                <w:noProof/>
                <w:webHidden/>
              </w:rPr>
              <w:t>15</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7" w:history="1">
            <w:r w:rsidR="001C0E0F" w:rsidRPr="001A667C">
              <w:rPr>
                <w:rStyle w:val="Hyperlink"/>
                <w:noProof/>
              </w:rPr>
              <w:t>Pro Forma Major Capital Additions</w:t>
            </w:r>
            <w:r w:rsidR="001C0E0F">
              <w:rPr>
                <w:noProof/>
                <w:webHidden/>
              </w:rPr>
              <w:tab/>
            </w:r>
            <w:r w:rsidR="001C0E0F">
              <w:rPr>
                <w:noProof/>
                <w:webHidden/>
              </w:rPr>
              <w:fldChar w:fldCharType="begin"/>
            </w:r>
            <w:r w:rsidR="001C0E0F">
              <w:rPr>
                <w:noProof/>
                <w:webHidden/>
              </w:rPr>
              <w:instrText xml:space="preserve"> PAGEREF _Toc403718447 \h </w:instrText>
            </w:r>
            <w:r w:rsidR="001C0E0F">
              <w:rPr>
                <w:noProof/>
                <w:webHidden/>
              </w:rPr>
            </w:r>
            <w:r w:rsidR="001C0E0F">
              <w:rPr>
                <w:noProof/>
                <w:webHidden/>
              </w:rPr>
              <w:fldChar w:fldCharType="separate"/>
            </w:r>
            <w:r w:rsidR="001C0E0F">
              <w:rPr>
                <w:noProof/>
                <w:webHidden/>
              </w:rPr>
              <w:t>15</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8" w:history="1">
            <w:r w:rsidR="001C0E0F" w:rsidRPr="001A667C">
              <w:rPr>
                <w:rStyle w:val="Hyperlink"/>
                <w:noProof/>
              </w:rPr>
              <w:t>Use of End-of-Period Rate Base</w:t>
            </w:r>
            <w:r w:rsidR="001C0E0F">
              <w:rPr>
                <w:noProof/>
                <w:webHidden/>
              </w:rPr>
              <w:tab/>
            </w:r>
            <w:r w:rsidR="001C0E0F">
              <w:rPr>
                <w:noProof/>
                <w:webHidden/>
              </w:rPr>
              <w:fldChar w:fldCharType="begin"/>
            </w:r>
            <w:r w:rsidR="001C0E0F">
              <w:rPr>
                <w:noProof/>
                <w:webHidden/>
              </w:rPr>
              <w:instrText xml:space="preserve"> PAGEREF _Toc403718448 \h </w:instrText>
            </w:r>
            <w:r w:rsidR="001C0E0F">
              <w:rPr>
                <w:noProof/>
                <w:webHidden/>
              </w:rPr>
            </w:r>
            <w:r w:rsidR="001C0E0F">
              <w:rPr>
                <w:noProof/>
                <w:webHidden/>
              </w:rPr>
              <w:fldChar w:fldCharType="separate"/>
            </w:r>
            <w:r w:rsidR="001C0E0F">
              <w:rPr>
                <w:noProof/>
                <w:webHidden/>
              </w:rPr>
              <w:t>19</w:t>
            </w:r>
            <w:r w:rsidR="001C0E0F">
              <w:rPr>
                <w:noProof/>
                <w:webHidden/>
              </w:rPr>
              <w:fldChar w:fldCharType="end"/>
            </w:r>
          </w:hyperlink>
        </w:p>
        <w:p w:rsidR="001C0E0F" w:rsidRDefault="00CB472D" w:rsidP="001C0E0F">
          <w:pPr>
            <w:pStyle w:val="TOC2"/>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8449" w:history="1">
            <w:r w:rsidR="001C0E0F" w:rsidRPr="001A667C">
              <w:rPr>
                <w:rStyle w:val="Hyperlink"/>
                <w:noProof/>
              </w:rPr>
              <w:t>Other Rate Base Adjustments</w:t>
            </w:r>
            <w:r w:rsidR="001C0E0F">
              <w:rPr>
                <w:noProof/>
                <w:webHidden/>
              </w:rPr>
              <w:tab/>
            </w:r>
            <w:r w:rsidR="001C0E0F">
              <w:rPr>
                <w:noProof/>
                <w:webHidden/>
              </w:rPr>
              <w:fldChar w:fldCharType="begin"/>
            </w:r>
            <w:r w:rsidR="001C0E0F">
              <w:rPr>
                <w:noProof/>
                <w:webHidden/>
              </w:rPr>
              <w:instrText xml:space="preserve"> PAGEREF _Toc403718449 \h </w:instrText>
            </w:r>
            <w:r w:rsidR="001C0E0F">
              <w:rPr>
                <w:noProof/>
                <w:webHidden/>
              </w:rPr>
            </w:r>
            <w:r w:rsidR="001C0E0F">
              <w:rPr>
                <w:noProof/>
                <w:webHidden/>
              </w:rPr>
              <w:fldChar w:fldCharType="separate"/>
            </w:r>
            <w:r w:rsidR="001C0E0F">
              <w:rPr>
                <w:noProof/>
                <w:webHidden/>
              </w:rPr>
              <w:t>19</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50" w:history="1">
            <w:r w:rsidR="00480DEE" w:rsidRPr="001A667C">
              <w:rPr>
                <w:rStyle w:val="Hyperlink"/>
                <w:noProof/>
              </w:rPr>
              <w:t>PRODUCTION FACTOR ADJUSTMENT UPDATE</w:t>
            </w:r>
            <w:r w:rsidR="001C0E0F">
              <w:rPr>
                <w:noProof/>
                <w:webHidden/>
              </w:rPr>
              <w:tab/>
            </w:r>
            <w:r w:rsidR="001C0E0F">
              <w:rPr>
                <w:noProof/>
                <w:webHidden/>
              </w:rPr>
              <w:fldChar w:fldCharType="begin"/>
            </w:r>
            <w:r w:rsidR="001C0E0F">
              <w:rPr>
                <w:noProof/>
                <w:webHidden/>
              </w:rPr>
              <w:instrText xml:space="preserve"> PAGEREF _Toc403718450 \h </w:instrText>
            </w:r>
            <w:r w:rsidR="001C0E0F">
              <w:rPr>
                <w:noProof/>
                <w:webHidden/>
              </w:rPr>
            </w:r>
            <w:r w:rsidR="001C0E0F">
              <w:rPr>
                <w:noProof/>
                <w:webHidden/>
              </w:rPr>
              <w:fldChar w:fldCharType="separate"/>
            </w:r>
            <w:r w:rsidR="001C0E0F">
              <w:rPr>
                <w:noProof/>
                <w:webHidden/>
              </w:rPr>
              <w:t>20</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51" w:history="1">
            <w:r w:rsidR="00480DEE" w:rsidRPr="001A667C">
              <w:rPr>
                <w:rStyle w:val="Hyperlink"/>
                <w:noProof/>
              </w:rPr>
              <w:t>TREATMENT OF DEFERRALS</w:t>
            </w:r>
            <w:r w:rsidR="001C0E0F">
              <w:rPr>
                <w:noProof/>
                <w:webHidden/>
              </w:rPr>
              <w:tab/>
            </w:r>
            <w:r w:rsidR="001C0E0F">
              <w:rPr>
                <w:noProof/>
                <w:webHidden/>
              </w:rPr>
              <w:fldChar w:fldCharType="begin"/>
            </w:r>
            <w:r w:rsidR="001C0E0F">
              <w:rPr>
                <w:noProof/>
                <w:webHidden/>
              </w:rPr>
              <w:instrText xml:space="preserve"> PAGEREF _Toc403718451 \h </w:instrText>
            </w:r>
            <w:r w:rsidR="001C0E0F">
              <w:rPr>
                <w:noProof/>
                <w:webHidden/>
              </w:rPr>
            </w:r>
            <w:r w:rsidR="001C0E0F">
              <w:rPr>
                <w:noProof/>
                <w:webHidden/>
              </w:rPr>
              <w:fldChar w:fldCharType="separate"/>
            </w:r>
            <w:r w:rsidR="001C0E0F">
              <w:rPr>
                <w:noProof/>
                <w:webHidden/>
              </w:rPr>
              <w:t>20</w:t>
            </w:r>
            <w:r w:rsidR="001C0E0F">
              <w:rPr>
                <w:noProof/>
                <w:webHidden/>
              </w:rPr>
              <w:fldChar w:fldCharType="end"/>
            </w:r>
          </w:hyperlink>
        </w:p>
        <w:p w:rsidR="001C0E0F" w:rsidRDefault="00CB472D" w:rsidP="00480DEE">
          <w:pPr>
            <w:pStyle w:val="TOC1"/>
            <w:rPr>
              <w:rFonts w:asciiTheme="minorHAnsi" w:eastAsiaTheme="minorEastAsia" w:hAnsiTheme="minorHAnsi" w:cstheme="minorBidi"/>
              <w:noProof/>
              <w:sz w:val="22"/>
              <w:szCs w:val="22"/>
            </w:rPr>
          </w:pPr>
          <w:hyperlink w:anchor="_Toc403718452" w:history="1">
            <w:r w:rsidR="00480DEE" w:rsidRPr="001A667C">
              <w:rPr>
                <w:rStyle w:val="Hyperlink"/>
                <w:noProof/>
              </w:rPr>
              <w:t>ADDITIONAL REVENUE REQUIREMENT EXHIBIT</w:t>
            </w:r>
            <w:r w:rsidR="001C0E0F">
              <w:rPr>
                <w:noProof/>
                <w:webHidden/>
              </w:rPr>
              <w:tab/>
            </w:r>
            <w:r w:rsidR="001C0E0F">
              <w:rPr>
                <w:noProof/>
                <w:webHidden/>
              </w:rPr>
              <w:fldChar w:fldCharType="begin"/>
            </w:r>
            <w:r w:rsidR="001C0E0F">
              <w:rPr>
                <w:noProof/>
                <w:webHidden/>
              </w:rPr>
              <w:instrText xml:space="preserve"> PAGEREF _Toc403718452 \h </w:instrText>
            </w:r>
            <w:r w:rsidR="001C0E0F">
              <w:rPr>
                <w:noProof/>
                <w:webHidden/>
              </w:rPr>
            </w:r>
            <w:r w:rsidR="001C0E0F">
              <w:rPr>
                <w:noProof/>
                <w:webHidden/>
              </w:rPr>
              <w:fldChar w:fldCharType="separate"/>
            </w:r>
            <w:r w:rsidR="001C0E0F">
              <w:rPr>
                <w:noProof/>
                <w:webHidden/>
              </w:rPr>
              <w:t>26</w:t>
            </w:r>
            <w:r w:rsidR="001C0E0F">
              <w:rPr>
                <w:noProof/>
                <w:webHidden/>
              </w:rPr>
              <w:fldChar w:fldCharType="end"/>
            </w:r>
          </w:hyperlink>
        </w:p>
        <w:p w:rsidR="00890D88" w:rsidRDefault="00890D88" w:rsidP="001C0E0F">
          <w:pPr>
            <w:suppressLineNumbers/>
            <w:spacing w:line="360" w:lineRule="auto"/>
          </w:pPr>
          <w:r>
            <w:rPr>
              <w:b/>
              <w:bCs/>
              <w:noProof/>
            </w:rPr>
            <w:fldChar w:fldCharType="end"/>
          </w:r>
        </w:p>
      </w:sdtContent>
    </w:sdt>
    <w:p w:rsidR="00CC6810" w:rsidRDefault="00CC6810" w:rsidP="00CC6810">
      <w:pPr>
        <w:suppressLineNumbers/>
        <w:spacing w:line="360" w:lineRule="auto"/>
        <w:jc w:val="center"/>
        <w:rPr>
          <w:b/>
        </w:rPr>
      </w:pPr>
      <w:r>
        <w:rPr>
          <w:b/>
        </w:rPr>
        <w:t>ATTACHED EXHIBITS</w:t>
      </w:r>
    </w:p>
    <w:p w:rsidR="00CC6810" w:rsidRDefault="00CC6810" w:rsidP="0037439A">
      <w:pPr>
        <w:suppressLineNumbers/>
        <w:ind w:left="2250" w:hanging="2250"/>
        <w:jc w:val="left"/>
      </w:pPr>
      <w:r>
        <w:t>Exhibit No. NCS-11—Rebuttal Results of Operations Twelve-months ended December 31, 2013</w:t>
      </w:r>
    </w:p>
    <w:p w:rsidR="00CC6810" w:rsidRDefault="00CC6810" w:rsidP="0037439A">
      <w:pPr>
        <w:suppressLineNumbers/>
        <w:ind w:left="2250" w:hanging="2250"/>
        <w:jc w:val="left"/>
      </w:pPr>
      <w:r>
        <w:lastRenderedPageBreak/>
        <w:t xml:space="preserve">Exhibit No. NCS-12—Summary of Revenue Requirement Scenarios with Net Power Cost </w:t>
      </w:r>
      <w:r w:rsidR="0037439A">
        <w:t xml:space="preserve">          </w:t>
      </w:r>
      <w:r>
        <w:t>QF Alternatives (Updated)</w:t>
      </w:r>
    </w:p>
    <w:p w:rsidR="00CC6810" w:rsidRDefault="00CC6810" w:rsidP="0037439A">
      <w:pPr>
        <w:suppressLineNumbers/>
        <w:ind w:left="2250" w:hanging="2250"/>
        <w:jc w:val="left"/>
      </w:pPr>
      <w:r>
        <w:t>Exhibit No. NCS-13—Summary of Revenue Requirement Scenario with Alternative Capital Structure (Updated)</w:t>
      </w:r>
    </w:p>
    <w:p w:rsidR="00CC6810" w:rsidRDefault="00CC6810" w:rsidP="00CC6810">
      <w:pPr>
        <w:suppressLineNumbers/>
        <w:ind w:left="720" w:hanging="720"/>
        <w:jc w:val="left"/>
      </w:pPr>
      <w:r>
        <w:t>Exhibit No. NCS-14—Summary and Calculation of Deferred Amounts Requested (Updated)</w:t>
      </w:r>
    </w:p>
    <w:p w:rsidR="00CC6810" w:rsidRDefault="00CC6810" w:rsidP="0037439A">
      <w:pPr>
        <w:suppressLineNumbers/>
        <w:ind w:left="2250" w:hanging="2250"/>
        <w:jc w:val="left"/>
      </w:pPr>
      <w:r>
        <w:t>Exhibit No. NCS-15—Summary and Calculation of Deferred Amounts Requested (Hypothetical Amortization into Base Rates)</w:t>
      </w:r>
    </w:p>
    <w:p w:rsidR="00CC6810" w:rsidRPr="00CC6810" w:rsidRDefault="00CC6810" w:rsidP="00CC6810">
      <w:pPr>
        <w:suppressLineNumbers/>
        <w:ind w:left="720" w:hanging="720"/>
        <w:jc w:val="left"/>
      </w:pPr>
      <w:r>
        <w:t>Exhibit No. NCS-16—Miscellaneous Support for Rebuttal Testimony of Natasha C. Siores</w:t>
      </w:r>
    </w:p>
    <w:p w:rsidR="00CC6810" w:rsidRDefault="00890D88" w:rsidP="00CC6810">
      <w:pPr>
        <w:suppressLineNumbers/>
        <w:spacing w:line="360" w:lineRule="auto"/>
        <w:jc w:val="left"/>
        <w:sectPr w:rsidR="00CC6810" w:rsidSect="00047B9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cols w:space="720"/>
          <w:titlePg/>
          <w:docGrid w:linePitch="360"/>
        </w:sectPr>
      </w:pPr>
      <w:r>
        <w:br w:type="page"/>
      </w:r>
    </w:p>
    <w:p w:rsidR="00A0242D" w:rsidRDefault="00A0242D" w:rsidP="009E1B1C">
      <w:pPr>
        <w:pStyle w:val="Question"/>
        <w:jc w:val="left"/>
      </w:pPr>
      <w:r>
        <w:lastRenderedPageBreak/>
        <w:t>Q.</w:t>
      </w:r>
      <w:r>
        <w:tab/>
        <w:t xml:space="preserve">Are you the same </w:t>
      </w:r>
      <w:r w:rsidR="0002717D">
        <w:t>Natasha C. Siores</w:t>
      </w:r>
      <w:r>
        <w:t xml:space="preserve"> that previously provided testimony </w:t>
      </w:r>
      <w:r w:rsidR="00423A93">
        <w:t xml:space="preserve">in this case </w:t>
      </w:r>
      <w:r w:rsidR="00954EF5">
        <w:t>on behalf of Pacific Power &amp; Light Company (Pacific Power or Company), a division of PacifiCorp</w:t>
      </w:r>
      <w:r>
        <w:t>?</w:t>
      </w:r>
    </w:p>
    <w:p w:rsidR="00A0242D" w:rsidRDefault="00A0242D" w:rsidP="009E1B1C">
      <w:pPr>
        <w:pStyle w:val="Answer"/>
        <w:tabs>
          <w:tab w:val="num" w:pos="720"/>
        </w:tabs>
        <w:autoSpaceDE w:val="0"/>
        <w:autoSpaceDN w:val="0"/>
        <w:jc w:val="left"/>
      </w:pPr>
      <w:r>
        <w:t>A.</w:t>
      </w:r>
      <w:r>
        <w:tab/>
        <w:t>Yes.</w:t>
      </w:r>
    </w:p>
    <w:p w:rsidR="00A0242D" w:rsidRPr="007568B0" w:rsidRDefault="00A0242D" w:rsidP="0037593A">
      <w:pPr>
        <w:pStyle w:val="Heading1"/>
        <w:jc w:val="center"/>
      </w:pPr>
      <w:bookmarkStart w:id="1" w:name="_Toc403718428"/>
      <w:r w:rsidRPr="007568B0">
        <w:t>Purpose</w:t>
      </w:r>
      <w:r>
        <w:t xml:space="preserve"> and Summary o</w:t>
      </w:r>
      <w:r w:rsidRPr="007568B0">
        <w:t>f Testimony</w:t>
      </w:r>
      <w:bookmarkEnd w:id="1"/>
    </w:p>
    <w:p w:rsidR="00967BCF" w:rsidRDefault="00967BCF" w:rsidP="009E1B1C">
      <w:pPr>
        <w:numPr>
          <w:ilvl w:val="0"/>
          <w:numId w:val="5"/>
        </w:numPr>
        <w:spacing w:line="480" w:lineRule="auto"/>
        <w:jc w:val="left"/>
        <w:rPr>
          <w:b/>
        </w:rPr>
      </w:pPr>
      <w:r w:rsidRPr="00E661F7">
        <w:rPr>
          <w:b/>
        </w:rPr>
        <w:t>What is the purpose of your r</w:t>
      </w:r>
      <w:r>
        <w:rPr>
          <w:b/>
        </w:rPr>
        <w:t>ebuttal</w:t>
      </w:r>
      <w:r w:rsidRPr="00E661F7">
        <w:rPr>
          <w:b/>
        </w:rPr>
        <w:t xml:space="preserve"> testimony?</w:t>
      </w:r>
    </w:p>
    <w:p w:rsidR="00847AB0" w:rsidRPr="00847AB0" w:rsidRDefault="00847AB0" w:rsidP="009E1B1C">
      <w:pPr>
        <w:pStyle w:val="BodyTextIndent2"/>
        <w:spacing w:after="0"/>
        <w:ind w:left="720" w:hanging="720"/>
        <w:jc w:val="left"/>
      </w:pPr>
      <w:r w:rsidRPr="00847AB0">
        <w:t>A.</w:t>
      </w:r>
      <w:r w:rsidRPr="00847AB0">
        <w:tab/>
      </w:r>
      <w:r w:rsidRPr="00E661F7">
        <w:t xml:space="preserve">The purpose of my testimony is </w:t>
      </w:r>
      <w:r w:rsidR="00C96D2B">
        <w:t>to quantify and explain the corrections, revisions</w:t>
      </w:r>
      <w:r w:rsidR="004A51BE">
        <w:t>,</w:t>
      </w:r>
      <w:r w:rsidR="00C96D2B">
        <w:t xml:space="preserve"> and updates made to the Company’s proposed revenue requirement and to </w:t>
      </w:r>
      <w:r w:rsidRPr="00E661F7">
        <w:t xml:space="preserve">respond </w:t>
      </w:r>
      <w:r w:rsidR="004D2C0A">
        <w:t xml:space="preserve">to </w:t>
      </w:r>
      <w:r w:rsidR="001B540B">
        <w:t xml:space="preserve">testimony of </w:t>
      </w:r>
      <w:r w:rsidR="004D2C0A">
        <w:t>the staff of the Washington Utilities and Transportation Commission (Staff)</w:t>
      </w:r>
      <w:r w:rsidR="001B540B">
        <w:t xml:space="preserve"> witness</w:t>
      </w:r>
      <w:r w:rsidR="00EB2548">
        <w:t>es</w:t>
      </w:r>
      <w:r w:rsidR="001B540B">
        <w:t xml:space="preserve"> Ms. </w:t>
      </w:r>
      <w:r w:rsidR="00D8284A">
        <w:t>Betty A. Erdahl</w:t>
      </w:r>
      <w:r w:rsidR="00576B07">
        <w:t xml:space="preserve">, Mr. </w:t>
      </w:r>
      <w:r w:rsidR="00410086">
        <w:t xml:space="preserve">Jason L. Ball, </w:t>
      </w:r>
      <w:r w:rsidR="00AB42CD">
        <w:t>and Mr.</w:t>
      </w:r>
      <w:r w:rsidR="00423A93">
        <w:t> </w:t>
      </w:r>
      <w:r w:rsidR="00410086">
        <w:t>David C. Gomez</w:t>
      </w:r>
      <w:r w:rsidR="004D2C0A">
        <w:t>, the Public Counsel Section of the Washington State Attorney General’s Office (Public Counsel)</w:t>
      </w:r>
      <w:r w:rsidR="001B540B">
        <w:t xml:space="preserve"> witness </w:t>
      </w:r>
      <w:r w:rsidR="00D8284A">
        <w:t xml:space="preserve">Ms. </w:t>
      </w:r>
      <w:r w:rsidR="00410086">
        <w:t>Donna M. Ramas</w:t>
      </w:r>
      <w:r w:rsidR="004D2C0A">
        <w:t xml:space="preserve">, </w:t>
      </w:r>
      <w:r w:rsidR="003169D9">
        <w:t xml:space="preserve">and </w:t>
      </w:r>
      <w:r w:rsidR="004D2C0A">
        <w:t>Boise White Paper, LLC (Boise)</w:t>
      </w:r>
      <w:r w:rsidR="001B540B">
        <w:t xml:space="preserve"> witness </w:t>
      </w:r>
      <w:r w:rsidR="00956B04">
        <w:t>M</w:t>
      </w:r>
      <w:r w:rsidR="00D8284A">
        <w:t xml:space="preserve">r. </w:t>
      </w:r>
      <w:r w:rsidR="00410086">
        <w:t>Bradley G. Mullins</w:t>
      </w:r>
      <w:r w:rsidR="00AB42CD">
        <w:t xml:space="preserve"> (collectively, the Parties)</w:t>
      </w:r>
      <w:r w:rsidR="003169D9">
        <w:t xml:space="preserve">. </w:t>
      </w:r>
    </w:p>
    <w:p w:rsidR="00967BCF" w:rsidRPr="00776658" w:rsidRDefault="00967BCF" w:rsidP="00A65B51">
      <w:pPr>
        <w:pStyle w:val="BodyTextIndent2"/>
        <w:spacing w:after="0"/>
        <w:ind w:left="0"/>
        <w:jc w:val="left"/>
        <w:rPr>
          <w:b/>
        </w:rPr>
      </w:pPr>
      <w:r w:rsidRPr="00E661F7">
        <w:rPr>
          <w:b/>
        </w:rPr>
        <w:t>Q.</w:t>
      </w:r>
      <w:r w:rsidRPr="00E661F7">
        <w:rPr>
          <w:b/>
        </w:rPr>
        <w:tab/>
      </w:r>
      <w:r w:rsidRPr="00776658">
        <w:rPr>
          <w:b/>
        </w:rPr>
        <w:t>Please summarize your testimony.</w:t>
      </w:r>
    </w:p>
    <w:p w:rsidR="00584D33" w:rsidRPr="00776658" w:rsidRDefault="00967BCF" w:rsidP="0037593A">
      <w:pPr>
        <w:pStyle w:val="Answer"/>
        <w:jc w:val="left"/>
      </w:pPr>
      <w:r w:rsidRPr="00776658">
        <w:t>A.</w:t>
      </w:r>
      <w:r w:rsidRPr="00776658">
        <w:tab/>
      </w:r>
      <w:r w:rsidR="00F9595E" w:rsidRPr="00776658">
        <w:t>My testimony</w:t>
      </w:r>
      <w:r w:rsidR="003169D9" w:rsidRPr="00776658">
        <w:t xml:space="preserve"> explains and supports the Company’s revised overall revenue </w:t>
      </w:r>
      <w:r w:rsidR="004A51BE">
        <w:t xml:space="preserve">requirement </w:t>
      </w:r>
      <w:r w:rsidR="003169D9" w:rsidRPr="00776658">
        <w:t xml:space="preserve">increase of </w:t>
      </w:r>
      <w:r w:rsidR="003169D9" w:rsidRPr="00A65B51">
        <w:t>$</w:t>
      </w:r>
      <w:r w:rsidR="00211DCC" w:rsidRPr="00A65B51">
        <w:t>31.9</w:t>
      </w:r>
      <w:r w:rsidR="003169D9" w:rsidRPr="00776658">
        <w:t xml:space="preserve"> million.  This is a</w:t>
      </w:r>
      <w:r w:rsidR="005952E2" w:rsidRPr="005F6ED9">
        <w:t>n increase</w:t>
      </w:r>
      <w:r w:rsidR="003169D9" w:rsidRPr="005F6ED9">
        <w:t xml:space="preserve"> </w:t>
      </w:r>
      <w:r w:rsidR="00410086" w:rsidRPr="00776658">
        <w:t>of $</w:t>
      </w:r>
      <w:r w:rsidR="00AB42CD" w:rsidRPr="00776658">
        <w:t>4.</w:t>
      </w:r>
      <w:r w:rsidR="00211DCC" w:rsidRPr="00776658">
        <w:t>7</w:t>
      </w:r>
      <w:r w:rsidR="003169D9" w:rsidRPr="00776658">
        <w:t xml:space="preserve"> million </w:t>
      </w:r>
      <w:r w:rsidR="004A51BE">
        <w:t xml:space="preserve">from the amount </w:t>
      </w:r>
      <w:r w:rsidR="003169D9" w:rsidRPr="00776658">
        <w:t>request</w:t>
      </w:r>
      <w:r w:rsidR="00905F1D" w:rsidRPr="00776658">
        <w:t>ed</w:t>
      </w:r>
      <w:r w:rsidR="003169D9" w:rsidRPr="00776658">
        <w:t xml:space="preserve"> in the Company’s </w:t>
      </w:r>
      <w:r w:rsidR="004A51BE">
        <w:t>initial</w:t>
      </w:r>
      <w:r w:rsidR="004A51BE" w:rsidRPr="00776658">
        <w:t xml:space="preserve"> </w:t>
      </w:r>
      <w:r w:rsidR="003169D9" w:rsidRPr="00776658">
        <w:t>filing</w:t>
      </w:r>
      <w:r w:rsidR="00410086" w:rsidRPr="00776658">
        <w:t xml:space="preserve"> as </w:t>
      </w:r>
      <w:r w:rsidR="00747C47" w:rsidRPr="00776658">
        <w:t xml:space="preserve">a </w:t>
      </w:r>
      <w:r w:rsidR="00410086" w:rsidRPr="00776658">
        <w:t>result of revisions</w:t>
      </w:r>
      <w:r w:rsidR="00420658">
        <w:t xml:space="preserve">, </w:t>
      </w:r>
      <w:r w:rsidR="00410086" w:rsidRPr="00776658">
        <w:t xml:space="preserve">corrections, </w:t>
      </w:r>
      <w:r w:rsidR="00AB42CD" w:rsidRPr="00776658">
        <w:t>and updates to</w:t>
      </w:r>
      <w:r w:rsidR="00410086" w:rsidRPr="00776658">
        <w:t xml:space="preserve"> </w:t>
      </w:r>
      <w:r w:rsidR="004A51BE">
        <w:t>various revenue requirement components</w:t>
      </w:r>
      <w:r w:rsidR="003169D9" w:rsidRPr="00776658">
        <w:t>.  My testimony also provides</w:t>
      </w:r>
      <w:r w:rsidR="00AB42CD" w:rsidRPr="00776658">
        <w:t xml:space="preserve"> t</w:t>
      </w:r>
      <w:r w:rsidR="00584D33" w:rsidRPr="00776658">
        <w:t xml:space="preserve">he Company’s response to certain revenue requirement adjustments proposed by </w:t>
      </w:r>
      <w:r w:rsidR="004A51BE">
        <w:t xml:space="preserve">Staff and other </w:t>
      </w:r>
      <w:r w:rsidR="00584D33" w:rsidRPr="00776658">
        <w:t>intervening parties</w:t>
      </w:r>
      <w:r w:rsidR="000D4DD0" w:rsidRPr="00776658">
        <w:t>.</w:t>
      </w:r>
    </w:p>
    <w:p w:rsidR="000D4DD0" w:rsidRPr="00776658" w:rsidRDefault="005D3C18" w:rsidP="000D4DD0">
      <w:pPr>
        <w:pStyle w:val="Answer"/>
        <w:ind w:firstLine="720"/>
        <w:jc w:val="left"/>
      </w:pPr>
      <w:r>
        <w:t>Finally, m</w:t>
      </w:r>
      <w:r w:rsidR="000D4DD0" w:rsidRPr="00776658">
        <w:t>y testimony explains the Company’s position on the appropriate treatment of the deferr</w:t>
      </w:r>
      <w:r w:rsidR="004A51BE">
        <w:t xml:space="preserve">ed accounting </w:t>
      </w:r>
      <w:r w:rsidR="00420658">
        <w:t>requests that we</w:t>
      </w:r>
      <w:r w:rsidR="004A51BE">
        <w:t>re</w:t>
      </w:r>
      <w:r w:rsidR="000D4DD0" w:rsidRPr="00776658">
        <w:t xml:space="preserve"> consolidated into this general rate case.</w:t>
      </w:r>
    </w:p>
    <w:p w:rsidR="00584D33" w:rsidRPr="00776658" w:rsidRDefault="00584D33" w:rsidP="0037593A">
      <w:pPr>
        <w:pStyle w:val="Heading1"/>
        <w:jc w:val="center"/>
      </w:pPr>
      <w:bookmarkStart w:id="2" w:name="_Toc403718429"/>
      <w:r w:rsidRPr="00776658">
        <w:t>Revenue Requirement</w:t>
      </w:r>
      <w:bookmarkEnd w:id="2"/>
    </w:p>
    <w:p w:rsidR="00584D33" w:rsidRPr="00A65B51" w:rsidRDefault="00584D33" w:rsidP="00584D33">
      <w:pPr>
        <w:pStyle w:val="Question"/>
        <w:jc w:val="left"/>
        <w:rPr>
          <w:rStyle w:val="Strong"/>
          <w:b/>
        </w:rPr>
      </w:pPr>
      <w:r w:rsidRPr="00776658">
        <w:rPr>
          <w:rStyle w:val="Strong"/>
          <w:b/>
        </w:rPr>
        <w:t>Q.</w:t>
      </w:r>
      <w:r w:rsidRPr="00776658">
        <w:rPr>
          <w:rStyle w:val="Strong"/>
          <w:b/>
        </w:rPr>
        <w:tab/>
        <w:t>What price increase is required to achieve the requested return on equity in this case?</w:t>
      </w:r>
    </w:p>
    <w:p w:rsidR="00584D33" w:rsidRPr="00776658" w:rsidRDefault="00584D33" w:rsidP="00903424">
      <w:pPr>
        <w:pStyle w:val="Answer"/>
        <w:jc w:val="left"/>
      </w:pPr>
      <w:r w:rsidRPr="00776658">
        <w:t>A.</w:t>
      </w:r>
      <w:r w:rsidRPr="00776658">
        <w:tab/>
        <w:t>As shown on Page 1 of Exhibit No</w:t>
      </w:r>
      <w:r w:rsidR="00420658">
        <w:t xml:space="preserve">. </w:t>
      </w:r>
      <w:r w:rsidRPr="00A65B51">
        <w:t>NCS-11</w:t>
      </w:r>
      <w:r w:rsidRPr="00776658">
        <w:t>, an overall base price increase of $</w:t>
      </w:r>
      <w:r w:rsidR="00211DCC" w:rsidRPr="00776658">
        <w:t>31.9</w:t>
      </w:r>
      <w:r w:rsidRPr="00776658">
        <w:t xml:space="preserve"> million is required to produce the 10.0 percent return on equity requested in this case. </w:t>
      </w:r>
    </w:p>
    <w:p w:rsidR="00584D33" w:rsidRPr="00776658" w:rsidRDefault="00584D33" w:rsidP="000C470D">
      <w:pPr>
        <w:pStyle w:val="Answer"/>
        <w:ind w:left="0" w:firstLine="0"/>
        <w:jc w:val="left"/>
        <w:rPr>
          <w:b/>
        </w:rPr>
      </w:pPr>
      <w:r w:rsidRPr="00776658">
        <w:rPr>
          <w:b/>
        </w:rPr>
        <w:t>Q.</w:t>
      </w:r>
      <w:r w:rsidRPr="00776658">
        <w:rPr>
          <w:b/>
        </w:rPr>
        <w:tab/>
      </w:r>
      <w:r w:rsidRPr="00776658">
        <w:rPr>
          <w:rStyle w:val="Strong"/>
        </w:rPr>
        <w:t>Please describe the calculation of the revised overall revenue increase.</w:t>
      </w:r>
    </w:p>
    <w:p w:rsidR="00584D33" w:rsidRPr="00584D33" w:rsidRDefault="00584D33" w:rsidP="00903424">
      <w:pPr>
        <w:pStyle w:val="Answer"/>
        <w:jc w:val="left"/>
      </w:pPr>
      <w:r w:rsidRPr="00776658">
        <w:t>A.</w:t>
      </w:r>
      <w:r w:rsidRPr="00776658">
        <w:tab/>
        <w:t>The Company’s revised revenue increase of $</w:t>
      </w:r>
      <w:r w:rsidR="00211DCC" w:rsidRPr="00776658">
        <w:t>31.9</w:t>
      </w:r>
      <w:r w:rsidRPr="00776658">
        <w:t xml:space="preserve"> million is calculated using the West Control Area </w:t>
      </w:r>
      <w:r w:rsidR="00954EF5" w:rsidRPr="00776658">
        <w:t xml:space="preserve">inter-jurisdictional </w:t>
      </w:r>
      <w:r w:rsidRPr="00776658">
        <w:t>allocation methodology</w:t>
      </w:r>
      <w:r w:rsidR="00954EF5" w:rsidRPr="00776658">
        <w:t xml:space="preserve"> (WCA)</w:t>
      </w:r>
      <w:r w:rsidRPr="00776658">
        <w:t>.  In support of the revised calculation, Exhibit No.</w:t>
      </w:r>
      <w:r w:rsidR="00420658">
        <w:t xml:space="preserve"> </w:t>
      </w:r>
      <w:r w:rsidR="007320FE" w:rsidRPr="00A65B51">
        <w:t>NCS-11</w:t>
      </w:r>
      <w:r w:rsidRPr="00776658">
        <w:t xml:space="preserve"> shows the </w:t>
      </w:r>
      <w:r w:rsidR="00420658">
        <w:t xml:space="preserve">Company’s </w:t>
      </w:r>
      <w:r w:rsidRPr="00776658">
        <w:t>revised</w:t>
      </w:r>
      <w:r w:rsidRPr="00584D33">
        <w:t xml:space="preserve"> </w:t>
      </w:r>
      <w:r w:rsidR="00D65841">
        <w:t xml:space="preserve">Washington </w:t>
      </w:r>
      <w:r w:rsidRPr="00584D33">
        <w:t>revenue requirement</w:t>
      </w:r>
      <w:r w:rsidR="007320FE">
        <w:t>.</w:t>
      </w:r>
      <w:r w:rsidRPr="00584D33">
        <w:t xml:space="preserve"> </w:t>
      </w:r>
      <w:r w:rsidR="004A51BE">
        <w:t xml:space="preserve"> </w:t>
      </w:r>
      <w:r w:rsidRPr="00584D33">
        <w:t xml:space="preserve">This exhibit incorporates revisions to certain adjustments made in the Company’s </w:t>
      </w:r>
      <w:r w:rsidR="004A51BE">
        <w:t>initial</w:t>
      </w:r>
      <w:r w:rsidR="004A51BE" w:rsidRPr="00584D33">
        <w:t xml:space="preserve"> </w:t>
      </w:r>
      <w:r w:rsidRPr="00584D33">
        <w:t xml:space="preserve">filing and </w:t>
      </w:r>
      <w:r w:rsidR="004A51BE">
        <w:t xml:space="preserve">provides </w:t>
      </w:r>
      <w:r w:rsidRPr="00584D33">
        <w:t>update</w:t>
      </w:r>
      <w:r w:rsidR="00470A29">
        <w:t>s</w:t>
      </w:r>
      <w:r w:rsidR="004A51BE">
        <w:t xml:space="preserve"> to</w:t>
      </w:r>
      <w:r w:rsidRPr="00584D33">
        <w:t xml:space="preserve"> </w:t>
      </w:r>
      <w:r w:rsidR="004A51BE">
        <w:t>the revenue requirement summary and account detail portions (</w:t>
      </w:r>
      <w:r w:rsidR="00470A29">
        <w:t>t</w:t>
      </w:r>
      <w:r w:rsidRPr="00584D33">
        <w:t>abs 1 and 2</w:t>
      </w:r>
      <w:r w:rsidR="004A51BE">
        <w:t>)</w:t>
      </w:r>
      <w:r w:rsidRPr="00584D33">
        <w:t xml:space="preserve"> of my original Exhibit No.</w:t>
      </w:r>
      <w:r w:rsidR="005D3C18">
        <w:t xml:space="preserve"> </w:t>
      </w:r>
      <w:r w:rsidR="007320FE">
        <w:t>NCS-3</w:t>
      </w:r>
      <w:r w:rsidRPr="00584D33">
        <w:t>.</w:t>
      </w:r>
    </w:p>
    <w:p w:rsidR="00584D33" w:rsidRPr="00B46B12" w:rsidRDefault="00584D33" w:rsidP="000C470D">
      <w:pPr>
        <w:pStyle w:val="Question"/>
        <w:jc w:val="left"/>
        <w:rPr>
          <w:rStyle w:val="Strong"/>
          <w:b/>
        </w:rPr>
      </w:pPr>
      <w:r w:rsidRPr="00B46B12">
        <w:rPr>
          <w:rStyle w:val="Strong"/>
          <w:b/>
        </w:rPr>
        <w:t>Q.</w:t>
      </w:r>
      <w:r w:rsidRPr="00B46B12">
        <w:rPr>
          <w:rStyle w:val="Strong"/>
          <w:b/>
        </w:rPr>
        <w:tab/>
        <w:t xml:space="preserve">Is the Company incorporating any </w:t>
      </w:r>
      <w:r w:rsidR="005D3C18">
        <w:rPr>
          <w:rStyle w:val="Strong"/>
          <w:b/>
        </w:rPr>
        <w:t xml:space="preserve">of the </w:t>
      </w:r>
      <w:r w:rsidRPr="00B46B12">
        <w:rPr>
          <w:rStyle w:val="Strong"/>
          <w:b/>
        </w:rPr>
        <w:t>updates, correction</w:t>
      </w:r>
      <w:r w:rsidR="005D3C18">
        <w:rPr>
          <w:rStyle w:val="Strong"/>
          <w:b/>
        </w:rPr>
        <w:t>s</w:t>
      </w:r>
      <w:r w:rsidRPr="00B46B12">
        <w:rPr>
          <w:rStyle w:val="Strong"/>
          <w:b/>
        </w:rPr>
        <w:t xml:space="preserve">, or adjustments proposed by </w:t>
      </w:r>
      <w:r w:rsidR="005D3C18">
        <w:rPr>
          <w:rStyle w:val="Strong"/>
          <w:b/>
        </w:rPr>
        <w:t>the P</w:t>
      </w:r>
      <w:r w:rsidRPr="00B46B12">
        <w:rPr>
          <w:rStyle w:val="Strong"/>
          <w:b/>
        </w:rPr>
        <w:t xml:space="preserve">arties in its </w:t>
      </w:r>
      <w:r w:rsidR="00470A29">
        <w:rPr>
          <w:rStyle w:val="Strong"/>
          <w:b/>
        </w:rPr>
        <w:t xml:space="preserve">rebuttal </w:t>
      </w:r>
      <w:r w:rsidRPr="00B46B12">
        <w:rPr>
          <w:rStyle w:val="Strong"/>
          <w:b/>
        </w:rPr>
        <w:t>revenue requirement calculation?</w:t>
      </w:r>
    </w:p>
    <w:p w:rsidR="00584D33" w:rsidRDefault="00584D33" w:rsidP="00903424">
      <w:pPr>
        <w:pStyle w:val="Answer"/>
        <w:jc w:val="left"/>
      </w:pPr>
      <w:r w:rsidRPr="007320FE">
        <w:t>A.</w:t>
      </w:r>
      <w:r w:rsidRPr="007320FE">
        <w:tab/>
        <w:t xml:space="preserve">Yes, the Company incorporated the following revisions to </w:t>
      </w:r>
      <w:r w:rsidR="005D3C18">
        <w:t xml:space="preserve">revenue requirement </w:t>
      </w:r>
      <w:r w:rsidRPr="007320FE">
        <w:t xml:space="preserve">adjustments </w:t>
      </w:r>
      <w:r w:rsidR="00470A29">
        <w:t xml:space="preserve">proposed </w:t>
      </w:r>
      <w:r w:rsidRPr="007320FE">
        <w:t xml:space="preserve">in its </w:t>
      </w:r>
      <w:r w:rsidR="00470A29">
        <w:t>initial</w:t>
      </w:r>
      <w:r w:rsidRPr="007320FE">
        <w:t xml:space="preserve"> filing, including some </w:t>
      </w:r>
      <w:r w:rsidR="005D3C18">
        <w:t xml:space="preserve">adjustments </w:t>
      </w:r>
      <w:r w:rsidRPr="007320FE">
        <w:t xml:space="preserve">proposed by </w:t>
      </w:r>
      <w:r w:rsidR="00E41CAB">
        <w:t>the P</w:t>
      </w:r>
      <w:r w:rsidRPr="007320FE">
        <w:t>arties</w:t>
      </w:r>
      <w:r w:rsidR="00041F02">
        <w:t>.</w:t>
      </w:r>
      <w:r w:rsidRPr="007320FE">
        <w:t xml:space="preserve"> </w:t>
      </w:r>
      <w:r w:rsidR="00470A29">
        <w:t xml:space="preserve"> </w:t>
      </w:r>
      <w:r w:rsidRPr="007320FE">
        <w:t xml:space="preserve">Each is described </w:t>
      </w:r>
      <w:r w:rsidR="005D3C18">
        <w:t>in more detail later in this testimony</w:t>
      </w:r>
      <w:r w:rsidRPr="007320FE">
        <w:t xml:space="preserve">. </w:t>
      </w:r>
    </w:p>
    <w:p w:rsidR="00575849" w:rsidRDefault="002B7431" w:rsidP="00721549">
      <w:pPr>
        <w:pStyle w:val="Answer"/>
        <w:suppressLineNumbers/>
        <w:jc w:val="center"/>
      </w:pPr>
      <w:r w:rsidRPr="002B7431">
        <w:t xml:space="preserve"> </w:t>
      </w:r>
      <w:r w:rsidRPr="002B7431">
        <w:rPr>
          <w:noProof/>
        </w:rPr>
        <w:drawing>
          <wp:inline distT="0" distB="0" distL="0" distR="0" wp14:anchorId="06D295BB" wp14:editId="57C6E1C1">
            <wp:extent cx="4226943" cy="487749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8851" cy="4879700"/>
                    </a:xfrm>
                    <a:prstGeom prst="rect">
                      <a:avLst/>
                    </a:prstGeom>
                    <a:noFill/>
                    <a:ln>
                      <a:noFill/>
                    </a:ln>
                  </pic:spPr>
                </pic:pic>
              </a:graphicData>
            </a:graphic>
          </wp:inline>
        </w:drawing>
      </w:r>
    </w:p>
    <w:p w:rsidR="00B46B12" w:rsidRPr="00776658" w:rsidRDefault="00B46B12" w:rsidP="00B46B12">
      <w:pPr>
        <w:pStyle w:val="Question"/>
        <w:jc w:val="left"/>
        <w:rPr>
          <w:rStyle w:val="Strong"/>
          <w:b/>
        </w:rPr>
      </w:pPr>
      <w:r w:rsidRPr="00B46B12">
        <w:rPr>
          <w:rStyle w:val="Strong"/>
          <w:b/>
        </w:rPr>
        <w:t>Q.</w:t>
      </w:r>
      <w:r w:rsidRPr="00B46B12">
        <w:rPr>
          <w:rStyle w:val="Strong"/>
          <w:b/>
        </w:rPr>
        <w:tab/>
      </w:r>
      <w:r>
        <w:rPr>
          <w:rStyle w:val="Strong"/>
          <w:b/>
        </w:rPr>
        <w:t xml:space="preserve">Please describe </w:t>
      </w:r>
      <w:r w:rsidRPr="00776658">
        <w:rPr>
          <w:rStyle w:val="Strong"/>
          <w:b/>
        </w:rPr>
        <w:t>Exhibit No.</w:t>
      </w:r>
      <w:r w:rsidR="005D3C18">
        <w:rPr>
          <w:rStyle w:val="Strong"/>
          <w:b/>
        </w:rPr>
        <w:t xml:space="preserve"> </w:t>
      </w:r>
      <w:r w:rsidRPr="00A65B51">
        <w:rPr>
          <w:rStyle w:val="Strong"/>
          <w:b/>
        </w:rPr>
        <w:t>NCS-11</w:t>
      </w:r>
      <w:r w:rsidRPr="00776658">
        <w:rPr>
          <w:rStyle w:val="Strong"/>
          <w:b/>
        </w:rPr>
        <w:t>.</w:t>
      </w:r>
    </w:p>
    <w:p w:rsidR="00042F40" w:rsidRDefault="00B46B12" w:rsidP="00B25DE0">
      <w:pPr>
        <w:pStyle w:val="Answer"/>
        <w:jc w:val="left"/>
      </w:pPr>
      <w:r w:rsidRPr="00776658">
        <w:t>A.</w:t>
      </w:r>
      <w:r w:rsidRPr="00776658">
        <w:tab/>
        <w:t>Exhibit No.</w:t>
      </w:r>
      <w:r w:rsidR="005D3C18">
        <w:t xml:space="preserve"> </w:t>
      </w:r>
      <w:r w:rsidRPr="00A65B51">
        <w:t>NCS-11</w:t>
      </w:r>
      <w:r w:rsidRPr="00776658">
        <w:t xml:space="preserve"> is the Company’s Washington Results of Operations Report (Report)</w:t>
      </w:r>
      <w:r w:rsidR="00B25DE0" w:rsidRPr="00776658">
        <w:t>, revised to incorporate changes and updates outlined in the table above</w:t>
      </w:r>
      <w:r w:rsidRPr="00776658">
        <w:t xml:space="preserve">.  The Report </w:t>
      </w:r>
      <w:r w:rsidR="00B25DE0" w:rsidRPr="00776658">
        <w:t>is organized</w:t>
      </w:r>
      <w:r w:rsidR="00B25DE0">
        <w:t xml:space="preserve"> in a manner similar to Exhibit No.</w:t>
      </w:r>
      <w:r w:rsidR="005D3C18">
        <w:t xml:space="preserve"> </w:t>
      </w:r>
      <w:r w:rsidR="00B25DE0">
        <w:t>NCS-3:</w:t>
      </w:r>
    </w:p>
    <w:p w:rsidR="00B25DE0" w:rsidRDefault="00B25DE0" w:rsidP="00721549">
      <w:pPr>
        <w:pStyle w:val="Answer"/>
        <w:numPr>
          <w:ilvl w:val="0"/>
          <w:numId w:val="15"/>
        </w:numPr>
        <w:ind w:left="1080"/>
        <w:jc w:val="left"/>
      </w:pPr>
      <w:r>
        <w:t>Tab 1</w:t>
      </w:r>
      <w:r w:rsidR="004953BF">
        <w:t xml:space="preserve"> (</w:t>
      </w:r>
      <w:r>
        <w:t>Summary</w:t>
      </w:r>
      <w:r w:rsidR="004953BF">
        <w:t>) r</w:t>
      </w:r>
      <w:r>
        <w:t>eflects the Washington-allocated results based on the WCA</w:t>
      </w:r>
      <w:r w:rsidR="00C226DF">
        <w:t>.</w:t>
      </w:r>
    </w:p>
    <w:p w:rsidR="00C226DF" w:rsidRDefault="00C226DF" w:rsidP="00721549">
      <w:pPr>
        <w:pStyle w:val="Answer"/>
        <w:numPr>
          <w:ilvl w:val="0"/>
          <w:numId w:val="15"/>
        </w:numPr>
        <w:ind w:left="1080"/>
        <w:jc w:val="left"/>
      </w:pPr>
      <w:r>
        <w:t>Tab 2</w:t>
      </w:r>
      <w:r w:rsidR="004953BF">
        <w:t xml:space="preserve"> (</w:t>
      </w:r>
      <w:r>
        <w:t>Results of Operations</w:t>
      </w:r>
      <w:r w:rsidR="004953BF">
        <w:t>) d</w:t>
      </w:r>
      <w:r>
        <w:t>etails the Company’s overall rebuttal revenue requirement</w:t>
      </w:r>
      <w:r w:rsidR="00470A29">
        <w:t xml:space="preserve"> by Federal Energy Regulatory Commission (FERC) account and WCA allocation factor.</w:t>
      </w:r>
    </w:p>
    <w:p w:rsidR="00C226DF" w:rsidRDefault="00C226DF" w:rsidP="00721549">
      <w:pPr>
        <w:pStyle w:val="Answer"/>
        <w:numPr>
          <w:ilvl w:val="0"/>
          <w:numId w:val="15"/>
        </w:numPr>
        <w:ind w:left="1080"/>
        <w:jc w:val="left"/>
      </w:pPr>
      <w:r>
        <w:t>Tab</w:t>
      </w:r>
      <w:r w:rsidR="00470A29">
        <w:t>s</w:t>
      </w:r>
      <w:r>
        <w:t xml:space="preserve"> 3 through 9</w:t>
      </w:r>
      <w:r w:rsidR="004953BF">
        <w:t xml:space="preserve"> p</w:t>
      </w:r>
      <w:r>
        <w:t xml:space="preserve">rovide supporting documentation for </w:t>
      </w:r>
      <w:r w:rsidR="00470A29">
        <w:t xml:space="preserve">restating and pro forma </w:t>
      </w:r>
      <w:r>
        <w:t>adjustment</w:t>
      </w:r>
      <w:r w:rsidR="00470A29">
        <w:t>s</w:t>
      </w:r>
      <w:r>
        <w:t xml:space="preserve"> that ha</w:t>
      </w:r>
      <w:r w:rsidR="00470A29">
        <w:t>ve</w:t>
      </w:r>
      <w:r>
        <w:t xml:space="preserve"> been revised or updated in the calculation of </w:t>
      </w:r>
      <w:r w:rsidR="005D3C18">
        <w:t xml:space="preserve">the Company’s </w:t>
      </w:r>
      <w:r>
        <w:t>rebuttal revenue requirement.</w:t>
      </w:r>
    </w:p>
    <w:p w:rsidR="00FB11CF" w:rsidRDefault="00FB11CF" w:rsidP="0037593A">
      <w:pPr>
        <w:pStyle w:val="Heading1"/>
        <w:jc w:val="center"/>
      </w:pPr>
      <w:bookmarkStart w:id="3" w:name="_Toc403718430"/>
      <w:r>
        <w:t>Revenue Adjustments</w:t>
      </w:r>
      <w:bookmarkEnd w:id="3"/>
    </w:p>
    <w:p w:rsidR="000D4DD0" w:rsidRPr="000D4DD0" w:rsidRDefault="000D4DD0" w:rsidP="00903424">
      <w:pPr>
        <w:pStyle w:val="Heading2"/>
        <w:jc w:val="left"/>
      </w:pPr>
      <w:bookmarkStart w:id="4" w:name="_Toc403718431"/>
      <w:r>
        <w:t>Schedule 300 Fee Changes</w:t>
      </w:r>
      <w:bookmarkEnd w:id="4"/>
    </w:p>
    <w:p w:rsidR="000D4DD0" w:rsidRPr="005B1C34" w:rsidRDefault="000D4DD0" w:rsidP="000C470D">
      <w:pPr>
        <w:pStyle w:val="Question"/>
        <w:jc w:val="left"/>
        <w:rPr>
          <w:rStyle w:val="Strong"/>
          <w:b/>
        </w:rPr>
      </w:pPr>
      <w:r w:rsidRPr="005B1C34">
        <w:rPr>
          <w:rStyle w:val="Strong"/>
          <w:b/>
        </w:rPr>
        <w:t>Q.</w:t>
      </w:r>
      <w:r w:rsidRPr="005B1C34">
        <w:rPr>
          <w:rStyle w:val="Strong"/>
          <w:b/>
        </w:rPr>
        <w:tab/>
        <w:t xml:space="preserve">Do parties </w:t>
      </w:r>
      <w:r w:rsidR="00C226DF">
        <w:rPr>
          <w:rStyle w:val="Strong"/>
          <w:b/>
        </w:rPr>
        <w:t>contest</w:t>
      </w:r>
      <w:r w:rsidRPr="005B1C34">
        <w:rPr>
          <w:rStyle w:val="Strong"/>
          <w:b/>
        </w:rPr>
        <w:t xml:space="preserve"> the Schedule 300 </w:t>
      </w:r>
      <w:r w:rsidR="00470A29">
        <w:rPr>
          <w:rStyle w:val="Strong"/>
          <w:b/>
        </w:rPr>
        <w:t>f</w:t>
      </w:r>
      <w:r w:rsidRPr="005B1C34">
        <w:rPr>
          <w:rStyle w:val="Strong"/>
          <w:b/>
        </w:rPr>
        <w:t>ee changes proposed by the Company</w:t>
      </w:r>
      <w:r w:rsidR="00470A29">
        <w:rPr>
          <w:rStyle w:val="Strong"/>
          <w:b/>
        </w:rPr>
        <w:t xml:space="preserve"> in its initial filing</w:t>
      </w:r>
      <w:r w:rsidRPr="005B1C34">
        <w:rPr>
          <w:rStyle w:val="Strong"/>
          <w:b/>
        </w:rPr>
        <w:t>?</w:t>
      </w:r>
    </w:p>
    <w:p w:rsidR="000D4DD0" w:rsidRDefault="000D4DD0" w:rsidP="00903424">
      <w:pPr>
        <w:pStyle w:val="Answer"/>
        <w:jc w:val="left"/>
      </w:pPr>
      <w:r w:rsidRPr="007320FE">
        <w:t>A.</w:t>
      </w:r>
      <w:r w:rsidRPr="007320FE">
        <w:tab/>
        <w:t xml:space="preserve">Yes, </w:t>
      </w:r>
      <w:r w:rsidR="005D3C18">
        <w:t xml:space="preserve">multiple </w:t>
      </w:r>
      <w:r>
        <w:t xml:space="preserve">parties oppose the Schedule 300 Fee changes proposed in the Company’s </w:t>
      </w:r>
      <w:r w:rsidRPr="007320FE">
        <w:t>initial</w:t>
      </w:r>
      <w:r>
        <w:t xml:space="preserve"> filing.</w:t>
      </w:r>
      <w:r w:rsidR="005B1C34">
        <w:t xml:space="preserve">  Ms. </w:t>
      </w:r>
      <w:r w:rsidR="005A2499">
        <w:t xml:space="preserve">Joelle </w:t>
      </w:r>
      <w:r w:rsidR="00F84B91">
        <w:t xml:space="preserve">R. </w:t>
      </w:r>
      <w:r w:rsidR="005A2499">
        <w:t>Steward</w:t>
      </w:r>
      <w:r w:rsidR="005B1C34">
        <w:t>’s rebuttal testimony addresses these issues.</w:t>
      </w:r>
    </w:p>
    <w:p w:rsidR="005B1C34" w:rsidRPr="005B1C34" w:rsidRDefault="005B1C34" w:rsidP="000C470D">
      <w:pPr>
        <w:pStyle w:val="Question"/>
        <w:jc w:val="left"/>
        <w:rPr>
          <w:rStyle w:val="Strong"/>
          <w:b/>
        </w:rPr>
      </w:pPr>
      <w:r w:rsidRPr="005B1C34">
        <w:rPr>
          <w:rStyle w:val="Strong"/>
          <w:b/>
        </w:rPr>
        <w:t>Q.</w:t>
      </w:r>
      <w:r w:rsidRPr="005B1C34">
        <w:rPr>
          <w:rStyle w:val="Strong"/>
          <w:b/>
        </w:rPr>
        <w:tab/>
      </w:r>
      <w:r w:rsidR="0077094D">
        <w:rPr>
          <w:rStyle w:val="Strong"/>
          <w:b/>
        </w:rPr>
        <w:t xml:space="preserve">Did </w:t>
      </w:r>
      <w:r>
        <w:rPr>
          <w:rStyle w:val="Strong"/>
          <w:b/>
        </w:rPr>
        <w:t>the Company ma</w:t>
      </w:r>
      <w:r w:rsidR="0077094D">
        <w:rPr>
          <w:rStyle w:val="Strong"/>
          <w:b/>
        </w:rPr>
        <w:t>k</w:t>
      </w:r>
      <w:r>
        <w:rPr>
          <w:rStyle w:val="Strong"/>
          <w:b/>
        </w:rPr>
        <w:t xml:space="preserve">e any revisions to the </w:t>
      </w:r>
      <w:r w:rsidR="0077094D">
        <w:rPr>
          <w:rStyle w:val="Strong"/>
          <w:b/>
        </w:rPr>
        <w:t xml:space="preserve">adjustment for </w:t>
      </w:r>
      <w:r>
        <w:rPr>
          <w:rStyle w:val="Strong"/>
          <w:b/>
        </w:rPr>
        <w:t xml:space="preserve">Schedule 300 </w:t>
      </w:r>
      <w:r w:rsidR="00470A29">
        <w:rPr>
          <w:rStyle w:val="Strong"/>
          <w:b/>
        </w:rPr>
        <w:t>f</w:t>
      </w:r>
      <w:r>
        <w:rPr>
          <w:rStyle w:val="Strong"/>
          <w:b/>
        </w:rPr>
        <w:t xml:space="preserve">ee </w:t>
      </w:r>
      <w:r w:rsidR="00470A29">
        <w:rPr>
          <w:rStyle w:val="Strong"/>
          <w:b/>
        </w:rPr>
        <w:t>c</w:t>
      </w:r>
      <w:r>
        <w:rPr>
          <w:rStyle w:val="Strong"/>
          <w:b/>
        </w:rPr>
        <w:t>hanges</w:t>
      </w:r>
      <w:r w:rsidRPr="005B1C34">
        <w:rPr>
          <w:rStyle w:val="Strong"/>
          <w:b/>
        </w:rPr>
        <w:t>?</w:t>
      </w:r>
    </w:p>
    <w:p w:rsidR="005B1C34" w:rsidRDefault="005B1C34" w:rsidP="00903424">
      <w:pPr>
        <w:pStyle w:val="Answer"/>
        <w:jc w:val="left"/>
      </w:pPr>
      <w:r w:rsidRPr="007320FE">
        <w:t>A.</w:t>
      </w:r>
      <w:r w:rsidRPr="007320FE">
        <w:tab/>
        <w:t xml:space="preserve">Yes, </w:t>
      </w:r>
      <w:r>
        <w:t xml:space="preserve">consistent with the discussion in Ms. </w:t>
      </w:r>
      <w:r w:rsidR="00D52E1C">
        <w:t xml:space="preserve">Steward’s </w:t>
      </w:r>
      <w:r>
        <w:t xml:space="preserve">rebuttal testimony, </w:t>
      </w:r>
      <w:r w:rsidR="008777FC">
        <w:t xml:space="preserve">except for the change in </w:t>
      </w:r>
      <w:r w:rsidR="00470A29">
        <w:t>t</w:t>
      </w:r>
      <w:r w:rsidR="008777FC">
        <w:t>ampering/</w:t>
      </w:r>
      <w:r w:rsidR="00470A29">
        <w:t>u</w:t>
      </w:r>
      <w:r w:rsidR="008777FC">
        <w:t xml:space="preserve">nauthorized </w:t>
      </w:r>
      <w:r w:rsidR="00470A29">
        <w:t>r</w:t>
      </w:r>
      <w:r w:rsidR="008777FC">
        <w:t xml:space="preserve">econnect charges, </w:t>
      </w:r>
      <w:r>
        <w:t xml:space="preserve">the Company has withdrawn all proposed Schedule 300 </w:t>
      </w:r>
      <w:r w:rsidR="00470A29">
        <w:t>f</w:t>
      </w:r>
      <w:r>
        <w:t xml:space="preserve">ee change impacts from </w:t>
      </w:r>
      <w:r w:rsidR="00470A29">
        <w:t>the Company’s revenue requirement calculation</w:t>
      </w:r>
      <w:r>
        <w:t xml:space="preserve">.  The revised </w:t>
      </w:r>
      <w:r w:rsidR="004953BF">
        <w:t>a</w:t>
      </w:r>
      <w:r>
        <w:t xml:space="preserve">djustment </w:t>
      </w:r>
      <w:r w:rsidR="00406D9A">
        <w:t>3.8</w:t>
      </w:r>
      <w:r w:rsidR="004953BF">
        <w:t xml:space="preserve"> (</w:t>
      </w:r>
      <w:r w:rsidR="00406D9A">
        <w:t>Schedule 300 Charges</w:t>
      </w:r>
      <w:r w:rsidR="004953BF">
        <w:t>)</w:t>
      </w:r>
      <w:r w:rsidR="00406D9A">
        <w:t xml:space="preserve"> </w:t>
      </w:r>
      <w:r>
        <w:t xml:space="preserve">increases revenue requirement by </w:t>
      </w:r>
      <w:r w:rsidRPr="00353823">
        <w:t>approximately $87</w:t>
      </w:r>
      <w:r w:rsidR="00712BE8">
        <w:t>,000</w:t>
      </w:r>
      <w:r w:rsidRPr="00353823">
        <w:t>.</w:t>
      </w:r>
    </w:p>
    <w:p w:rsidR="00391699" w:rsidRDefault="00391699" w:rsidP="00A65B51">
      <w:pPr>
        <w:pStyle w:val="Heading1"/>
        <w:spacing w:after="240" w:line="240" w:lineRule="auto"/>
        <w:jc w:val="center"/>
      </w:pPr>
      <w:bookmarkStart w:id="5" w:name="_Toc403718432"/>
      <w:r>
        <w:t>Operat</w:t>
      </w:r>
      <w:r w:rsidR="0077094D">
        <w:t xml:space="preserve">ion and </w:t>
      </w:r>
      <w:r>
        <w:t>Maintenance</w:t>
      </w:r>
      <w:r w:rsidR="0077094D">
        <w:t xml:space="preserve"> and</w:t>
      </w:r>
      <w:r>
        <w:t xml:space="preserve"> </w:t>
      </w:r>
      <w:r w:rsidR="0077094D">
        <w:br/>
      </w:r>
      <w:r>
        <w:t xml:space="preserve">Administrative </w:t>
      </w:r>
      <w:r w:rsidR="0077094D">
        <w:t>and</w:t>
      </w:r>
      <w:r>
        <w:t xml:space="preserve"> General Expenses</w:t>
      </w:r>
      <w:bookmarkEnd w:id="5"/>
    </w:p>
    <w:p w:rsidR="000D4DD0" w:rsidRDefault="000D4DD0" w:rsidP="000D4DD0">
      <w:pPr>
        <w:pStyle w:val="Heading2"/>
      </w:pPr>
      <w:bookmarkStart w:id="6" w:name="_Toc403718433"/>
      <w:r>
        <w:t>General Wage Increases</w:t>
      </w:r>
      <w:bookmarkEnd w:id="6"/>
    </w:p>
    <w:p w:rsidR="000D4DD0" w:rsidRPr="005B1C34" w:rsidRDefault="000D4DD0" w:rsidP="000C470D">
      <w:pPr>
        <w:pStyle w:val="Question"/>
        <w:jc w:val="left"/>
        <w:rPr>
          <w:rStyle w:val="Strong"/>
          <w:b/>
        </w:rPr>
      </w:pPr>
      <w:r w:rsidRPr="005B1C34">
        <w:rPr>
          <w:rStyle w:val="Strong"/>
          <w:b/>
        </w:rPr>
        <w:t>Q.</w:t>
      </w:r>
      <w:r w:rsidRPr="005B1C34">
        <w:rPr>
          <w:rStyle w:val="Strong"/>
          <w:b/>
        </w:rPr>
        <w:tab/>
      </w:r>
      <w:r w:rsidR="00890D88" w:rsidRPr="005B1C34">
        <w:rPr>
          <w:rStyle w:val="Strong"/>
          <w:b/>
        </w:rPr>
        <w:t>Please summarize Public Counsel’</w:t>
      </w:r>
      <w:r w:rsidR="00406D9A">
        <w:rPr>
          <w:rStyle w:val="Strong"/>
          <w:b/>
        </w:rPr>
        <w:t>s</w:t>
      </w:r>
      <w:r w:rsidR="00890D88" w:rsidRPr="005B1C34">
        <w:rPr>
          <w:rStyle w:val="Strong"/>
          <w:b/>
        </w:rPr>
        <w:t xml:space="preserve"> </w:t>
      </w:r>
      <w:r w:rsidR="00470A29">
        <w:rPr>
          <w:rStyle w:val="Strong"/>
          <w:b/>
        </w:rPr>
        <w:t>position regarding</w:t>
      </w:r>
      <w:r w:rsidR="00890D88" w:rsidRPr="005B1C34">
        <w:rPr>
          <w:rStyle w:val="Strong"/>
          <w:b/>
        </w:rPr>
        <w:t xml:space="preserve"> the Company’s </w:t>
      </w:r>
      <w:r w:rsidR="0012464D">
        <w:rPr>
          <w:rStyle w:val="Strong"/>
          <w:b/>
        </w:rPr>
        <w:t>proposed g</w:t>
      </w:r>
      <w:r w:rsidR="00890D88" w:rsidRPr="005B1C34">
        <w:rPr>
          <w:rStyle w:val="Strong"/>
          <w:b/>
        </w:rPr>
        <w:t xml:space="preserve">eneral </w:t>
      </w:r>
      <w:r w:rsidR="0012464D">
        <w:rPr>
          <w:rStyle w:val="Strong"/>
          <w:b/>
        </w:rPr>
        <w:t>w</w:t>
      </w:r>
      <w:r w:rsidR="00890D88" w:rsidRPr="005B1C34">
        <w:rPr>
          <w:rStyle w:val="Strong"/>
          <w:b/>
        </w:rPr>
        <w:t xml:space="preserve">age </w:t>
      </w:r>
      <w:r w:rsidR="0012464D">
        <w:rPr>
          <w:rStyle w:val="Strong"/>
          <w:b/>
        </w:rPr>
        <w:t>i</w:t>
      </w:r>
      <w:r w:rsidR="00890D88" w:rsidRPr="005B1C34">
        <w:rPr>
          <w:rStyle w:val="Strong"/>
          <w:b/>
        </w:rPr>
        <w:t>ncrease adjustment.</w:t>
      </w:r>
    </w:p>
    <w:p w:rsidR="0012464D" w:rsidRDefault="000D4DD0" w:rsidP="00903424">
      <w:pPr>
        <w:pStyle w:val="Answer"/>
        <w:jc w:val="left"/>
      </w:pPr>
      <w:r w:rsidRPr="007320FE">
        <w:t>A.</w:t>
      </w:r>
      <w:r w:rsidRPr="007320FE">
        <w:tab/>
      </w:r>
      <w:r w:rsidR="00406D9A">
        <w:t>Public Counsel</w:t>
      </w:r>
      <w:r w:rsidR="00F42870">
        <w:t xml:space="preserve"> </w:t>
      </w:r>
      <w:r w:rsidR="0012464D">
        <w:t xml:space="preserve">recommends several modifications to the Company’s proposed general wage adjustment.  Specifically, Public Counsel recommends: </w:t>
      </w:r>
    </w:p>
    <w:p w:rsidR="0012464D" w:rsidRPr="00A65B51" w:rsidRDefault="0012464D" w:rsidP="00721549">
      <w:pPr>
        <w:pStyle w:val="Answer"/>
        <w:numPr>
          <w:ilvl w:val="0"/>
          <w:numId w:val="18"/>
        </w:numPr>
        <w:ind w:left="1080"/>
        <w:jc w:val="left"/>
        <w:rPr>
          <w:b/>
          <w:bCs/>
        </w:rPr>
      </w:pPr>
      <w:r>
        <w:t xml:space="preserve">Limiting </w:t>
      </w:r>
      <w:r w:rsidR="00D00815">
        <w:t>w</w:t>
      </w:r>
      <w:r w:rsidR="00F42870">
        <w:t xml:space="preserve">age increases </w:t>
      </w:r>
      <w:r>
        <w:t>to those</w:t>
      </w:r>
      <w:r w:rsidR="00F42870">
        <w:t xml:space="preserve"> occurring by December 31, 2014</w:t>
      </w:r>
      <w:r>
        <w:t>;</w:t>
      </w:r>
    </w:p>
    <w:p w:rsidR="0012464D" w:rsidRPr="00A65B51" w:rsidRDefault="0012464D" w:rsidP="00721549">
      <w:pPr>
        <w:pStyle w:val="Answer"/>
        <w:numPr>
          <w:ilvl w:val="0"/>
          <w:numId w:val="18"/>
        </w:numPr>
        <w:ind w:left="1080"/>
        <w:jc w:val="left"/>
        <w:rPr>
          <w:b/>
          <w:bCs/>
        </w:rPr>
      </w:pPr>
      <w:r>
        <w:t>R</w:t>
      </w:r>
      <w:r w:rsidR="00F42870">
        <w:t>educ</w:t>
      </w:r>
      <w:r>
        <w:t>ing full</w:t>
      </w:r>
      <w:r w:rsidR="00362D30">
        <w:t>-</w:t>
      </w:r>
      <w:r>
        <w:t>time</w:t>
      </w:r>
      <w:r w:rsidR="00362D30">
        <w:t>-</w:t>
      </w:r>
      <w:r>
        <w:t>equivalent (FTE) employees (and associated costs)</w:t>
      </w:r>
      <w:r w:rsidR="00F42870">
        <w:t xml:space="preserve"> to reflect the </w:t>
      </w:r>
      <w:r>
        <w:t xml:space="preserve">actual FTE employee level as of </w:t>
      </w:r>
      <w:r w:rsidR="00F42870">
        <w:t>June 2014;</w:t>
      </w:r>
    </w:p>
    <w:p w:rsidR="00D608AD" w:rsidRPr="00D608AD" w:rsidRDefault="0012464D" w:rsidP="00721549">
      <w:pPr>
        <w:pStyle w:val="Answer"/>
        <w:numPr>
          <w:ilvl w:val="0"/>
          <w:numId w:val="18"/>
        </w:numPr>
        <w:ind w:left="1080"/>
        <w:jc w:val="left"/>
        <w:rPr>
          <w:b/>
          <w:bCs/>
        </w:rPr>
      </w:pPr>
      <w:r>
        <w:t>Reducing</w:t>
      </w:r>
      <w:r w:rsidR="00D00815">
        <w:t xml:space="preserve"> p</w:t>
      </w:r>
      <w:r w:rsidR="00F42870">
        <w:t xml:space="preserve">ension </w:t>
      </w:r>
      <w:r w:rsidR="00D608AD">
        <w:t xml:space="preserve">and </w:t>
      </w:r>
      <w:r w:rsidR="00211DCC">
        <w:t>other post</w:t>
      </w:r>
      <w:r w:rsidR="00362D30">
        <w:t>-</w:t>
      </w:r>
      <w:r w:rsidR="00211DCC">
        <w:t xml:space="preserve">retirement employee benefits </w:t>
      </w:r>
      <w:r w:rsidR="008B7831">
        <w:t xml:space="preserve">(OPEB) </w:t>
      </w:r>
      <w:r w:rsidR="00F42870">
        <w:t>expense</w:t>
      </w:r>
      <w:r w:rsidR="00362D30">
        <w:t>s</w:t>
      </w:r>
      <w:r w:rsidR="00F42870">
        <w:t xml:space="preserve"> </w:t>
      </w:r>
      <w:r>
        <w:t>to reflect information provided by the Company through discovery</w:t>
      </w:r>
      <w:r w:rsidR="00D608AD">
        <w:t>.</w:t>
      </w:r>
      <w:r w:rsidR="008A71BA">
        <w:rPr>
          <w:rStyle w:val="FootnoteReference"/>
        </w:rPr>
        <w:footnoteReference w:id="1"/>
      </w:r>
    </w:p>
    <w:p w:rsidR="00E8745B" w:rsidRPr="00E8745B" w:rsidRDefault="00E8745B" w:rsidP="00903424">
      <w:pPr>
        <w:pStyle w:val="Answer"/>
        <w:jc w:val="left"/>
        <w:rPr>
          <w:rStyle w:val="Strong"/>
        </w:rPr>
      </w:pPr>
      <w:r w:rsidRPr="00E8745B">
        <w:rPr>
          <w:rStyle w:val="Strong"/>
        </w:rPr>
        <w:t>Q.</w:t>
      </w:r>
      <w:r w:rsidRPr="00E8745B">
        <w:rPr>
          <w:rStyle w:val="Strong"/>
        </w:rPr>
        <w:tab/>
      </w:r>
      <w:r w:rsidR="00D608AD">
        <w:rPr>
          <w:rStyle w:val="Strong"/>
        </w:rPr>
        <w:t xml:space="preserve">Does the Company agree with </w:t>
      </w:r>
      <w:r w:rsidR="00406D9A">
        <w:rPr>
          <w:rStyle w:val="Strong"/>
        </w:rPr>
        <w:t>Public Counsel</w:t>
      </w:r>
      <w:r w:rsidR="007C6943">
        <w:rPr>
          <w:rStyle w:val="Strong"/>
        </w:rPr>
        <w:t>’</w:t>
      </w:r>
      <w:r w:rsidR="00406D9A">
        <w:rPr>
          <w:rStyle w:val="Strong"/>
        </w:rPr>
        <w:t>s</w:t>
      </w:r>
      <w:r w:rsidR="007C6943">
        <w:rPr>
          <w:rStyle w:val="Strong"/>
        </w:rPr>
        <w:t xml:space="preserve"> recommendations on the </w:t>
      </w:r>
      <w:r w:rsidR="0012464D">
        <w:rPr>
          <w:rStyle w:val="Strong"/>
        </w:rPr>
        <w:t>g</w:t>
      </w:r>
      <w:r w:rsidR="007C6943">
        <w:rPr>
          <w:rStyle w:val="Strong"/>
        </w:rPr>
        <w:t xml:space="preserve">eneral </w:t>
      </w:r>
      <w:r w:rsidR="0012464D">
        <w:rPr>
          <w:rStyle w:val="Strong"/>
        </w:rPr>
        <w:t>w</w:t>
      </w:r>
      <w:r w:rsidR="007C6943">
        <w:rPr>
          <w:rStyle w:val="Strong"/>
        </w:rPr>
        <w:t xml:space="preserve">age </w:t>
      </w:r>
      <w:r w:rsidR="0012464D">
        <w:rPr>
          <w:rStyle w:val="Strong"/>
        </w:rPr>
        <w:t>i</w:t>
      </w:r>
      <w:r w:rsidR="007C6943">
        <w:rPr>
          <w:rStyle w:val="Strong"/>
        </w:rPr>
        <w:t>ncrease adjustment</w:t>
      </w:r>
      <w:r>
        <w:rPr>
          <w:rStyle w:val="Strong"/>
        </w:rPr>
        <w:t>?</w:t>
      </w:r>
    </w:p>
    <w:p w:rsidR="00E8745B" w:rsidRDefault="00E8745B" w:rsidP="00903424">
      <w:pPr>
        <w:pStyle w:val="Answer"/>
        <w:jc w:val="left"/>
      </w:pPr>
      <w:r w:rsidRPr="00E8745B">
        <w:t>A.</w:t>
      </w:r>
      <w:r w:rsidRPr="00E8745B">
        <w:tab/>
      </w:r>
      <w:r w:rsidR="00FB11CF">
        <w:t>No.</w:t>
      </w:r>
      <w:r w:rsidR="00D608AD" w:rsidRPr="007C6943">
        <w:t xml:space="preserve"> </w:t>
      </w:r>
      <w:r w:rsidR="0012464D">
        <w:t xml:space="preserve"> </w:t>
      </w:r>
      <w:r w:rsidR="00C82862">
        <w:t xml:space="preserve">The </w:t>
      </w:r>
      <w:r w:rsidR="00D00815">
        <w:t>Company maintains th</w:t>
      </w:r>
      <w:r w:rsidR="00042FEB">
        <w:t>at</w:t>
      </w:r>
      <w:r w:rsidR="00D00815">
        <w:t xml:space="preserve"> </w:t>
      </w:r>
      <w:r w:rsidR="00042FEB">
        <w:t xml:space="preserve">the </w:t>
      </w:r>
      <w:r w:rsidR="00D00815">
        <w:t>proposal supported in its direct filing</w:t>
      </w:r>
      <w:r w:rsidR="00042FEB">
        <w:t xml:space="preserve"> </w:t>
      </w:r>
      <w:r w:rsidR="00F15E7C">
        <w:t>is</w:t>
      </w:r>
      <w:r w:rsidR="00042FEB">
        <w:t xml:space="preserve"> appropriate</w:t>
      </w:r>
      <w:r w:rsidR="00D00815">
        <w:t xml:space="preserve">.  </w:t>
      </w:r>
      <w:r w:rsidR="0012464D">
        <w:t>As explained in my direct testimony, t</w:t>
      </w:r>
      <w:r w:rsidR="0067053C">
        <w:t>he Company annualized calendar year 2013 wage amounts by taking into account actual wages by labor group by month along with the dates each labor gr</w:t>
      </w:r>
      <w:r w:rsidR="000D0976">
        <w:t>oup received wage increases.</w:t>
      </w:r>
      <w:r w:rsidR="0067053C">
        <w:t xml:space="preserve"> The Company then adjusted wage levels through the rate</w:t>
      </w:r>
      <w:r w:rsidR="00006C52">
        <w:t>-</w:t>
      </w:r>
      <w:r w:rsidR="0067053C">
        <w:t xml:space="preserve">effective period by applying known and measurable pro forma wage increases that have occurred or are expected to occur through March 31, 2016.  </w:t>
      </w:r>
      <w:r w:rsidR="000C470D">
        <w:t>R</w:t>
      </w:r>
      <w:r w:rsidR="0067053C">
        <w:t>eflecting wage</w:t>
      </w:r>
      <w:r w:rsidR="00901189">
        <w:t xml:space="preserve"> </w:t>
      </w:r>
      <w:r w:rsidR="0067053C">
        <w:t xml:space="preserve">levels </w:t>
      </w:r>
      <w:r w:rsidR="00006C52">
        <w:t>in this manner</w:t>
      </w:r>
      <w:r w:rsidR="00901189">
        <w:t xml:space="preserve"> </w:t>
      </w:r>
      <w:r w:rsidR="00006C52">
        <w:t xml:space="preserve">more appropriately aligns wage and salary expense levels with the level of expense the Company will incur during the period in which rates will be effective.  In addition, this treatment </w:t>
      </w:r>
      <w:r w:rsidR="0067053C">
        <w:t xml:space="preserve">is consistent with </w:t>
      </w:r>
      <w:r w:rsidR="00006C52">
        <w:t xml:space="preserve">the approach taken by </w:t>
      </w:r>
      <w:r w:rsidR="002836A0">
        <w:t xml:space="preserve">Avista Corporation, d/b/a </w:t>
      </w:r>
      <w:r w:rsidR="0067053C">
        <w:t>Avista Utilities</w:t>
      </w:r>
      <w:r w:rsidR="002836A0">
        <w:t xml:space="preserve"> (Avista)</w:t>
      </w:r>
      <w:r w:rsidR="0067053C">
        <w:t xml:space="preserve"> </w:t>
      </w:r>
      <w:r w:rsidR="00006C52">
        <w:t xml:space="preserve">in its </w:t>
      </w:r>
      <w:r w:rsidR="0067053C">
        <w:t>last general rate case.</w:t>
      </w:r>
      <w:r w:rsidR="0067053C">
        <w:rPr>
          <w:rStyle w:val="FootnoteReference"/>
        </w:rPr>
        <w:footnoteReference w:id="2"/>
      </w:r>
      <w:r w:rsidR="0067053C">
        <w:t xml:space="preserve"> </w:t>
      </w:r>
      <w:r w:rsidR="00006C52">
        <w:t xml:space="preserve"> The appropriateness of this methodology is discussed in greater detail in the rebuttal testimony of </w:t>
      </w:r>
      <w:r w:rsidR="007C6943">
        <w:t xml:space="preserve">Mr. Erich D. Wilson. </w:t>
      </w:r>
    </w:p>
    <w:p w:rsidR="008A0C86" w:rsidRDefault="00042FEB" w:rsidP="008A0C86">
      <w:pPr>
        <w:pStyle w:val="Answer"/>
        <w:widowControl w:val="0"/>
        <w:jc w:val="left"/>
        <w:rPr>
          <w:rStyle w:val="Strong"/>
        </w:rPr>
      </w:pPr>
      <w:r>
        <w:rPr>
          <w:rStyle w:val="Strong"/>
        </w:rPr>
        <w:t>Q.</w:t>
      </w:r>
      <w:r>
        <w:rPr>
          <w:rStyle w:val="Strong"/>
        </w:rPr>
        <w:tab/>
        <w:t xml:space="preserve">What is the Company’s position on Public Counsel’s recommendation regarding </w:t>
      </w:r>
      <w:r w:rsidR="00006C52">
        <w:rPr>
          <w:rStyle w:val="Strong"/>
        </w:rPr>
        <w:t xml:space="preserve">FTE levels </w:t>
      </w:r>
      <w:r>
        <w:rPr>
          <w:rStyle w:val="Strong"/>
        </w:rPr>
        <w:t xml:space="preserve">and pension and OPEB </w:t>
      </w:r>
      <w:r w:rsidR="00006C52">
        <w:rPr>
          <w:rStyle w:val="Strong"/>
        </w:rPr>
        <w:t>expenses</w:t>
      </w:r>
      <w:r>
        <w:rPr>
          <w:rStyle w:val="Strong"/>
        </w:rPr>
        <w:t>?</w:t>
      </w:r>
    </w:p>
    <w:p w:rsidR="002E7FB0" w:rsidRDefault="002E7FB0" w:rsidP="008A0C86">
      <w:pPr>
        <w:pStyle w:val="Answer"/>
        <w:widowControl w:val="0"/>
        <w:jc w:val="left"/>
        <w:rPr>
          <w:rStyle w:val="Strong"/>
          <w:b w:val="0"/>
        </w:rPr>
      </w:pPr>
      <w:r w:rsidRPr="007D6C1A">
        <w:rPr>
          <w:rStyle w:val="Strong"/>
          <w:b w:val="0"/>
        </w:rPr>
        <w:t>A.</w:t>
      </w:r>
      <w:r>
        <w:rPr>
          <w:rStyle w:val="Strong"/>
          <w:b w:val="0"/>
        </w:rPr>
        <w:tab/>
        <w:t xml:space="preserve">The Company disagrees with Public Counsel’s proposed adjustments.  As discussed in Mr. Wilson’s rebuttal testimony, Public Counsel’s work force reduction adjustment </w:t>
      </w:r>
      <w:r w:rsidR="00EF2F41">
        <w:rPr>
          <w:rStyle w:val="Strong"/>
          <w:b w:val="0"/>
        </w:rPr>
        <w:t xml:space="preserve">is not </w:t>
      </w:r>
      <w:r>
        <w:rPr>
          <w:rStyle w:val="Strong"/>
          <w:b w:val="0"/>
        </w:rPr>
        <w:t>appropriate</w:t>
      </w:r>
      <w:r w:rsidR="00006C52">
        <w:rPr>
          <w:rStyle w:val="Strong"/>
          <w:b w:val="0"/>
        </w:rPr>
        <w:t xml:space="preserve"> </w:t>
      </w:r>
      <w:r w:rsidR="00EF2F41">
        <w:rPr>
          <w:rStyle w:val="Strong"/>
          <w:b w:val="0"/>
        </w:rPr>
        <w:t>because</w:t>
      </w:r>
      <w:r w:rsidR="00006C52">
        <w:rPr>
          <w:rStyle w:val="Strong"/>
          <w:b w:val="0"/>
        </w:rPr>
        <w:t xml:space="preserve"> the Company is actively </w:t>
      </w:r>
      <w:r w:rsidR="00EF2F41">
        <w:rPr>
          <w:rStyle w:val="Strong"/>
          <w:b w:val="0"/>
        </w:rPr>
        <w:t xml:space="preserve">working to </w:t>
      </w:r>
      <w:r w:rsidR="00006C52">
        <w:rPr>
          <w:rStyle w:val="Strong"/>
          <w:b w:val="0"/>
        </w:rPr>
        <w:t>fill vacancies</w:t>
      </w:r>
      <w:r>
        <w:rPr>
          <w:rStyle w:val="Strong"/>
          <w:b w:val="0"/>
        </w:rPr>
        <w:t xml:space="preserve">.  </w:t>
      </w:r>
    </w:p>
    <w:p w:rsidR="002E7FB0" w:rsidRPr="007D6C1A" w:rsidRDefault="002E7FB0" w:rsidP="00903424">
      <w:pPr>
        <w:pStyle w:val="Answer"/>
        <w:jc w:val="left"/>
        <w:rPr>
          <w:rStyle w:val="Strong"/>
          <w:b w:val="0"/>
        </w:rPr>
      </w:pPr>
      <w:r>
        <w:rPr>
          <w:rStyle w:val="Strong"/>
          <w:b w:val="0"/>
        </w:rPr>
        <w:tab/>
      </w:r>
      <w:r>
        <w:rPr>
          <w:rStyle w:val="Strong"/>
          <w:b w:val="0"/>
        </w:rPr>
        <w:tab/>
      </w:r>
      <w:r w:rsidR="00006C52">
        <w:rPr>
          <w:rStyle w:val="Strong"/>
          <w:b w:val="0"/>
        </w:rPr>
        <w:t xml:space="preserve">As discussed by Mr. Wilson, </w:t>
      </w:r>
      <w:r>
        <w:rPr>
          <w:rStyle w:val="Strong"/>
          <w:b w:val="0"/>
        </w:rPr>
        <w:t xml:space="preserve">Public Counsel’s proposed adjustment to </w:t>
      </w:r>
      <w:r w:rsidR="00006C52">
        <w:rPr>
          <w:rStyle w:val="Strong"/>
          <w:b w:val="0"/>
        </w:rPr>
        <w:t xml:space="preserve">reduce </w:t>
      </w:r>
      <w:r w:rsidR="00EC4658">
        <w:rPr>
          <w:rStyle w:val="Strong"/>
          <w:b w:val="0"/>
        </w:rPr>
        <w:t>pension and OPEB expense levels</w:t>
      </w:r>
      <w:r w:rsidR="00006C52">
        <w:rPr>
          <w:rStyle w:val="Strong"/>
          <w:b w:val="0"/>
        </w:rPr>
        <w:t>, which reduces the Company’s revenue requirement, does not consider other employee benefit costs that have increased sinc</w:t>
      </w:r>
      <w:r w:rsidR="00BA4BFA">
        <w:rPr>
          <w:rStyle w:val="Strong"/>
          <w:b w:val="0"/>
        </w:rPr>
        <w:t>e the historical period, such</w:t>
      </w:r>
      <w:r w:rsidR="00006C52">
        <w:rPr>
          <w:rStyle w:val="Strong"/>
          <w:b w:val="0"/>
        </w:rPr>
        <w:t xml:space="preserve"> as health</w:t>
      </w:r>
      <w:r w:rsidR="00EF2F41">
        <w:rPr>
          <w:rStyle w:val="Strong"/>
          <w:b w:val="0"/>
        </w:rPr>
        <w:t>-</w:t>
      </w:r>
      <w:r w:rsidR="00006C52">
        <w:rPr>
          <w:rStyle w:val="Strong"/>
          <w:b w:val="0"/>
        </w:rPr>
        <w:t xml:space="preserve">care benefits. </w:t>
      </w:r>
      <w:r w:rsidR="00EC4658">
        <w:rPr>
          <w:rStyle w:val="Strong"/>
          <w:b w:val="0"/>
        </w:rPr>
        <w:t xml:space="preserve"> The Company has not proposed pro forma changes to </w:t>
      </w:r>
      <w:r w:rsidR="00CC7D04">
        <w:rPr>
          <w:rStyle w:val="Strong"/>
          <w:b w:val="0"/>
        </w:rPr>
        <w:t xml:space="preserve">employee benefits </w:t>
      </w:r>
      <w:r w:rsidR="00365341">
        <w:rPr>
          <w:rStyle w:val="Strong"/>
          <w:b w:val="0"/>
        </w:rPr>
        <w:t>in this</w:t>
      </w:r>
      <w:r w:rsidR="00BA4BFA">
        <w:rPr>
          <w:rStyle w:val="Strong"/>
          <w:b w:val="0"/>
        </w:rPr>
        <w:t xml:space="preserve"> case, which is consistent with the treatment approved by the Commission in </w:t>
      </w:r>
      <w:r w:rsidR="00EF2F41">
        <w:rPr>
          <w:rStyle w:val="Strong"/>
          <w:b w:val="0"/>
        </w:rPr>
        <w:t xml:space="preserve">the </w:t>
      </w:r>
      <w:r w:rsidR="00BA4BFA">
        <w:rPr>
          <w:rStyle w:val="Strong"/>
          <w:b w:val="0"/>
        </w:rPr>
        <w:t>Company’s 2013 general rate case.</w:t>
      </w:r>
      <w:r w:rsidR="00365341">
        <w:rPr>
          <w:rStyle w:val="Strong"/>
          <w:b w:val="0"/>
        </w:rPr>
        <w:t xml:space="preserve">  </w:t>
      </w:r>
      <w:r w:rsidR="00BA4BFA">
        <w:rPr>
          <w:rStyle w:val="Strong"/>
          <w:b w:val="0"/>
        </w:rPr>
        <w:t>If pension and OPEB expense levels are adjusted from historical test period levels, other employee</w:t>
      </w:r>
      <w:r w:rsidR="00EF2F41">
        <w:rPr>
          <w:rStyle w:val="Strong"/>
          <w:b w:val="0"/>
        </w:rPr>
        <w:t>-</w:t>
      </w:r>
      <w:r w:rsidR="00BA4BFA">
        <w:rPr>
          <w:rStyle w:val="Strong"/>
          <w:b w:val="0"/>
        </w:rPr>
        <w:t>benefit</w:t>
      </w:r>
      <w:r w:rsidR="00EF2F41">
        <w:rPr>
          <w:rStyle w:val="Strong"/>
          <w:b w:val="0"/>
        </w:rPr>
        <w:t>-</w:t>
      </w:r>
      <w:r w:rsidR="00BA4BFA">
        <w:rPr>
          <w:rStyle w:val="Strong"/>
          <w:b w:val="0"/>
        </w:rPr>
        <w:t>related items should also be adjusted.</w:t>
      </w:r>
      <w:r w:rsidR="00365341">
        <w:rPr>
          <w:rStyle w:val="Strong"/>
          <w:b w:val="0"/>
        </w:rPr>
        <w:t xml:space="preserve"> </w:t>
      </w:r>
    </w:p>
    <w:p w:rsidR="007C6943" w:rsidRPr="00E8745B" w:rsidRDefault="007C6943" w:rsidP="00903424">
      <w:pPr>
        <w:pStyle w:val="Answer"/>
        <w:jc w:val="left"/>
        <w:rPr>
          <w:rStyle w:val="Strong"/>
        </w:rPr>
      </w:pPr>
      <w:r w:rsidRPr="00E8745B">
        <w:rPr>
          <w:rStyle w:val="Strong"/>
        </w:rPr>
        <w:t>Q.</w:t>
      </w:r>
      <w:r w:rsidRPr="00E8745B">
        <w:rPr>
          <w:rStyle w:val="Strong"/>
        </w:rPr>
        <w:tab/>
      </w:r>
      <w:r w:rsidR="00BA4BFA">
        <w:rPr>
          <w:rStyle w:val="Strong"/>
        </w:rPr>
        <w:t xml:space="preserve">Are </w:t>
      </w:r>
      <w:r>
        <w:rPr>
          <w:rStyle w:val="Strong"/>
        </w:rPr>
        <w:t xml:space="preserve">there any </w:t>
      </w:r>
      <w:r w:rsidR="00406D9A">
        <w:rPr>
          <w:rStyle w:val="Strong"/>
        </w:rPr>
        <w:t>problems with Public Counsel</w:t>
      </w:r>
      <w:r>
        <w:rPr>
          <w:rStyle w:val="Strong"/>
        </w:rPr>
        <w:t>’</w:t>
      </w:r>
      <w:r w:rsidR="00406D9A">
        <w:rPr>
          <w:rStyle w:val="Strong"/>
        </w:rPr>
        <w:t>s</w:t>
      </w:r>
      <w:r>
        <w:rPr>
          <w:rStyle w:val="Strong"/>
        </w:rPr>
        <w:t xml:space="preserve"> </w:t>
      </w:r>
      <w:r w:rsidR="00EF2F41">
        <w:rPr>
          <w:rStyle w:val="Strong"/>
        </w:rPr>
        <w:t xml:space="preserve">calculation of its </w:t>
      </w:r>
      <w:r w:rsidR="0065615E">
        <w:rPr>
          <w:rStyle w:val="Strong"/>
        </w:rPr>
        <w:t>p</w:t>
      </w:r>
      <w:r w:rsidR="008B7831">
        <w:rPr>
          <w:rStyle w:val="Strong"/>
        </w:rPr>
        <w:t xml:space="preserve">ension </w:t>
      </w:r>
      <w:r w:rsidR="0065615E">
        <w:rPr>
          <w:rStyle w:val="Strong"/>
        </w:rPr>
        <w:t>adjustment</w:t>
      </w:r>
      <w:r>
        <w:rPr>
          <w:rStyle w:val="Strong"/>
        </w:rPr>
        <w:t>?</w:t>
      </w:r>
    </w:p>
    <w:p w:rsidR="007C6943" w:rsidRDefault="007C6943" w:rsidP="00903424">
      <w:pPr>
        <w:pStyle w:val="Answer"/>
        <w:jc w:val="left"/>
      </w:pPr>
      <w:r w:rsidRPr="00E8745B">
        <w:t>A.</w:t>
      </w:r>
      <w:r w:rsidRPr="00E8745B">
        <w:tab/>
      </w:r>
      <w:r w:rsidR="005B1C34" w:rsidRPr="005B1C34">
        <w:t xml:space="preserve">Yes.  </w:t>
      </w:r>
      <w:r w:rsidR="000C470D">
        <w:t>I</w:t>
      </w:r>
      <w:r w:rsidR="00475863">
        <w:t>t appear</w:t>
      </w:r>
      <w:r w:rsidR="005E4BEC">
        <w:t>s</w:t>
      </w:r>
      <w:r w:rsidR="000C470D">
        <w:t xml:space="preserve"> Public Counsel </w:t>
      </w:r>
      <w:r w:rsidR="00475863">
        <w:t xml:space="preserve">calculated </w:t>
      </w:r>
      <w:r w:rsidR="00BA4BFA">
        <w:t>its</w:t>
      </w:r>
      <w:r w:rsidR="00475863">
        <w:t xml:space="preserve"> pension</w:t>
      </w:r>
      <w:r w:rsidR="00BA4BFA">
        <w:t xml:space="preserve"> expense</w:t>
      </w:r>
      <w:r w:rsidR="00475863">
        <w:t xml:space="preserve"> adjustment by </w:t>
      </w:r>
      <w:r w:rsidR="00BA4BFA">
        <w:t xml:space="preserve">incorrectly </w:t>
      </w:r>
      <w:r w:rsidR="00475863">
        <w:t xml:space="preserve">comparing the pension expense from </w:t>
      </w:r>
      <w:r w:rsidR="00BA4BFA">
        <w:t>an</w:t>
      </w:r>
      <w:r w:rsidR="00475863">
        <w:t xml:space="preserve"> actuarial report to the Company’s </w:t>
      </w:r>
      <w:r w:rsidR="00BA4BFA">
        <w:t xml:space="preserve">total </w:t>
      </w:r>
      <w:r w:rsidR="00475863">
        <w:t xml:space="preserve">pension expense </w:t>
      </w:r>
      <w:r w:rsidR="00BA4BFA">
        <w:t>reflected in the historical</w:t>
      </w:r>
      <w:r w:rsidR="00475863">
        <w:t xml:space="preserve"> base period</w:t>
      </w:r>
      <w:r w:rsidR="00BA4BFA">
        <w:t>.  This comparison is improper because the actuarial report relied on by Public Counsel does not include costs of the Local 57 multi-employer plan.  Local 57 multi-employer plan</w:t>
      </w:r>
      <w:r w:rsidR="00DF4F01">
        <w:t xml:space="preserve"> costs</w:t>
      </w:r>
      <w:r w:rsidR="00BA4BFA">
        <w:t>, however, are included in the Company’s base historical period.  Accordingly, Public Counsel’s adjustment effectively eliminates</w:t>
      </w:r>
      <w:r w:rsidR="004528F2">
        <w:t xml:space="preserve"> all</w:t>
      </w:r>
      <w:r w:rsidR="00BA4BFA">
        <w:t xml:space="preserve"> </w:t>
      </w:r>
      <w:r w:rsidR="00DF4F01">
        <w:t>costs</w:t>
      </w:r>
      <w:r w:rsidR="00BA4BFA">
        <w:t xml:space="preserve"> associated with the Local 57 multi-employer plan</w:t>
      </w:r>
      <w:r w:rsidR="00DF4F01">
        <w:t xml:space="preserve">, which </w:t>
      </w:r>
      <w:r w:rsidR="005B1C34" w:rsidRPr="005B1C34">
        <w:t>overstat</w:t>
      </w:r>
      <w:r w:rsidR="00475863">
        <w:t>e</w:t>
      </w:r>
      <w:r w:rsidR="00DF4F01">
        <w:t>s its adjustment</w:t>
      </w:r>
      <w:r w:rsidR="005B1C34" w:rsidRPr="005B1C34">
        <w:t xml:space="preserve"> by approximately $</w:t>
      </w:r>
      <w:r w:rsidR="001715A9" w:rsidRPr="005B1C34">
        <w:t>4</w:t>
      </w:r>
      <w:r w:rsidR="001715A9">
        <w:t>11,000</w:t>
      </w:r>
      <w:r w:rsidR="001715A9" w:rsidRPr="005B1C34">
        <w:t xml:space="preserve"> </w:t>
      </w:r>
      <w:r w:rsidR="005B1C34" w:rsidRPr="005B1C34">
        <w:t>on a Washington</w:t>
      </w:r>
      <w:r w:rsidR="00DF4F01">
        <w:t xml:space="preserve">-allocated </w:t>
      </w:r>
      <w:r w:rsidR="005B1C34" w:rsidRPr="005B1C34">
        <w:t>basis</w:t>
      </w:r>
      <w:r w:rsidR="00FF2472">
        <w:t>.</w:t>
      </w:r>
    </w:p>
    <w:p w:rsidR="00845CEC" w:rsidRDefault="00845CEC" w:rsidP="00903424">
      <w:pPr>
        <w:pStyle w:val="Heading2"/>
        <w:jc w:val="left"/>
      </w:pPr>
      <w:bookmarkStart w:id="7" w:name="_Toc403718434"/>
      <w:r>
        <w:t>Insurance Expense</w:t>
      </w:r>
      <w:bookmarkEnd w:id="7"/>
    </w:p>
    <w:p w:rsidR="00C60165" w:rsidRDefault="00C60165" w:rsidP="000C470D">
      <w:pPr>
        <w:pStyle w:val="Question"/>
        <w:jc w:val="left"/>
      </w:pPr>
      <w:r>
        <w:t xml:space="preserve">Q.  </w:t>
      </w:r>
      <w:r>
        <w:tab/>
        <w:t xml:space="preserve">Please describe the </w:t>
      </w:r>
      <w:r w:rsidR="00643AD5">
        <w:t>i</w:t>
      </w:r>
      <w:r>
        <w:t xml:space="preserve">nsurance </w:t>
      </w:r>
      <w:r w:rsidR="00643AD5">
        <w:t>e</w:t>
      </w:r>
      <w:r>
        <w:t xml:space="preserve">xpense adjustments proposed by </w:t>
      </w:r>
      <w:r w:rsidR="00DF4F01">
        <w:t>Staff and Pubic Counsel</w:t>
      </w:r>
      <w:r>
        <w:t>.</w:t>
      </w:r>
    </w:p>
    <w:p w:rsidR="00DA4095" w:rsidRDefault="00C60165" w:rsidP="00903424">
      <w:pPr>
        <w:pStyle w:val="Answer"/>
        <w:jc w:val="left"/>
      </w:pPr>
      <w:r>
        <w:t xml:space="preserve">A. </w:t>
      </w:r>
      <w:r>
        <w:tab/>
      </w:r>
      <w:r w:rsidR="00CA26E8">
        <w:t>I</w:t>
      </w:r>
      <w:r>
        <w:t xml:space="preserve">nsurance expense in the Company’s initial filing </w:t>
      </w:r>
      <w:r w:rsidR="00DF4F01">
        <w:t>wa</w:t>
      </w:r>
      <w:r>
        <w:t xml:space="preserve">s based on a six-year average </w:t>
      </w:r>
      <w:r w:rsidR="004528F2">
        <w:t xml:space="preserve">of </w:t>
      </w:r>
      <w:r w:rsidR="00B9046A">
        <w:t xml:space="preserve">actual damage </w:t>
      </w:r>
      <w:r w:rsidR="004528F2">
        <w:t xml:space="preserve">expenses, which is consistent with the all-party stipulation in the Company’s 2011 general rate case, </w:t>
      </w:r>
      <w:r>
        <w:t>Docket UE-111190</w:t>
      </w:r>
      <w:r w:rsidR="004528F2">
        <w:t>,</w:t>
      </w:r>
      <w:r w:rsidR="004528F2">
        <w:rPr>
          <w:rStyle w:val="FootnoteReference"/>
        </w:rPr>
        <w:footnoteReference w:id="3"/>
      </w:r>
      <w:r w:rsidR="00406D9A">
        <w:t xml:space="preserve"> and </w:t>
      </w:r>
      <w:r w:rsidR="004528F2">
        <w:t xml:space="preserve">the </w:t>
      </w:r>
      <w:r w:rsidR="00B01C97">
        <w:t xml:space="preserve">Commission’s approval of the methodology used in the </w:t>
      </w:r>
      <w:r w:rsidR="004528F2">
        <w:t>Company’s 2013 general rate case.</w:t>
      </w:r>
      <w:r w:rsidR="004528F2">
        <w:rPr>
          <w:rStyle w:val="FootnoteReference"/>
        </w:rPr>
        <w:footnoteReference w:id="4"/>
      </w:r>
      <w:r>
        <w:t xml:space="preserve">  </w:t>
      </w:r>
      <w:r w:rsidR="00DF4F01">
        <w:t xml:space="preserve">In this case, </w:t>
      </w:r>
      <w:r w:rsidR="00DA4095">
        <w:t>Staff</w:t>
      </w:r>
      <w:r w:rsidR="0085448E">
        <w:t xml:space="preserve"> recommends</w:t>
      </w:r>
      <w:r w:rsidR="00DA4095">
        <w:t xml:space="preserve"> </w:t>
      </w:r>
      <w:r w:rsidR="0085448E">
        <w:t>excl</w:t>
      </w:r>
      <w:r w:rsidR="00712BE8">
        <w:t>u</w:t>
      </w:r>
      <w:r w:rsidR="0085448E">
        <w:t>ding</w:t>
      </w:r>
      <w:r w:rsidR="00DA4095">
        <w:t xml:space="preserve"> </w:t>
      </w:r>
      <w:r w:rsidR="0085448E">
        <w:t xml:space="preserve">the </w:t>
      </w:r>
      <w:r w:rsidR="00DA4095">
        <w:t>2012 insurance expense</w:t>
      </w:r>
      <w:r w:rsidR="00B01C97">
        <w:t xml:space="preserve"> amount</w:t>
      </w:r>
      <w:r w:rsidR="00DA4095">
        <w:t xml:space="preserve"> from the six-year average calculation and substitut</w:t>
      </w:r>
      <w:r w:rsidR="0085448E">
        <w:t>ing</w:t>
      </w:r>
      <w:r w:rsidR="00DA4095">
        <w:t xml:space="preserve"> it with the 2007</w:t>
      </w:r>
      <w:r w:rsidR="00B01C97">
        <w:t xml:space="preserve"> expense amounts</w:t>
      </w:r>
      <w:r w:rsidR="00DA4095">
        <w:t xml:space="preserve"> to calculate a new six-year average.</w:t>
      </w:r>
      <w:r w:rsidR="00EA187B">
        <w:rPr>
          <w:rStyle w:val="FootnoteReference"/>
        </w:rPr>
        <w:footnoteReference w:id="5"/>
      </w:r>
      <w:r w:rsidR="00DA4095">
        <w:t xml:space="preserve">  Staff </w:t>
      </w:r>
      <w:r w:rsidR="00202E2A">
        <w:t xml:space="preserve">asserts </w:t>
      </w:r>
      <w:r w:rsidR="00DA4095">
        <w:t>that t</w:t>
      </w:r>
      <w:r w:rsidR="00DA4095" w:rsidRPr="007B2736">
        <w:t>he replacement of the 2012 insurance expense</w:t>
      </w:r>
      <w:r w:rsidR="00DF4F01">
        <w:t xml:space="preserve"> with the level from 2007</w:t>
      </w:r>
      <w:r w:rsidR="00DA4095" w:rsidRPr="007B2736">
        <w:t xml:space="preserve"> is more representative of the level of expense that is expected to occur during the rate</w:t>
      </w:r>
      <w:r w:rsidR="00DF4F01">
        <w:t>-</w:t>
      </w:r>
      <w:r w:rsidR="00DA4095" w:rsidRPr="007B2736">
        <w:t>effective period.</w:t>
      </w:r>
      <w:r w:rsidR="00B01C97">
        <w:t xml:space="preserve">  Staff’s adjustment reduces the Company’s Washington revenue requirement by approximately $</w:t>
      </w:r>
      <w:r w:rsidR="002802EB">
        <w:t>237,000</w:t>
      </w:r>
      <w:r w:rsidR="00B01C97">
        <w:t>.</w:t>
      </w:r>
    </w:p>
    <w:p w:rsidR="00C60165" w:rsidRDefault="00C60165" w:rsidP="00903424">
      <w:pPr>
        <w:pStyle w:val="Answer"/>
        <w:ind w:firstLine="720"/>
        <w:jc w:val="left"/>
      </w:pPr>
      <w:r>
        <w:t>Public Counsel</w:t>
      </w:r>
      <w:r w:rsidR="004513F6">
        <w:t xml:space="preserve"> </w:t>
      </w:r>
      <w:r>
        <w:t xml:space="preserve">recommends excluding two incidents from the 2012 </w:t>
      </w:r>
      <w:r w:rsidR="00DF4F01">
        <w:t xml:space="preserve">insurance expense </w:t>
      </w:r>
      <w:r>
        <w:t xml:space="preserve">amount </w:t>
      </w:r>
      <w:r w:rsidR="00DF4F01">
        <w:t>from the calculation of</w:t>
      </w:r>
      <w:r>
        <w:t xml:space="preserve"> the six-year average in the Company’s filing, referring to the </w:t>
      </w:r>
      <w:r w:rsidR="00202E2A">
        <w:t xml:space="preserve">2012 </w:t>
      </w:r>
      <w:r>
        <w:t xml:space="preserve">expense </w:t>
      </w:r>
      <w:r w:rsidR="00643AD5">
        <w:t xml:space="preserve">amount </w:t>
      </w:r>
      <w:r>
        <w:t xml:space="preserve">as an </w:t>
      </w:r>
      <w:r w:rsidR="00202E2A">
        <w:t>“</w:t>
      </w:r>
      <w:r>
        <w:t>anomaly</w:t>
      </w:r>
      <w:r w:rsidR="00202E2A">
        <w:t>”</w:t>
      </w:r>
      <w:r>
        <w:t xml:space="preserve"> due to the </w:t>
      </w:r>
      <w:r w:rsidR="00F15E7C">
        <w:t>above-</w:t>
      </w:r>
      <w:r>
        <w:t>average amount recorded.</w:t>
      </w:r>
      <w:r w:rsidR="00295604">
        <w:rPr>
          <w:rStyle w:val="FootnoteReference"/>
        </w:rPr>
        <w:footnoteReference w:id="6"/>
      </w:r>
      <w:r>
        <w:t xml:space="preserve">  </w:t>
      </w:r>
      <w:r w:rsidR="00DA4095">
        <w:t xml:space="preserve">Public Counsel also questions whether the two incidents are appropriately allocated to Washington.  </w:t>
      </w:r>
      <w:r>
        <w:t>The amount not covered by insurance for each of these incidents is $10</w:t>
      </w:r>
      <w:r w:rsidR="001F1F45">
        <w:t xml:space="preserve"> </w:t>
      </w:r>
      <w:r>
        <w:t>m</w:t>
      </w:r>
      <w:r w:rsidR="001F1F45">
        <w:t>illion</w:t>
      </w:r>
      <w:r>
        <w:t xml:space="preserve">. </w:t>
      </w:r>
      <w:r w:rsidR="00DF4F01">
        <w:t xml:space="preserve"> </w:t>
      </w:r>
      <w:r>
        <w:t xml:space="preserve">Therefore, </w:t>
      </w:r>
      <w:r w:rsidR="00406D9A">
        <w:t>Public Counsel recommends</w:t>
      </w:r>
      <w:r>
        <w:t xml:space="preserve"> excluding $20</w:t>
      </w:r>
      <w:r w:rsidR="001F1F45">
        <w:t xml:space="preserve"> </w:t>
      </w:r>
      <w:r>
        <w:t>m</w:t>
      </w:r>
      <w:r w:rsidR="001F1F45">
        <w:t>illion</w:t>
      </w:r>
      <w:r w:rsidR="00643AD5">
        <w:t xml:space="preserve"> (</w:t>
      </w:r>
      <w:r w:rsidR="00202E2A">
        <w:t xml:space="preserve">on a </w:t>
      </w:r>
      <w:r w:rsidR="00643AD5">
        <w:t>total</w:t>
      </w:r>
      <w:r w:rsidR="00202E2A">
        <w:t>-</w:t>
      </w:r>
      <w:r w:rsidR="00643AD5">
        <w:t>company basis)</w:t>
      </w:r>
      <w:r>
        <w:t xml:space="preserve"> from the 2012 insurance expense used to calculate the six-year average</w:t>
      </w:r>
      <w:r w:rsidR="00406D9A">
        <w:t>, resulting</w:t>
      </w:r>
      <w:r>
        <w:t xml:space="preserve"> in a decrease in </w:t>
      </w:r>
      <w:r w:rsidR="005E4BEC">
        <w:t xml:space="preserve">insurance </w:t>
      </w:r>
      <w:r>
        <w:t>expense of $3.3</w:t>
      </w:r>
      <w:r w:rsidR="001F1F45">
        <w:t xml:space="preserve"> </w:t>
      </w:r>
      <w:r>
        <w:t>m</w:t>
      </w:r>
      <w:r w:rsidR="001F1F45">
        <w:t>illion</w:t>
      </w:r>
      <w:r>
        <w:t xml:space="preserve"> on a total</w:t>
      </w:r>
      <w:r w:rsidR="00202E2A">
        <w:t>-</w:t>
      </w:r>
      <w:r w:rsidR="00643AD5">
        <w:t>c</w:t>
      </w:r>
      <w:r>
        <w:t>ompany basis</w:t>
      </w:r>
      <w:r w:rsidR="00B67265">
        <w:t xml:space="preserve">, </w:t>
      </w:r>
      <w:r w:rsidR="002D202F">
        <w:t xml:space="preserve">or </w:t>
      </w:r>
      <w:r w:rsidR="001715A9">
        <w:t xml:space="preserve">approximately </w:t>
      </w:r>
      <w:r w:rsidR="002D202F">
        <w:t>$228</w:t>
      </w:r>
      <w:r w:rsidR="001715A9">
        <w:t>,000</w:t>
      </w:r>
      <w:r w:rsidR="002D202F">
        <w:t xml:space="preserve"> on a Washington-allocated basis</w:t>
      </w:r>
      <w:r>
        <w:t xml:space="preserve">.  </w:t>
      </w:r>
    </w:p>
    <w:p w:rsidR="00C60165" w:rsidRDefault="00C60165" w:rsidP="000C470D">
      <w:pPr>
        <w:pStyle w:val="Question"/>
        <w:jc w:val="left"/>
      </w:pPr>
      <w:r>
        <w:t xml:space="preserve">Q.  </w:t>
      </w:r>
      <w:r>
        <w:tab/>
        <w:t xml:space="preserve">What is the Company’s response to the proposed adjustments to </w:t>
      </w:r>
      <w:r w:rsidR="00643AD5">
        <w:t>i</w:t>
      </w:r>
      <w:r>
        <w:t xml:space="preserve">nsurance </w:t>
      </w:r>
      <w:r w:rsidR="00643AD5">
        <w:t>e</w:t>
      </w:r>
      <w:r>
        <w:t>xpense?</w:t>
      </w:r>
    </w:p>
    <w:p w:rsidR="00DA4095" w:rsidRDefault="00C60165" w:rsidP="00903424">
      <w:pPr>
        <w:pStyle w:val="Answer"/>
        <w:jc w:val="left"/>
      </w:pPr>
      <w:r>
        <w:t xml:space="preserve">A.  </w:t>
      </w:r>
      <w:r>
        <w:tab/>
        <w:t xml:space="preserve">Both Public Counsel and Staff’s arguments suffer </w:t>
      </w:r>
      <w:r w:rsidR="00F15E7C">
        <w:t xml:space="preserve">from </w:t>
      </w:r>
      <w:r>
        <w:t xml:space="preserve">the same </w:t>
      </w:r>
      <w:r w:rsidR="00643AD5">
        <w:t>methodological flaws</w:t>
      </w:r>
      <w:r>
        <w:t xml:space="preserve">.  While it is </w:t>
      </w:r>
      <w:r w:rsidR="00406D9A">
        <w:t xml:space="preserve">true </w:t>
      </w:r>
      <w:r>
        <w:t xml:space="preserve">that </w:t>
      </w:r>
      <w:r w:rsidR="00406D9A">
        <w:t xml:space="preserve">the </w:t>
      </w:r>
      <w:r>
        <w:t>2012 expense</w:t>
      </w:r>
      <w:r w:rsidR="004B1C87">
        <w:t xml:space="preserve"> </w:t>
      </w:r>
      <w:r w:rsidR="00406D9A">
        <w:t xml:space="preserve">level </w:t>
      </w:r>
      <w:r w:rsidR="00643AD5">
        <w:t xml:space="preserve">represents a higher level of expense than </w:t>
      </w:r>
      <w:r>
        <w:t>other year</w:t>
      </w:r>
      <w:r w:rsidR="00643AD5">
        <w:t>s used in the six-year average</w:t>
      </w:r>
      <w:r>
        <w:t xml:space="preserve">, this does not automatically </w:t>
      </w:r>
      <w:r w:rsidR="00F15E7C">
        <w:t xml:space="preserve">classify </w:t>
      </w:r>
      <w:r w:rsidR="004B1C87">
        <w:t>it</w:t>
      </w:r>
      <w:r>
        <w:t xml:space="preserve"> </w:t>
      </w:r>
      <w:r w:rsidR="00F15E7C">
        <w:t xml:space="preserve">as </w:t>
      </w:r>
      <w:r>
        <w:t xml:space="preserve">an anomaly to be excluded.  As </w:t>
      </w:r>
      <w:r w:rsidR="00D508EA">
        <w:t>Public Counsel</w:t>
      </w:r>
      <w:r>
        <w:t xml:space="preserve"> state</w:t>
      </w:r>
      <w:r w:rsidR="00DA4095">
        <w:t>s</w:t>
      </w:r>
      <w:r>
        <w:t>,</w:t>
      </w:r>
      <w:r w:rsidR="00202E2A">
        <w:t xml:space="preserve"> “</w:t>
      </w:r>
      <w:r>
        <w:t xml:space="preserve">the use of an average is </w:t>
      </w:r>
      <w:r w:rsidRPr="00A65B51">
        <w:t>meant to normalize the costs that may have a high degree of variability from year-to-year</w:t>
      </w:r>
      <w:r w:rsidRPr="00643AD5">
        <w:t>.</w:t>
      </w:r>
      <w:r>
        <w:t>”</w:t>
      </w:r>
      <w:r w:rsidR="004B1C87">
        <w:rPr>
          <w:rStyle w:val="FootnoteReference"/>
        </w:rPr>
        <w:footnoteReference w:id="7"/>
      </w:r>
      <w:r>
        <w:t xml:space="preserve"> </w:t>
      </w:r>
      <w:r w:rsidR="00643AD5">
        <w:t xml:space="preserve"> </w:t>
      </w:r>
      <w:r>
        <w:t xml:space="preserve">To exclude any amount from the average </w:t>
      </w:r>
      <w:r w:rsidR="00202E2A">
        <w:t>because it is allegedly</w:t>
      </w:r>
      <w:r>
        <w:t xml:space="preserve"> “too high” goes against the </w:t>
      </w:r>
      <w:r w:rsidR="00643AD5">
        <w:t xml:space="preserve">purpose </w:t>
      </w:r>
      <w:r>
        <w:t xml:space="preserve">of </w:t>
      </w:r>
      <w:r w:rsidR="00F15E7C">
        <w:t>using</w:t>
      </w:r>
      <w:r>
        <w:t xml:space="preserve"> an average in the first place.  </w:t>
      </w:r>
      <w:r w:rsidR="00D508EA">
        <w:t>A</w:t>
      </w:r>
      <w:r>
        <w:t xml:space="preserve">rbitrarily removing years or events from </w:t>
      </w:r>
      <w:r w:rsidR="00D508EA">
        <w:t>the</w:t>
      </w:r>
      <w:r>
        <w:t xml:space="preserve"> six-year</w:t>
      </w:r>
      <w:r w:rsidR="00202E2A">
        <w:t>-</w:t>
      </w:r>
      <w:r>
        <w:t xml:space="preserve">average calculation </w:t>
      </w:r>
      <w:r w:rsidR="00D508EA">
        <w:t>denies</w:t>
      </w:r>
      <w:r>
        <w:t xml:space="preserve"> the Company the </w:t>
      </w:r>
      <w:r w:rsidR="00D508EA">
        <w:t xml:space="preserve">opportunity to </w:t>
      </w:r>
      <w:r>
        <w:t xml:space="preserve">recover costs </w:t>
      </w:r>
      <w:r w:rsidR="00D508EA">
        <w:t>of</w:t>
      </w:r>
      <w:r>
        <w:t xml:space="preserve"> damages from incidents that inevitably arise.</w:t>
      </w:r>
      <w:r w:rsidRPr="005E7EA2">
        <w:t xml:space="preserve"> </w:t>
      </w:r>
      <w:r w:rsidR="004C196A">
        <w:t xml:space="preserve"> </w:t>
      </w:r>
      <w:r w:rsidR="00D508EA">
        <w:t>The Company contests Public Counsel</w:t>
      </w:r>
      <w:r w:rsidR="00202E2A">
        <w:t>’s</w:t>
      </w:r>
      <w:r w:rsidR="00D508EA">
        <w:t xml:space="preserve"> and Staff’s recommendation</w:t>
      </w:r>
      <w:r w:rsidR="0085448E">
        <w:t>s</w:t>
      </w:r>
      <w:r w:rsidR="00D508EA">
        <w:t xml:space="preserve"> to subjectively choose</w:t>
      </w:r>
      <w:r>
        <w:t xml:space="preserve"> </w:t>
      </w:r>
      <w:r w:rsidR="005E4BEC">
        <w:t>the elements of</w:t>
      </w:r>
      <w:r>
        <w:t xml:space="preserve"> </w:t>
      </w:r>
      <w:r w:rsidR="00202E2A">
        <w:t xml:space="preserve">insurance </w:t>
      </w:r>
      <w:r>
        <w:t>expense to include in the six-year</w:t>
      </w:r>
      <w:r w:rsidR="00202E2A">
        <w:t>-</w:t>
      </w:r>
      <w:r>
        <w:t>average calculation</w:t>
      </w:r>
      <w:r w:rsidR="00D508EA">
        <w:t>.</w:t>
      </w:r>
      <w:r w:rsidR="00D508EA" w:rsidDel="00D508EA">
        <w:t xml:space="preserve"> </w:t>
      </w:r>
    </w:p>
    <w:p w:rsidR="00C60165" w:rsidRDefault="00C60165" w:rsidP="00903424">
      <w:pPr>
        <w:pStyle w:val="Answer"/>
        <w:ind w:firstLine="720"/>
        <w:jc w:val="left"/>
      </w:pPr>
      <w:r>
        <w:t xml:space="preserve">The Company’s </w:t>
      </w:r>
      <w:r w:rsidR="00B9046A">
        <w:t>proposal appropriately</w:t>
      </w:r>
      <w:r>
        <w:t xml:space="preserve"> normalizes the variability in insurance expense over a reasonable period without impairing the Company’s ability to recover prudently</w:t>
      </w:r>
      <w:r w:rsidR="00202E2A">
        <w:t xml:space="preserve"> </w:t>
      </w:r>
      <w:r>
        <w:t>incurred costs.  There is no justifiable reason to further alter this average.</w:t>
      </w:r>
      <w:r w:rsidR="00B9046A">
        <w:t xml:space="preserve">  Further, Staff</w:t>
      </w:r>
      <w:r w:rsidR="005F0889">
        <w:t>’s</w:t>
      </w:r>
      <w:r w:rsidR="00B9046A">
        <w:t xml:space="preserve"> and Public Counsel’s positions do not provide a more accurate calculation of costs</w:t>
      </w:r>
      <w:r w:rsidR="00B9046A" w:rsidRPr="00B9046A">
        <w:t xml:space="preserve"> </w:t>
      </w:r>
      <w:r w:rsidR="00B9046A">
        <w:t xml:space="preserve">anticipated </w:t>
      </w:r>
      <w:r w:rsidR="005F0889">
        <w:t>in the</w:t>
      </w:r>
      <w:r w:rsidR="00B9046A">
        <w:t xml:space="preserve"> rate-effective period.  </w:t>
      </w:r>
    </w:p>
    <w:p w:rsidR="00DA4095" w:rsidRDefault="00DA4095" w:rsidP="00903424">
      <w:pPr>
        <w:pStyle w:val="Answer"/>
        <w:ind w:firstLine="720"/>
        <w:jc w:val="left"/>
      </w:pPr>
      <w:r>
        <w:t xml:space="preserve">In addition, </w:t>
      </w:r>
      <w:r w:rsidR="005F0889">
        <w:t xml:space="preserve">contrary to Public Counsel’s assertions, </w:t>
      </w:r>
      <w:r>
        <w:t xml:space="preserve">the </w:t>
      </w:r>
      <w:r w:rsidR="00131919">
        <w:t>Company</w:t>
      </w:r>
      <w:r w:rsidR="005F0889">
        <w:t xml:space="preserve"> appropriately allocated insurance expense using the System Overhead (SO) factor </w:t>
      </w:r>
      <w:r w:rsidR="004513F6">
        <w:t xml:space="preserve">consistent with </w:t>
      </w:r>
      <w:r w:rsidR="005F0889">
        <w:t xml:space="preserve">the </w:t>
      </w:r>
      <w:r w:rsidR="00B9046A">
        <w:t>currently approved WCA</w:t>
      </w:r>
      <w:r w:rsidR="001B2703">
        <w:t>.</w:t>
      </w:r>
      <w:r w:rsidR="00131919">
        <w:t xml:space="preserve">  </w:t>
      </w:r>
    </w:p>
    <w:p w:rsidR="00272AAF" w:rsidRPr="00AF4ACA" w:rsidRDefault="00272AAF" w:rsidP="00903424">
      <w:pPr>
        <w:pStyle w:val="Heading2"/>
        <w:jc w:val="left"/>
      </w:pPr>
      <w:bookmarkStart w:id="8" w:name="_Toc403718435"/>
      <w:r w:rsidRPr="00AF4ACA">
        <w:t>Legal Expenses</w:t>
      </w:r>
      <w:bookmarkEnd w:id="8"/>
    </w:p>
    <w:p w:rsidR="00272AAF" w:rsidRPr="005B1C34" w:rsidRDefault="00272AAF" w:rsidP="000C470D">
      <w:pPr>
        <w:pStyle w:val="Question"/>
        <w:jc w:val="left"/>
        <w:rPr>
          <w:rStyle w:val="Strong"/>
          <w:b/>
        </w:rPr>
      </w:pPr>
      <w:r w:rsidRPr="005B1C34">
        <w:rPr>
          <w:rStyle w:val="Strong"/>
          <w:b/>
        </w:rPr>
        <w:t>Q.</w:t>
      </w:r>
      <w:r w:rsidRPr="005B1C34">
        <w:rPr>
          <w:rStyle w:val="Strong"/>
          <w:b/>
        </w:rPr>
        <w:tab/>
      </w:r>
      <w:r>
        <w:rPr>
          <w:rStyle w:val="Strong"/>
          <w:b/>
        </w:rPr>
        <w:t xml:space="preserve">Please describe </w:t>
      </w:r>
      <w:r w:rsidR="002C5CA1">
        <w:rPr>
          <w:rStyle w:val="Strong"/>
          <w:b/>
        </w:rPr>
        <w:t>r</w:t>
      </w:r>
      <w:r>
        <w:rPr>
          <w:rStyle w:val="Strong"/>
          <w:b/>
        </w:rPr>
        <w:t xml:space="preserve">evised </w:t>
      </w:r>
      <w:r w:rsidR="004953BF">
        <w:rPr>
          <w:rStyle w:val="Strong"/>
          <w:b/>
        </w:rPr>
        <w:t>a</w:t>
      </w:r>
      <w:r>
        <w:rPr>
          <w:rStyle w:val="Strong"/>
          <w:b/>
        </w:rPr>
        <w:t>djustment 4.11</w:t>
      </w:r>
      <w:r w:rsidR="004953BF">
        <w:rPr>
          <w:rStyle w:val="Strong"/>
          <w:b/>
        </w:rPr>
        <w:t xml:space="preserve"> (</w:t>
      </w:r>
      <w:r>
        <w:rPr>
          <w:rStyle w:val="Strong"/>
          <w:b/>
        </w:rPr>
        <w:t>Legal Expenses</w:t>
      </w:r>
      <w:r w:rsidR="004953BF">
        <w:rPr>
          <w:rStyle w:val="Strong"/>
          <w:b/>
        </w:rPr>
        <w:t>)</w:t>
      </w:r>
      <w:r>
        <w:rPr>
          <w:rStyle w:val="Strong"/>
          <w:b/>
        </w:rPr>
        <w:t>.</w:t>
      </w:r>
    </w:p>
    <w:p w:rsidR="00272AAF" w:rsidRPr="005E7EA2" w:rsidRDefault="00272AAF" w:rsidP="00903424">
      <w:pPr>
        <w:pStyle w:val="Answer"/>
        <w:jc w:val="left"/>
      </w:pPr>
      <w:r w:rsidRPr="00272AAF">
        <w:t>A.</w:t>
      </w:r>
      <w:r w:rsidRPr="00272AAF">
        <w:tab/>
      </w:r>
      <w:r w:rsidR="00B27D7F" w:rsidRPr="00901189">
        <w:t xml:space="preserve">It was the Company’s intent to exclude all costs related to the Wood Hollow fire </w:t>
      </w:r>
      <w:r w:rsidR="005E4BEC">
        <w:t>in this case</w:t>
      </w:r>
      <w:r w:rsidR="00B27D7F" w:rsidRPr="00901189">
        <w:t xml:space="preserve">.  </w:t>
      </w:r>
      <w:r w:rsidR="00103916" w:rsidRPr="00901189">
        <w:t xml:space="preserve">Through discovery, it was determined that </w:t>
      </w:r>
      <w:r w:rsidR="002C5CA1">
        <w:t xml:space="preserve">certain </w:t>
      </w:r>
      <w:r w:rsidR="00103916" w:rsidRPr="00901189">
        <w:t xml:space="preserve">legal expenses related </w:t>
      </w:r>
      <w:r w:rsidR="00250FF8" w:rsidRPr="00901189">
        <w:t xml:space="preserve">to </w:t>
      </w:r>
      <w:r w:rsidR="00B27D7F" w:rsidRPr="00F26C2D">
        <w:t>Wood Hollow</w:t>
      </w:r>
      <w:r w:rsidR="00B27D7F">
        <w:t xml:space="preserve"> were</w:t>
      </w:r>
      <w:r w:rsidR="00103916">
        <w:t xml:space="preserve"> inadvertently </w:t>
      </w:r>
      <w:r w:rsidR="002C5CA1">
        <w:t xml:space="preserve">included </w:t>
      </w:r>
      <w:r w:rsidR="00103916">
        <w:t>in</w:t>
      </w:r>
      <w:r w:rsidR="00901189">
        <w:t xml:space="preserve"> the case</w:t>
      </w:r>
      <w:r w:rsidR="00103916">
        <w:t xml:space="preserve">.  </w:t>
      </w:r>
      <w:r w:rsidR="00045A75">
        <w:t xml:space="preserve">As </w:t>
      </w:r>
      <w:r w:rsidR="005E4BEC">
        <w:t>mentioned</w:t>
      </w:r>
      <w:r w:rsidR="00045A75">
        <w:t xml:space="preserve"> in the Company’s response to </w:t>
      </w:r>
      <w:r w:rsidR="00045A75" w:rsidRPr="000522D0">
        <w:t xml:space="preserve">Boise </w:t>
      </w:r>
      <w:r w:rsidR="002C5CA1">
        <w:t xml:space="preserve">data </w:t>
      </w:r>
      <w:r w:rsidR="002C5CA1" w:rsidRPr="000522D0">
        <w:t xml:space="preserve">request </w:t>
      </w:r>
      <w:r w:rsidR="00045A75" w:rsidRPr="000522D0">
        <w:t>8.4, a</w:t>
      </w:r>
      <w:r w:rsidR="00045A75">
        <w:t xml:space="preserve"> correction to remove these legal expenses has been made as part of </w:t>
      </w:r>
      <w:r w:rsidR="002C5CA1">
        <w:t>r</w:t>
      </w:r>
      <w:r w:rsidR="00045A75">
        <w:t xml:space="preserve">evised </w:t>
      </w:r>
      <w:r w:rsidR="002C5CA1">
        <w:t>a</w:t>
      </w:r>
      <w:r w:rsidR="00045A75">
        <w:t xml:space="preserve">djustment 4.11.  </w:t>
      </w:r>
      <w:r w:rsidR="000522D0">
        <w:t xml:space="preserve">The corresponding </w:t>
      </w:r>
      <w:r w:rsidR="002C5CA1">
        <w:t xml:space="preserve">IHS Global Insight adjustment </w:t>
      </w:r>
      <w:r w:rsidR="000522D0">
        <w:t xml:space="preserve">impact of making this correction is reflected in the Company’s </w:t>
      </w:r>
      <w:r w:rsidR="002C5CA1">
        <w:t>r</w:t>
      </w:r>
      <w:r w:rsidR="000522D0">
        <w:t xml:space="preserve">evised </w:t>
      </w:r>
      <w:r w:rsidR="00D65841">
        <w:t>a</w:t>
      </w:r>
      <w:r w:rsidR="000522D0">
        <w:t>djustment 4.13, discussed later in my testimony.</w:t>
      </w:r>
    </w:p>
    <w:p w:rsidR="00C60165" w:rsidRDefault="00C60165" w:rsidP="00903424">
      <w:pPr>
        <w:pStyle w:val="Heading2"/>
        <w:jc w:val="left"/>
      </w:pPr>
      <w:bookmarkStart w:id="9" w:name="_Toc403718436"/>
      <w:r>
        <w:t>Collection Agency F</w:t>
      </w:r>
      <w:r w:rsidR="00391699">
        <w:t>ees</w:t>
      </w:r>
      <w:bookmarkEnd w:id="9"/>
    </w:p>
    <w:p w:rsidR="00272AAF" w:rsidRPr="005B1C34" w:rsidRDefault="00272AAF" w:rsidP="000C470D">
      <w:pPr>
        <w:pStyle w:val="Question"/>
        <w:jc w:val="left"/>
        <w:rPr>
          <w:rStyle w:val="Strong"/>
          <w:b/>
        </w:rPr>
      </w:pPr>
      <w:r w:rsidRPr="005B1C34">
        <w:rPr>
          <w:rStyle w:val="Strong"/>
          <w:b/>
        </w:rPr>
        <w:t>Q.</w:t>
      </w:r>
      <w:r w:rsidRPr="005B1C34">
        <w:rPr>
          <w:rStyle w:val="Strong"/>
          <w:b/>
        </w:rPr>
        <w:tab/>
      </w:r>
      <w:r w:rsidR="00D65841">
        <w:rPr>
          <w:rStyle w:val="Strong"/>
          <w:b/>
        </w:rPr>
        <w:t>Did</w:t>
      </w:r>
      <w:r>
        <w:rPr>
          <w:rStyle w:val="Strong"/>
          <w:b/>
        </w:rPr>
        <w:t xml:space="preserve"> the Company ma</w:t>
      </w:r>
      <w:r w:rsidR="00D65841">
        <w:rPr>
          <w:rStyle w:val="Strong"/>
          <w:b/>
        </w:rPr>
        <w:t>k</w:t>
      </w:r>
      <w:r>
        <w:rPr>
          <w:rStyle w:val="Strong"/>
          <w:b/>
        </w:rPr>
        <w:t xml:space="preserve">e any revisions to the </w:t>
      </w:r>
      <w:r w:rsidR="0075355E">
        <w:rPr>
          <w:rStyle w:val="Strong"/>
          <w:b/>
        </w:rPr>
        <w:t xml:space="preserve">adjustment for </w:t>
      </w:r>
      <w:r>
        <w:rPr>
          <w:rStyle w:val="Strong"/>
          <w:b/>
        </w:rPr>
        <w:t>Collection Agency Fees</w:t>
      </w:r>
      <w:r w:rsidRPr="005B1C34">
        <w:rPr>
          <w:rStyle w:val="Strong"/>
          <w:b/>
        </w:rPr>
        <w:t>?</w:t>
      </w:r>
    </w:p>
    <w:p w:rsidR="00272AAF" w:rsidRDefault="00272AAF" w:rsidP="00903424">
      <w:pPr>
        <w:pStyle w:val="Answer"/>
        <w:jc w:val="left"/>
      </w:pPr>
      <w:r w:rsidRPr="00272AAF">
        <w:t>A.</w:t>
      </w:r>
      <w:r w:rsidRPr="00272AAF">
        <w:tab/>
        <w:t xml:space="preserve">Yes, </w:t>
      </w:r>
      <w:r>
        <w:t>as discussed</w:t>
      </w:r>
      <w:r w:rsidRPr="00272AAF">
        <w:t xml:space="preserve"> in Ms. </w:t>
      </w:r>
      <w:r w:rsidR="00620F37">
        <w:t>Steward</w:t>
      </w:r>
      <w:r w:rsidR="00620F37" w:rsidRPr="00272AAF">
        <w:t xml:space="preserve">’s </w:t>
      </w:r>
      <w:r w:rsidRPr="00272AAF">
        <w:t xml:space="preserve">rebuttal testimony, </w:t>
      </w:r>
      <w:r>
        <w:t xml:space="preserve">the Company is no longer proposing changes to </w:t>
      </w:r>
      <w:r w:rsidR="0075355E">
        <w:t xml:space="preserve">its approach to recovering </w:t>
      </w:r>
      <w:r w:rsidR="002C5CA1">
        <w:t>c</w:t>
      </w:r>
      <w:r>
        <w:t xml:space="preserve">ollection </w:t>
      </w:r>
      <w:r w:rsidR="002C5CA1">
        <w:t>a</w:t>
      </w:r>
      <w:r>
        <w:t xml:space="preserve">gency </w:t>
      </w:r>
      <w:r w:rsidR="002C5CA1">
        <w:t>f</w:t>
      </w:r>
      <w:r>
        <w:t xml:space="preserve">ees.  Accordingly, </w:t>
      </w:r>
      <w:r w:rsidR="002C5CA1">
        <w:t>r</w:t>
      </w:r>
      <w:r>
        <w:t xml:space="preserve">evised </w:t>
      </w:r>
      <w:r w:rsidR="00D65841">
        <w:t>a</w:t>
      </w:r>
      <w:r>
        <w:t>djustment 4.12</w:t>
      </w:r>
      <w:r w:rsidR="00D65841">
        <w:t xml:space="preserve"> (</w:t>
      </w:r>
      <w:r w:rsidR="00660998">
        <w:t>Collection Agency Fees</w:t>
      </w:r>
      <w:r w:rsidR="00D65841">
        <w:t>)</w:t>
      </w:r>
      <w:r w:rsidR="00660998">
        <w:t xml:space="preserve"> </w:t>
      </w:r>
      <w:r>
        <w:t>remov</w:t>
      </w:r>
      <w:r w:rsidR="004513F6">
        <w:t>es</w:t>
      </w:r>
      <w:r>
        <w:t xml:space="preserve"> the adjustment from the Company’s revenue requirement calculation</w:t>
      </w:r>
      <w:r w:rsidR="00F15E7C">
        <w:t xml:space="preserve">, resulting in a </w:t>
      </w:r>
      <w:r w:rsidR="004513F6">
        <w:t xml:space="preserve">revenue requirement </w:t>
      </w:r>
      <w:r w:rsidR="00F15E7C">
        <w:t xml:space="preserve">increase of </w:t>
      </w:r>
      <w:r w:rsidR="005E4BEC">
        <w:t xml:space="preserve">approximately </w:t>
      </w:r>
      <w:r w:rsidR="00F15E7C">
        <w:t>$44</w:t>
      </w:r>
      <w:r w:rsidR="005E4BEC">
        <w:t>,000</w:t>
      </w:r>
      <w:r w:rsidR="00F15E7C">
        <w:t>.</w:t>
      </w:r>
    </w:p>
    <w:p w:rsidR="008A0C86" w:rsidRPr="00272AAF" w:rsidRDefault="008A0C86" w:rsidP="008A0C86">
      <w:pPr>
        <w:pStyle w:val="Answer"/>
        <w:suppressLineNumbers/>
        <w:jc w:val="left"/>
      </w:pPr>
    </w:p>
    <w:p w:rsidR="00381B18" w:rsidRDefault="00EC477D" w:rsidP="00903424">
      <w:pPr>
        <w:pStyle w:val="Heading2"/>
        <w:jc w:val="left"/>
      </w:pPr>
      <w:bookmarkStart w:id="10" w:name="_Toc403718437"/>
      <w:r>
        <w:t xml:space="preserve">IHS </w:t>
      </w:r>
      <w:r w:rsidR="00391699">
        <w:t xml:space="preserve">Global Insight </w:t>
      </w:r>
      <w:r w:rsidR="001D3236">
        <w:t>Escalation Adjustment</w:t>
      </w:r>
      <w:bookmarkEnd w:id="10"/>
    </w:p>
    <w:p w:rsidR="001D3236" w:rsidRPr="005B1C34" w:rsidRDefault="001D3236" w:rsidP="000C470D">
      <w:pPr>
        <w:pStyle w:val="Question"/>
        <w:jc w:val="left"/>
        <w:rPr>
          <w:rStyle w:val="Strong"/>
          <w:b/>
        </w:rPr>
      </w:pPr>
      <w:r w:rsidRPr="005B1C34">
        <w:rPr>
          <w:rStyle w:val="Strong"/>
          <w:b/>
        </w:rPr>
        <w:t>Q.</w:t>
      </w:r>
      <w:r w:rsidRPr="005B1C34">
        <w:rPr>
          <w:rStyle w:val="Strong"/>
          <w:b/>
        </w:rPr>
        <w:tab/>
      </w:r>
      <w:r w:rsidR="00EC477D">
        <w:rPr>
          <w:rStyle w:val="Strong"/>
          <w:b/>
        </w:rPr>
        <w:t xml:space="preserve">Is the Company making any modifications to </w:t>
      </w:r>
      <w:r w:rsidR="00D65841">
        <w:rPr>
          <w:rStyle w:val="Strong"/>
          <w:b/>
        </w:rPr>
        <w:t>a</w:t>
      </w:r>
      <w:r w:rsidR="00EC477D">
        <w:rPr>
          <w:rStyle w:val="Strong"/>
          <w:b/>
        </w:rPr>
        <w:t>djustment 4.13</w:t>
      </w:r>
      <w:r w:rsidR="00D65841">
        <w:rPr>
          <w:rStyle w:val="Strong"/>
          <w:b/>
        </w:rPr>
        <w:t xml:space="preserve"> (</w:t>
      </w:r>
      <w:r w:rsidR="00EC477D">
        <w:rPr>
          <w:rStyle w:val="Strong"/>
          <w:b/>
        </w:rPr>
        <w:t>IHS Global Insight Escalation</w:t>
      </w:r>
      <w:r w:rsidR="00D65841">
        <w:rPr>
          <w:rStyle w:val="Strong"/>
          <w:b/>
        </w:rPr>
        <w:t>)</w:t>
      </w:r>
      <w:r w:rsidRPr="005B1C34">
        <w:rPr>
          <w:rStyle w:val="Strong"/>
          <w:b/>
        </w:rPr>
        <w:t>?</w:t>
      </w:r>
    </w:p>
    <w:p w:rsidR="002D202F" w:rsidRDefault="001D3236" w:rsidP="00903424">
      <w:pPr>
        <w:pStyle w:val="Answer"/>
        <w:jc w:val="left"/>
      </w:pPr>
      <w:r w:rsidRPr="001D3236">
        <w:t>A.</w:t>
      </w:r>
      <w:r w:rsidRPr="001D3236">
        <w:tab/>
      </w:r>
      <w:r w:rsidR="00EC477D">
        <w:t>The Company</w:t>
      </w:r>
      <w:r w:rsidR="00410086">
        <w:t xml:space="preserve"> continue</w:t>
      </w:r>
      <w:r w:rsidR="00EC477D">
        <w:t>s</w:t>
      </w:r>
      <w:r w:rsidR="00410086">
        <w:t xml:space="preserve"> to support this adjustment</w:t>
      </w:r>
      <w:r w:rsidR="00EC477D">
        <w:t xml:space="preserve"> </w:t>
      </w:r>
      <w:r w:rsidR="002D202F">
        <w:t xml:space="preserve">as explained in </w:t>
      </w:r>
      <w:r w:rsidR="00EC477D">
        <w:t xml:space="preserve">Mr. </w:t>
      </w:r>
      <w:r w:rsidR="00CD7EFA">
        <w:t xml:space="preserve">R. Bryce </w:t>
      </w:r>
      <w:r w:rsidR="00EC477D">
        <w:t>Dalley’s rebuttal testimony.</w:t>
      </w:r>
      <w:r w:rsidR="00410086">
        <w:t xml:space="preserve"> </w:t>
      </w:r>
      <w:r w:rsidR="00EC477D">
        <w:t xml:space="preserve"> </w:t>
      </w:r>
    </w:p>
    <w:p w:rsidR="00391699" w:rsidRDefault="00660998" w:rsidP="00903424">
      <w:pPr>
        <w:pStyle w:val="Answer"/>
        <w:ind w:firstLine="720"/>
        <w:jc w:val="left"/>
      </w:pPr>
      <w:r>
        <w:t>A</w:t>
      </w:r>
      <w:r w:rsidR="00EC477D">
        <w:t xml:space="preserve"> </w:t>
      </w:r>
      <w:r w:rsidR="0085448E">
        <w:t>minor</w:t>
      </w:r>
      <w:r w:rsidR="00E927DE">
        <w:t xml:space="preserve"> </w:t>
      </w:r>
      <w:r w:rsidR="00F15E7C">
        <w:t xml:space="preserve">change </w:t>
      </w:r>
      <w:r w:rsidR="00EC477D">
        <w:t xml:space="preserve">has been made in </w:t>
      </w:r>
      <w:r w:rsidR="004953BF">
        <w:t>r</w:t>
      </w:r>
      <w:r w:rsidR="00EC477D">
        <w:t xml:space="preserve">evised </w:t>
      </w:r>
      <w:r w:rsidR="004953BF">
        <w:t>a</w:t>
      </w:r>
      <w:r w:rsidR="00EC477D">
        <w:t>djustment 4.13</w:t>
      </w:r>
      <w:r w:rsidR="004953BF">
        <w:t xml:space="preserve"> (</w:t>
      </w:r>
      <w:r>
        <w:t>IHS Global Insight Escalation</w:t>
      </w:r>
      <w:r w:rsidR="004953BF">
        <w:t>)</w:t>
      </w:r>
      <w:r>
        <w:t xml:space="preserve"> </w:t>
      </w:r>
      <w:r w:rsidR="00E927DE">
        <w:t xml:space="preserve">to reflect </w:t>
      </w:r>
      <w:r w:rsidR="00211DCC">
        <w:t>the</w:t>
      </w:r>
      <w:r>
        <w:t xml:space="preserve"> corresponding change </w:t>
      </w:r>
      <w:r w:rsidR="00211DCC">
        <w:t>resulting from</w:t>
      </w:r>
      <w:r>
        <w:t xml:space="preserve"> the legal fees </w:t>
      </w:r>
      <w:r w:rsidR="00E927DE">
        <w:t>correction</w:t>
      </w:r>
      <w:r w:rsidR="00EC477D">
        <w:t xml:space="preserve"> discussed earlier in my testimony.  The</w:t>
      </w:r>
      <w:r w:rsidR="00963919">
        <w:t xml:space="preserve"> impact of this correction is a reduction of </w:t>
      </w:r>
      <w:r w:rsidR="001715A9">
        <w:t xml:space="preserve">approximately </w:t>
      </w:r>
      <w:r w:rsidR="00963919">
        <w:t>$</w:t>
      </w:r>
      <w:r w:rsidR="007A70CD">
        <w:t>7,000</w:t>
      </w:r>
      <w:r w:rsidR="00963919">
        <w:t xml:space="preserve"> in revenue requirement.</w:t>
      </w:r>
    </w:p>
    <w:p w:rsidR="00391699" w:rsidRDefault="00391699" w:rsidP="0037593A">
      <w:pPr>
        <w:pStyle w:val="Heading1"/>
        <w:jc w:val="center"/>
      </w:pPr>
      <w:bookmarkStart w:id="11" w:name="_Toc403718438"/>
      <w:r>
        <w:t>Net Power Costs</w:t>
      </w:r>
      <w:bookmarkEnd w:id="11"/>
    </w:p>
    <w:p w:rsidR="00146C12" w:rsidRPr="00146C12" w:rsidRDefault="00146C12" w:rsidP="00A65B51">
      <w:pPr>
        <w:pStyle w:val="Heading2"/>
        <w:jc w:val="left"/>
      </w:pPr>
      <w:bookmarkStart w:id="12" w:name="_Toc403718439"/>
      <w:r>
        <w:t>Net Power Cost Update</w:t>
      </w:r>
      <w:bookmarkEnd w:id="12"/>
    </w:p>
    <w:p w:rsidR="009C7253" w:rsidRDefault="009C7253" w:rsidP="000C470D">
      <w:pPr>
        <w:pStyle w:val="Answer"/>
        <w:jc w:val="left"/>
        <w:rPr>
          <w:b/>
        </w:rPr>
      </w:pPr>
      <w:r w:rsidRPr="00511D0A">
        <w:rPr>
          <w:b/>
        </w:rPr>
        <w:t>Q.</w:t>
      </w:r>
      <w:r w:rsidRPr="00511D0A">
        <w:rPr>
          <w:b/>
        </w:rPr>
        <w:tab/>
      </w:r>
      <w:r>
        <w:rPr>
          <w:b/>
        </w:rPr>
        <w:t>Please describe the Company’s rebuttal adjustment associated with net power costs.</w:t>
      </w:r>
    </w:p>
    <w:p w:rsidR="009C7253" w:rsidRDefault="009C7253" w:rsidP="000C470D">
      <w:pPr>
        <w:pStyle w:val="Answer"/>
        <w:jc w:val="left"/>
      </w:pPr>
      <w:r>
        <w:t>A.</w:t>
      </w:r>
      <w:r>
        <w:tab/>
        <w:t xml:space="preserve">As outlined in the </w:t>
      </w:r>
      <w:r w:rsidR="001F1F45">
        <w:t xml:space="preserve">rebuttal </w:t>
      </w:r>
      <w:r>
        <w:t xml:space="preserve">testimony of Mr. </w:t>
      </w:r>
      <w:r w:rsidR="003A6B2A">
        <w:t xml:space="preserve">Gregory N. </w:t>
      </w:r>
      <w:r>
        <w:t>Duvall, the Company has update</w:t>
      </w:r>
      <w:r w:rsidR="00782321">
        <w:t>d</w:t>
      </w:r>
      <w:r>
        <w:t xml:space="preserve"> net power costs (NPC).  These changes are reflected in </w:t>
      </w:r>
      <w:r w:rsidR="004953BF">
        <w:t>r</w:t>
      </w:r>
      <w:r>
        <w:t xml:space="preserve">evised </w:t>
      </w:r>
      <w:r w:rsidR="004953BF">
        <w:t>a</w:t>
      </w:r>
      <w:r>
        <w:t>djustment 5.1.1</w:t>
      </w:r>
      <w:r w:rsidR="004953BF">
        <w:t xml:space="preserve"> (</w:t>
      </w:r>
      <w:r w:rsidR="00782321">
        <w:t>Net Power Costs Pro Forma</w:t>
      </w:r>
      <w:r w:rsidR="004953BF">
        <w:t>)</w:t>
      </w:r>
      <w:r>
        <w:t xml:space="preserve">.  This </w:t>
      </w:r>
      <w:r w:rsidR="001F1F45">
        <w:t>update</w:t>
      </w:r>
      <w:r>
        <w:t xml:space="preserve"> </w:t>
      </w:r>
      <w:r w:rsidR="001F1F45">
        <w:t>increases</w:t>
      </w:r>
      <w:r>
        <w:t xml:space="preserve"> Washington’s revenue requirement by approximately </w:t>
      </w:r>
      <w:r w:rsidR="001F1F45">
        <w:t>$5.7 million</w:t>
      </w:r>
      <w:r>
        <w:t xml:space="preserve">.  </w:t>
      </w:r>
    </w:p>
    <w:p w:rsidR="009C7253" w:rsidRDefault="0026439C" w:rsidP="00903424">
      <w:pPr>
        <w:pStyle w:val="Answer"/>
        <w:ind w:firstLine="720"/>
        <w:jc w:val="left"/>
      </w:pPr>
      <w:r>
        <w:t xml:space="preserve">In addition to the Company’s rebuttal update, the pro forma NPC has been revised to reflect the Company’s acceptance of Boise’s proposed </w:t>
      </w:r>
      <w:r w:rsidR="00B07119">
        <w:t xml:space="preserve">adjustment </w:t>
      </w:r>
      <w:r w:rsidR="00782321">
        <w:t xml:space="preserve">for the wheeling expenses related to network integration transmission service provided by the Bonneville Power </w:t>
      </w:r>
      <w:r w:rsidR="00F96628">
        <w:t>Administration</w:t>
      </w:r>
      <w:r>
        <w:t xml:space="preserve">, as discussed in more detail in Mr. Duvall’s rebuttal testimony.  </w:t>
      </w:r>
    </w:p>
    <w:p w:rsidR="00146C12" w:rsidRDefault="00146C12" w:rsidP="00903424">
      <w:pPr>
        <w:pStyle w:val="Heading2"/>
        <w:jc w:val="left"/>
      </w:pPr>
      <w:bookmarkStart w:id="13" w:name="_Toc403718440"/>
      <w:r>
        <w:t>Qualifying Facilities</w:t>
      </w:r>
      <w:bookmarkEnd w:id="13"/>
    </w:p>
    <w:p w:rsidR="00146C12" w:rsidRDefault="00146C12" w:rsidP="000C470D">
      <w:pPr>
        <w:pStyle w:val="Answer"/>
        <w:jc w:val="left"/>
        <w:rPr>
          <w:b/>
        </w:rPr>
      </w:pPr>
      <w:r w:rsidRPr="00511D0A">
        <w:rPr>
          <w:b/>
        </w:rPr>
        <w:t>Q.</w:t>
      </w:r>
      <w:r w:rsidRPr="00511D0A">
        <w:rPr>
          <w:b/>
        </w:rPr>
        <w:tab/>
      </w:r>
      <w:r w:rsidR="0026439C">
        <w:rPr>
          <w:b/>
        </w:rPr>
        <w:t>Did the</w:t>
      </w:r>
      <w:r w:rsidR="0038541C">
        <w:rPr>
          <w:b/>
        </w:rPr>
        <w:t xml:space="preserve"> Company </w:t>
      </w:r>
      <w:r w:rsidR="0026439C">
        <w:rPr>
          <w:b/>
        </w:rPr>
        <w:t xml:space="preserve">update Exhibit No. NCS-7, which was submitted with your initial testimony?  </w:t>
      </w:r>
    </w:p>
    <w:p w:rsidR="00391699" w:rsidRDefault="00146C12" w:rsidP="00903424">
      <w:pPr>
        <w:pStyle w:val="Answer"/>
        <w:jc w:val="left"/>
      </w:pPr>
      <w:r>
        <w:t>A.</w:t>
      </w:r>
      <w:r>
        <w:tab/>
      </w:r>
      <w:r w:rsidR="0026439C">
        <w:t>Yes.  Exhibit No. NCS-12 is an update to Exhibit No. NCS-</w:t>
      </w:r>
      <w:r w:rsidR="00E535AB">
        <w:t>7</w:t>
      </w:r>
      <w:r w:rsidR="0026439C">
        <w:t xml:space="preserve">.  This exhibit </w:t>
      </w:r>
      <w:r w:rsidR="004953BF">
        <w:t>provides a summary of the revenue requirement impacts of the Company’s primary and alternative proposals for the rate treatment of power purchase agreements with qualifying facilities located in California and Oregon</w:t>
      </w:r>
      <w:r w:rsidR="00091DA9">
        <w:t>.</w:t>
      </w:r>
      <w:r w:rsidR="004953BF">
        <w:t xml:space="preserve">  These proposals are discussed in more detail in Mr. Duvall’s direct and rebuttal testimonies.</w:t>
      </w:r>
    </w:p>
    <w:p w:rsidR="00146C12" w:rsidRDefault="00146C12" w:rsidP="0037593A">
      <w:pPr>
        <w:pStyle w:val="Heading1"/>
        <w:jc w:val="center"/>
      </w:pPr>
      <w:bookmarkStart w:id="14" w:name="_Toc403718441"/>
      <w:r>
        <w:t>Depreciation</w:t>
      </w:r>
      <w:bookmarkEnd w:id="14"/>
    </w:p>
    <w:p w:rsidR="000B676A" w:rsidRDefault="000B676A" w:rsidP="000C470D">
      <w:pPr>
        <w:pStyle w:val="Answer"/>
        <w:jc w:val="left"/>
        <w:rPr>
          <w:b/>
        </w:rPr>
      </w:pPr>
      <w:r w:rsidRPr="00511D0A">
        <w:rPr>
          <w:b/>
        </w:rPr>
        <w:t>Q.</w:t>
      </w:r>
      <w:r w:rsidRPr="00511D0A">
        <w:rPr>
          <w:b/>
        </w:rPr>
        <w:tab/>
      </w:r>
      <w:r w:rsidR="004953BF">
        <w:rPr>
          <w:b/>
        </w:rPr>
        <w:t>Did the Company make any revisions to adjustment 6.2?</w:t>
      </w:r>
    </w:p>
    <w:p w:rsidR="00502D23" w:rsidRDefault="000B676A" w:rsidP="00903424">
      <w:pPr>
        <w:pStyle w:val="Answer"/>
        <w:jc w:val="left"/>
      </w:pPr>
      <w:r w:rsidRPr="00353823">
        <w:t>A.</w:t>
      </w:r>
      <w:r w:rsidRPr="00353823">
        <w:tab/>
      </w:r>
      <w:r w:rsidR="004953BF">
        <w:t>Yes.</w:t>
      </w:r>
      <w:r w:rsidR="00D65841">
        <w:t xml:space="preserve"> </w:t>
      </w:r>
      <w:r w:rsidR="004953BF">
        <w:t xml:space="preserve"> </w:t>
      </w:r>
      <w:r w:rsidR="00353823" w:rsidRPr="00353823">
        <w:t xml:space="preserve">In the process of calculating rebuttal revenue requirement, the Company identified a formula error </w:t>
      </w:r>
      <w:r w:rsidR="00D65841">
        <w:t xml:space="preserve">in </w:t>
      </w:r>
      <w:r w:rsidR="004953BF">
        <w:t>a</w:t>
      </w:r>
      <w:r w:rsidR="00353823" w:rsidRPr="00353823">
        <w:t>djustment 6.2</w:t>
      </w:r>
      <w:r w:rsidR="004953BF">
        <w:t xml:space="preserve"> (</w:t>
      </w:r>
      <w:r w:rsidR="00205D00">
        <w:t>Depreciation &amp; Amortization Reserve to December 2013 Balances</w:t>
      </w:r>
      <w:r w:rsidR="004953BF">
        <w:t>)</w:t>
      </w:r>
      <w:r w:rsidR="00353823" w:rsidRPr="00353823">
        <w:t xml:space="preserve"> in the Company’s Regulatory Adjustment Model, </w:t>
      </w:r>
      <w:r w:rsidR="002D202F">
        <w:t xml:space="preserve">resulting in an improper allocation of </w:t>
      </w:r>
      <w:r w:rsidR="00353823" w:rsidRPr="00353823">
        <w:t xml:space="preserve">some adjustment balances in the Company’s initial filing.  Revised </w:t>
      </w:r>
      <w:r w:rsidR="00D65841">
        <w:t>a</w:t>
      </w:r>
      <w:r w:rsidR="00353823" w:rsidRPr="00353823">
        <w:t>djustment 6.2 corrects for this formulaic error.  This correction decreases Washington-allocated rate base by approximately $11.4</w:t>
      </w:r>
      <w:r w:rsidR="00D65841">
        <w:t> </w:t>
      </w:r>
      <w:r w:rsidR="00353823" w:rsidRPr="00353823">
        <w:t>million</w:t>
      </w:r>
      <w:r w:rsidR="007A70CD">
        <w:t>, resulting in a decrease in revenue requirement of approximately $1.3</w:t>
      </w:r>
      <w:r w:rsidR="00D65841">
        <w:t> </w:t>
      </w:r>
      <w:r w:rsidR="007A70CD">
        <w:t>million</w:t>
      </w:r>
      <w:r w:rsidR="00353823" w:rsidRPr="00353823">
        <w:t xml:space="preserve">.  </w:t>
      </w:r>
    </w:p>
    <w:p w:rsidR="000B676A" w:rsidRDefault="000B676A" w:rsidP="000C470D">
      <w:pPr>
        <w:pStyle w:val="Answer"/>
        <w:jc w:val="left"/>
        <w:rPr>
          <w:b/>
        </w:rPr>
      </w:pPr>
      <w:r w:rsidRPr="00511D0A">
        <w:rPr>
          <w:b/>
        </w:rPr>
        <w:t>Q.</w:t>
      </w:r>
      <w:r w:rsidRPr="00511D0A">
        <w:rPr>
          <w:b/>
        </w:rPr>
        <w:tab/>
      </w:r>
      <w:r>
        <w:rPr>
          <w:b/>
        </w:rPr>
        <w:t>Did the Company adopt any</w:t>
      </w:r>
      <w:r w:rsidR="00D65841">
        <w:rPr>
          <w:b/>
        </w:rPr>
        <w:t xml:space="preserve"> of the Parties’ proposed</w:t>
      </w:r>
      <w:r>
        <w:rPr>
          <w:b/>
        </w:rPr>
        <w:t xml:space="preserve"> adjustments to </w:t>
      </w:r>
      <w:r w:rsidR="00D65841">
        <w:rPr>
          <w:b/>
        </w:rPr>
        <w:t>depreciation expense</w:t>
      </w:r>
      <w:r>
        <w:rPr>
          <w:b/>
        </w:rPr>
        <w:t>?</w:t>
      </w:r>
    </w:p>
    <w:p w:rsidR="00211DCC" w:rsidRDefault="000B676A" w:rsidP="008A0C86">
      <w:pPr>
        <w:pStyle w:val="Answer"/>
        <w:widowControl w:val="0"/>
        <w:jc w:val="left"/>
      </w:pPr>
      <w:r w:rsidRPr="000B676A">
        <w:t>A.</w:t>
      </w:r>
      <w:r w:rsidRPr="000B676A">
        <w:tab/>
      </w:r>
      <w:r>
        <w:t>Yes</w:t>
      </w:r>
      <w:r w:rsidR="00205D00">
        <w:t xml:space="preserve">.  </w:t>
      </w:r>
      <w:r w:rsidR="002660E2">
        <w:t>P</w:t>
      </w:r>
      <w:r w:rsidR="00391699" w:rsidRPr="000B676A">
        <w:t xml:space="preserve">ublic Counsel </w:t>
      </w:r>
      <w:r w:rsidR="002660E2">
        <w:t xml:space="preserve">proposed an adjustment to </w:t>
      </w:r>
      <w:r w:rsidR="00D65841">
        <w:t xml:space="preserve">reflect the reduced depreciation expense associated with </w:t>
      </w:r>
      <w:r w:rsidR="002D202F">
        <w:t>pro forma</w:t>
      </w:r>
      <w:r w:rsidR="002660E2">
        <w:t xml:space="preserve"> major plant retirements in determining revenue requirement.</w:t>
      </w:r>
      <w:r w:rsidR="00224298">
        <w:rPr>
          <w:rStyle w:val="FootnoteReference"/>
        </w:rPr>
        <w:footnoteReference w:id="8"/>
      </w:r>
      <w:r w:rsidR="002660E2">
        <w:t xml:space="preserve">  </w:t>
      </w:r>
      <w:r w:rsidR="00D65841">
        <w:t>For purposes of this case, t</w:t>
      </w:r>
      <w:r w:rsidR="002660E2">
        <w:t xml:space="preserve">he Company agrees that </w:t>
      </w:r>
      <w:r w:rsidR="00D65841">
        <w:t>this adjustment is</w:t>
      </w:r>
      <w:r w:rsidR="002660E2">
        <w:t xml:space="preserve"> appropriate.  </w:t>
      </w:r>
    </w:p>
    <w:p w:rsidR="00211DCC" w:rsidRDefault="00205D00" w:rsidP="00903424">
      <w:pPr>
        <w:pStyle w:val="Answer"/>
        <w:ind w:firstLine="720"/>
        <w:jc w:val="left"/>
      </w:pPr>
      <w:r>
        <w:t>Public Counsel</w:t>
      </w:r>
      <w:r w:rsidR="00632E42">
        <w:t>’</w:t>
      </w:r>
      <w:r>
        <w:t>s</w:t>
      </w:r>
      <w:r w:rsidR="00632E42">
        <w:t xml:space="preserve"> adjustment</w:t>
      </w:r>
      <w:r w:rsidR="00D65841">
        <w:t xml:space="preserve">, however, </w:t>
      </w:r>
      <w:r w:rsidR="00632E42">
        <w:t xml:space="preserve">is </w:t>
      </w:r>
      <w:r w:rsidR="000C1C80">
        <w:t xml:space="preserve">overstated </w:t>
      </w:r>
      <w:r w:rsidR="00632E42">
        <w:t xml:space="preserve">because it does not take into account the corresponding </w:t>
      </w:r>
      <w:r w:rsidR="003A285E">
        <w:t>t</w:t>
      </w:r>
      <w:r w:rsidR="00632E42">
        <w:t xml:space="preserve">ax impacts of removing depreciation expense from the test period. </w:t>
      </w:r>
      <w:r w:rsidR="00142AF1">
        <w:t xml:space="preserve"> </w:t>
      </w:r>
      <w:r w:rsidR="002660E2">
        <w:t xml:space="preserve">Accordingly, the Company </w:t>
      </w:r>
      <w:r w:rsidR="00D65841">
        <w:t>developed a</w:t>
      </w:r>
      <w:r w:rsidR="005D14FB">
        <w:t>djustment 6.5</w:t>
      </w:r>
      <w:r w:rsidR="00D65841">
        <w:t xml:space="preserve"> (</w:t>
      </w:r>
      <w:r w:rsidR="005D14FB">
        <w:t>Retired Assets Depreciation Expense Removal</w:t>
      </w:r>
      <w:r w:rsidR="00D65841">
        <w:t>)</w:t>
      </w:r>
      <w:r w:rsidR="003A285E">
        <w:t xml:space="preserve"> </w:t>
      </w:r>
      <w:r w:rsidR="002660E2">
        <w:t>to reflect the removal of depreciation expense associated with major plant reti</w:t>
      </w:r>
      <w:r w:rsidR="005D14FB">
        <w:t>rements exceeding $250</w:t>
      </w:r>
      <w:r w:rsidR="00D65841">
        <w:t>,000</w:t>
      </w:r>
      <w:r w:rsidR="005D14FB">
        <w:t xml:space="preserve"> on a Washington</w:t>
      </w:r>
      <w:r w:rsidR="002660E2">
        <w:t xml:space="preserve">-allocated basis.  </w:t>
      </w:r>
      <w:r>
        <w:t>Including</w:t>
      </w:r>
      <w:r w:rsidR="00632E42">
        <w:t xml:space="preserve"> tax impacts, t</w:t>
      </w:r>
      <w:r w:rsidR="006F052F">
        <w:t xml:space="preserve">his adjustment decreases </w:t>
      </w:r>
      <w:r w:rsidR="00D65841">
        <w:t xml:space="preserve">Washington </w:t>
      </w:r>
      <w:r w:rsidR="006F052F">
        <w:t xml:space="preserve">revenue requirement by </w:t>
      </w:r>
      <w:r w:rsidR="001715A9">
        <w:t xml:space="preserve">approximately </w:t>
      </w:r>
      <w:r w:rsidR="006F052F">
        <w:t>$</w:t>
      </w:r>
      <w:r w:rsidR="000C1C80">
        <w:t>2</w:t>
      </w:r>
      <w:r w:rsidR="00DD5FF2">
        <w:t>9</w:t>
      </w:r>
      <w:r w:rsidR="001715A9">
        <w:t>,000</w:t>
      </w:r>
      <w:r w:rsidR="006F052F">
        <w:t xml:space="preserve">.  </w:t>
      </w:r>
      <w:r w:rsidR="002660E2">
        <w:t>This is</w:t>
      </w:r>
      <w:r w:rsidR="006F052F">
        <w:t xml:space="preserve"> based on</w:t>
      </w:r>
      <w:r w:rsidR="002660E2">
        <w:t xml:space="preserve"> the most </w:t>
      </w:r>
      <w:r w:rsidR="002D202F">
        <w:t xml:space="preserve">recent </w:t>
      </w:r>
      <w:r w:rsidR="002660E2">
        <w:t>asset retirement information available.</w:t>
      </w:r>
    </w:p>
    <w:p w:rsidR="00391699" w:rsidRPr="000B676A" w:rsidRDefault="002660E2" w:rsidP="00903424">
      <w:pPr>
        <w:pStyle w:val="Answer"/>
        <w:ind w:firstLine="720"/>
        <w:jc w:val="left"/>
      </w:pPr>
      <w:r>
        <w:t xml:space="preserve">The Company </w:t>
      </w:r>
      <w:r w:rsidR="00205D00">
        <w:t>proposes</w:t>
      </w:r>
      <w:r>
        <w:t xml:space="preserve"> to update </w:t>
      </w:r>
      <w:r w:rsidR="00D65841">
        <w:t>this adjustment</w:t>
      </w:r>
      <w:r>
        <w:t xml:space="preserve"> in its </w:t>
      </w:r>
      <w:r w:rsidR="00205D00">
        <w:t>c</w:t>
      </w:r>
      <w:r>
        <w:t xml:space="preserve">ompliance filing </w:t>
      </w:r>
      <w:r w:rsidR="00205D00">
        <w:t xml:space="preserve">to reflect </w:t>
      </w:r>
      <w:r w:rsidR="00D65841">
        <w:t xml:space="preserve">the depreciation expense impact of actual major plant </w:t>
      </w:r>
      <w:r>
        <w:t xml:space="preserve">retirements </w:t>
      </w:r>
      <w:r w:rsidR="00D65841">
        <w:t xml:space="preserve">before </w:t>
      </w:r>
      <w:r>
        <w:t xml:space="preserve">the rate effective date to </w:t>
      </w:r>
      <w:r w:rsidR="00205D00">
        <w:t xml:space="preserve">maintain </w:t>
      </w:r>
      <w:r>
        <w:t>consisten</w:t>
      </w:r>
      <w:r w:rsidR="00205D00">
        <w:t>cy</w:t>
      </w:r>
      <w:r>
        <w:t xml:space="preserve"> with the Company’s proposed treatment of </w:t>
      </w:r>
      <w:r w:rsidR="00D65841">
        <w:t>p</w:t>
      </w:r>
      <w:r>
        <w:t xml:space="preserve">ro </w:t>
      </w:r>
      <w:r w:rsidR="00D65841">
        <w:t>f</w:t>
      </w:r>
      <w:r>
        <w:t xml:space="preserve">orma </w:t>
      </w:r>
      <w:r w:rsidR="00D65841">
        <w:t>m</w:t>
      </w:r>
      <w:r>
        <w:t xml:space="preserve">ajor </w:t>
      </w:r>
      <w:r w:rsidR="00D65841">
        <w:t>p</w:t>
      </w:r>
      <w:r>
        <w:t xml:space="preserve">lant </w:t>
      </w:r>
      <w:r w:rsidR="00D65841">
        <w:t>a</w:t>
      </w:r>
      <w:r>
        <w:t xml:space="preserve">dditions. </w:t>
      </w:r>
    </w:p>
    <w:p w:rsidR="00890D88" w:rsidRDefault="008D3A42" w:rsidP="0037593A">
      <w:pPr>
        <w:pStyle w:val="Heading1"/>
        <w:jc w:val="center"/>
      </w:pPr>
      <w:bookmarkStart w:id="15" w:name="_Toc403718442"/>
      <w:r>
        <w:t xml:space="preserve">Interest And </w:t>
      </w:r>
      <w:r w:rsidR="00890D88">
        <w:t>Taxes</w:t>
      </w:r>
      <w:bookmarkEnd w:id="15"/>
    </w:p>
    <w:p w:rsidR="00F0793B" w:rsidRDefault="00F0793B" w:rsidP="00A65B51">
      <w:pPr>
        <w:pStyle w:val="Heading2"/>
        <w:jc w:val="left"/>
      </w:pPr>
      <w:bookmarkStart w:id="16" w:name="_Toc403718443"/>
      <w:r>
        <w:t>Interest True Up</w:t>
      </w:r>
      <w:bookmarkEnd w:id="16"/>
    </w:p>
    <w:p w:rsidR="0094418C" w:rsidRDefault="00F0793B" w:rsidP="0094418C">
      <w:pPr>
        <w:pStyle w:val="Answer"/>
        <w:widowControl w:val="0"/>
        <w:jc w:val="left"/>
        <w:rPr>
          <w:b/>
        </w:rPr>
      </w:pPr>
      <w:r>
        <w:rPr>
          <w:b/>
        </w:rPr>
        <w:t>Q.</w:t>
      </w:r>
      <w:r>
        <w:rPr>
          <w:b/>
        </w:rPr>
        <w:tab/>
      </w:r>
      <w:r w:rsidR="00EF7608">
        <w:rPr>
          <w:b/>
        </w:rPr>
        <w:t xml:space="preserve">Did the Company make any revisions to adjustment 7.1 (Interest True Up)?  </w:t>
      </w:r>
    </w:p>
    <w:p w:rsidR="00F0793B" w:rsidRDefault="00F0793B" w:rsidP="0094418C">
      <w:pPr>
        <w:pStyle w:val="Answer"/>
        <w:widowControl w:val="0"/>
        <w:jc w:val="left"/>
      </w:pPr>
      <w:r w:rsidRPr="00996C1B">
        <w:t>A.</w:t>
      </w:r>
      <w:r w:rsidRPr="00996C1B">
        <w:tab/>
        <w:t xml:space="preserve">Yes.  </w:t>
      </w:r>
      <w:r>
        <w:t>The Company</w:t>
      </w:r>
      <w:r w:rsidR="00EF7608">
        <w:t xml:space="preserve"> updated a</w:t>
      </w:r>
      <w:r>
        <w:t>djustment 7.1</w:t>
      </w:r>
      <w:r w:rsidR="00EF7608">
        <w:t xml:space="preserve"> (Intere</w:t>
      </w:r>
      <w:r>
        <w:t>st True Up</w:t>
      </w:r>
      <w:r w:rsidR="00EF7608">
        <w:t xml:space="preserve">) </w:t>
      </w:r>
      <w:r>
        <w:t xml:space="preserve">to incorporate the impacts of the other adjustments included as part of the Company’s rebuttal position.  No other changes have been made </w:t>
      </w:r>
      <w:r w:rsidR="00EF7608">
        <w:t>to</w:t>
      </w:r>
      <w:r>
        <w:t xml:space="preserve"> this adjustment.</w:t>
      </w:r>
    </w:p>
    <w:p w:rsidR="00F0793B" w:rsidRPr="00F0793B" w:rsidRDefault="00F0793B" w:rsidP="00903424">
      <w:pPr>
        <w:pStyle w:val="Heading2"/>
        <w:jc w:val="left"/>
      </w:pPr>
      <w:bookmarkStart w:id="17" w:name="_Toc403718444"/>
      <w:r>
        <w:t>Property Tax</w:t>
      </w:r>
      <w:r w:rsidR="00BF19B5">
        <w:t>es</w:t>
      </w:r>
      <w:bookmarkEnd w:id="17"/>
    </w:p>
    <w:p w:rsidR="008A0C86" w:rsidRDefault="00F0793B" w:rsidP="008A0C86">
      <w:pPr>
        <w:pStyle w:val="Answer"/>
        <w:widowControl w:val="0"/>
        <w:jc w:val="left"/>
        <w:rPr>
          <w:b/>
        </w:rPr>
      </w:pPr>
      <w:r w:rsidRPr="00F0793B">
        <w:rPr>
          <w:b/>
        </w:rPr>
        <w:t>Q.</w:t>
      </w:r>
      <w:r w:rsidRPr="00F0793B">
        <w:rPr>
          <w:b/>
        </w:rPr>
        <w:tab/>
        <w:t xml:space="preserve">Did any intervening party oppose the Company’s </w:t>
      </w:r>
      <w:r w:rsidR="00EF7608">
        <w:rPr>
          <w:b/>
        </w:rPr>
        <w:t>pro forma p</w:t>
      </w:r>
      <w:r w:rsidRPr="00F0793B">
        <w:rPr>
          <w:b/>
        </w:rPr>
        <w:t xml:space="preserve">roperty </w:t>
      </w:r>
      <w:r w:rsidR="00EF7608">
        <w:rPr>
          <w:b/>
        </w:rPr>
        <w:t>t</w:t>
      </w:r>
      <w:r w:rsidRPr="00F0793B">
        <w:rPr>
          <w:b/>
        </w:rPr>
        <w:t>ax adjustment?</w:t>
      </w:r>
    </w:p>
    <w:p w:rsidR="00F0793B" w:rsidRDefault="00F0793B" w:rsidP="008A0C86">
      <w:pPr>
        <w:pStyle w:val="Answer"/>
        <w:widowControl w:val="0"/>
        <w:jc w:val="left"/>
      </w:pPr>
      <w:r w:rsidRPr="00F0793B">
        <w:t>A.</w:t>
      </w:r>
      <w:r w:rsidRPr="00F0793B">
        <w:tab/>
        <w:t>Yes</w:t>
      </w:r>
      <w:r w:rsidR="00EF7608">
        <w:t xml:space="preserve">. </w:t>
      </w:r>
      <w:r w:rsidRPr="00F0793B">
        <w:t xml:space="preserve"> Staff rejects the Company’s pro forma adjustment, thereby keeping property tax expense at the accrual leve</w:t>
      </w:r>
      <w:r>
        <w:t xml:space="preserve">l booked during the </w:t>
      </w:r>
      <w:r w:rsidR="007A70CD">
        <w:t>t</w:t>
      </w:r>
      <w:r>
        <w:t xml:space="preserve">est </w:t>
      </w:r>
      <w:r w:rsidR="007A70CD">
        <w:t>y</w:t>
      </w:r>
      <w:r>
        <w:t>ear.</w:t>
      </w:r>
      <w:r w:rsidR="00A022AC">
        <w:rPr>
          <w:rStyle w:val="FootnoteReference"/>
        </w:rPr>
        <w:footnoteReference w:id="9"/>
      </w:r>
      <w:r>
        <w:t xml:space="preserve">  Mr. Norm</w:t>
      </w:r>
      <w:r w:rsidR="00205D00">
        <w:t>an K.</w:t>
      </w:r>
      <w:r>
        <w:t xml:space="preserve"> Ross addresses Staff’s concerns in his rebuttal testimony.</w:t>
      </w:r>
    </w:p>
    <w:p w:rsidR="00F0793B" w:rsidRDefault="00F0793B" w:rsidP="00903424">
      <w:pPr>
        <w:pStyle w:val="Answer"/>
        <w:jc w:val="left"/>
        <w:rPr>
          <w:b/>
        </w:rPr>
      </w:pPr>
      <w:r w:rsidRPr="00F0793B">
        <w:rPr>
          <w:b/>
        </w:rPr>
        <w:t>Q.</w:t>
      </w:r>
      <w:r w:rsidRPr="00F0793B">
        <w:rPr>
          <w:b/>
        </w:rPr>
        <w:tab/>
      </w:r>
      <w:r w:rsidR="00EF7608">
        <w:rPr>
          <w:b/>
        </w:rPr>
        <w:t>Did the Company update or revise its pro forma</w:t>
      </w:r>
      <w:r>
        <w:rPr>
          <w:b/>
        </w:rPr>
        <w:t xml:space="preserve"> </w:t>
      </w:r>
      <w:r w:rsidR="00EF7608">
        <w:rPr>
          <w:b/>
        </w:rPr>
        <w:t>p</w:t>
      </w:r>
      <w:r>
        <w:rPr>
          <w:b/>
        </w:rPr>
        <w:t xml:space="preserve">roperty </w:t>
      </w:r>
      <w:r w:rsidR="00EF7608">
        <w:rPr>
          <w:b/>
        </w:rPr>
        <w:t>t</w:t>
      </w:r>
      <w:r>
        <w:rPr>
          <w:b/>
        </w:rPr>
        <w:t>ax adjustment</w:t>
      </w:r>
      <w:r w:rsidRPr="00F0793B">
        <w:rPr>
          <w:b/>
        </w:rPr>
        <w:t>?</w:t>
      </w:r>
    </w:p>
    <w:p w:rsidR="00F0793B" w:rsidRPr="00F0793B" w:rsidRDefault="00F0793B" w:rsidP="00903424">
      <w:pPr>
        <w:pStyle w:val="Answer"/>
        <w:jc w:val="left"/>
      </w:pPr>
      <w:r w:rsidRPr="00F0793B">
        <w:t>A.</w:t>
      </w:r>
      <w:r w:rsidRPr="00F0793B">
        <w:tab/>
        <w:t>Yes</w:t>
      </w:r>
      <w:r w:rsidR="00EF7608">
        <w:t>.  T</w:t>
      </w:r>
      <w:r>
        <w:t xml:space="preserve">he Company updated the property tax expense adjustment to reflect booked accruals for the first </w:t>
      </w:r>
      <w:r w:rsidR="00CC327A">
        <w:t xml:space="preserve">nine </w:t>
      </w:r>
      <w:r>
        <w:t xml:space="preserve">months of the current calendar year (2014) and </w:t>
      </w:r>
      <w:r w:rsidR="00B93CFE">
        <w:t>three</w:t>
      </w:r>
      <w:r>
        <w:t xml:space="preserve"> months</w:t>
      </w:r>
      <w:r w:rsidR="00EF7608">
        <w:t xml:space="preserve"> of</w:t>
      </w:r>
      <w:r>
        <w:t xml:space="preserve"> forecast</w:t>
      </w:r>
      <w:r w:rsidR="00EF7608">
        <w:t>ed property tax expense</w:t>
      </w:r>
      <w:r>
        <w:t xml:space="preserve"> through December 2014.  This update results in a decrease to revenue requirement of </w:t>
      </w:r>
      <w:r w:rsidR="001715A9">
        <w:t xml:space="preserve">approximately </w:t>
      </w:r>
      <w:r>
        <w:t>$428</w:t>
      </w:r>
      <w:r w:rsidR="001715A9">
        <w:t>,000</w:t>
      </w:r>
      <w:r>
        <w:t>.</w:t>
      </w:r>
    </w:p>
    <w:p w:rsidR="00F0793B" w:rsidRPr="00391699" w:rsidRDefault="00F0793B" w:rsidP="00903424">
      <w:pPr>
        <w:pStyle w:val="Heading2"/>
        <w:jc w:val="left"/>
      </w:pPr>
      <w:bookmarkStart w:id="18" w:name="_Toc403718445"/>
      <w:r>
        <w:t>Washington Low Income Tax Credit</w:t>
      </w:r>
      <w:bookmarkEnd w:id="18"/>
    </w:p>
    <w:p w:rsidR="00FF4CE0" w:rsidRPr="001421F1" w:rsidRDefault="00FF4CE0" w:rsidP="00FF4CE0">
      <w:pPr>
        <w:pStyle w:val="Answer"/>
        <w:jc w:val="left"/>
        <w:rPr>
          <w:b/>
        </w:rPr>
      </w:pPr>
      <w:r w:rsidRPr="001421F1">
        <w:rPr>
          <w:b/>
        </w:rPr>
        <w:t>Q.</w:t>
      </w:r>
      <w:r w:rsidRPr="001421F1">
        <w:rPr>
          <w:b/>
        </w:rPr>
        <w:tab/>
      </w:r>
      <w:r>
        <w:rPr>
          <w:b/>
        </w:rPr>
        <w:t xml:space="preserve">Please describe </w:t>
      </w:r>
      <w:r w:rsidRPr="001421F1">
        <w:rPr>
          <w:b/>
        </w:rPr>
        <w:t>the Company’s proposed adjustment for the Washington Low Income Tax Credit</w:t>
      </w:r>
      <w:r>
        <w:rPr>
          <w:b/>
        </w:rPr>
        <w:t>.</w:t>
      </w:r>
      <w:r w:rsidRPr="001421F1">
        <w:rPr>
          <w:b/>
        </w:rPr>
        <w:t xml:space="preserve">  </w:t>
      </w:r>
    </w:p>
    <w:p w:rsidR="00FF4CE0" w:rsidRDefault="00FF4CE0" w:rsidP="00FF4CE0">
      <w:pPr>
        <w:pStyle w:val="Answer"/>
        <w:jc w:val="left"/>
      </w:pPr>
      <w:r>
        <w:t>A.</w:t>
      </w:r>
      <w:r>
        <w:tab/>
        <w:t>In its initial filing, the Company proposed a pro forma adjustment to the historical test period to reflect the most recent credit amount provided by the Washington Department of Revenue.  This adjustment is consistent with the Company’s past rate case filings and replaces the credit amount booked for the 12-months ended December 31, 2013, with the latest annual approved credit</w:t>
      </w:r>
      <w:r w:rsidR="00E45DB2">
        <w:t xml:space="preserve"> at the </w:t>
      </w:r>
      <w:r w:rsidR="002802EB">
        <w:t xml:space="preserve">of </w:t>
      </w:r>
      <w:r w:rsidR="00E45DB2">
        <w:t>time the Company’s initial filing</w:t>
      </w:r>
      <w:r w:rsidR="00C43EE1">
        <w:t xml:space="preserve">. </w:t>
      </w:r>
      <w:r>
        <w:t xml:space="preserve"> </w:t>
      </w:r>
      <w:r w:rsidR="00C43EE1">
        <w:t xml:space="preserve">The credit amount booked during the historical test </w:t>
      </w:r>
      <w:r w:rsidR="0094418C">
        <w:t>period (the 12-</w:t>
      </w:r>
      <w:r w:rsidR="00C43EE1">
        <w:t>months ended Dece</w:t>
      </w:r>
      <w:r w:rsidR="00E45DB2">
        <w:t>mber 31, 2013) was $262,</w:t>
      </w:r>
      <w:r w:rsidR="00C43EE1">
        <w:t>45</w:t>
      </w:r>
      <w:r w:rsidR="00E45DB2">
        <w:t>3</w:t>
      </w:r>
      <w:r w:rsidR="00C43EE1">
        <w:t>.</w:t>
      </w:r>
      <w:r w:rsidR="00C43EE1">
        <w:rPr>
          <w:rStyle w:val="FootnoteReference"/>
        </w:rPr>
        <w:footnoteReference w:id="10"/>
      </w:r>
      <w:r w:rsidR="00C43EE1">
        <w:t xml:space="preserve">  </w:t>
      </w:r>
      <w:r w:rsidR="00E45DB2">
        <w:t>O</w:t>
      </w:r>
      <w:r w:rsidR="00C43EE1">
        <w:t xml:space="preserve">n July </w:t>
      </w:r>
      <w:r w:rsidR="00E45DB2">
        <w:t>26, 2</w:t>
      </w:r>
      <w:r w:rsidR="00C43EE1">
        <w:t>013, the Company received a letter from the Washington Department of Revenue awarding a credit of $222,651 for the fiscal year ending June 30, 2014.</w:t>
      </w:r>
      <w:r w:rsidR="00C43EE1">
        <w:rPr>
          <w:rStyle w:val="FootnoteReference"/>
        </w:rPr>
        <w:footnoteReference w:id="11"/>
      </w:r>
      <w:r w:rsidR="00C43EE1">
        <w:t xml:space="preserve">  The Company’s proposed revenue requirement adjustment therefore reduces the amount of the Washington Low Income Tax Credit</w:t>
      </w:r>
      <w:r w:rsidR="00E45DB2">
        <w:t xml:space="preserve"> by $39,804</w:t>
      </w:r>
      <w:r w:rsidR="00C43EE1">
        <w:t xml:space="preserve"> to reflect the credit awarded</w:t>
      </w:r>
      <w:r w:rsidR="00E45DB2">
        <w:t xml:space="preserve"> for fiscal year 2014</w:t>
      </w:r>
      <w:r w:rsidR="00C43EE1">
        <w:t>, which in turn increases the Company’s revenue requirement</w:t>
      </w:r>
      <w:r w:rsidR="00E45DB2">
        <w:t xml:space="preserve"> by approximately the same amount</w:t>
      </w:r>
      <w:r w:rsidR="00C43EE1">
        <w:t>.</w:t>
      </w:r>
    </w:p>
    <w:p w:rsidR="00744F47" w:rsidRPr="00744F47" w:rsidRDefault="00744F47" w:rsidP="00FF4CE0">
      <w:pPr>
        <w:pStyle w:val="Answer"/>
        <w:jc w:val="left"/>
        <w:rPr>
          <w:b/>
        </w:rPr>
      </w:pPr>
      <w:r w:rsidRPr="00955D06">
        <w:rPr>
          <w:b/>
        </w:rPr>
        <w:t>Q.</w:t>
      </w:r>
      <w:r>
        <w:rPr>
          <w:b/>
        </w:rPr>
        <w:t xml:space="preserve">  </w:t>
      </w:r>
      <w:r>
        <w:rPr>
          <w:b/>
        </w:rPr>
        <w:tab/>
        <w:t>Staff</w:t>
      </w:r>
      <w:r w:rsidRPr="00744F47">
        <w:rPr>
          <w:b/>
        </w:rPr>
        <w:t xml:space="preserve"> </w:t>
      </w:r>
      <w:r w:rsidR="00EE674C" w:rsidRPr="00744F47">
        <w:rPr>
          <w:b/>
        </w:rPr>
        <w:t>re</w:t>
      </w:r>
      <w:r w:rsidR="00EE674C">
        <w:rPr>
          <w:b/>
        </w:rPr>
        <w:t>ject</w:t>
      </w:r>
      <w:r w:rsidR="00EE674C" w:rsidRPr="00744F47">
        <w:rPr>
          <w:b/>
        </w:rPr>
        <w:t xml:space="preserve">s </w:t>
      </w:r>
      <w:r w:rsidRPr="00744F47">
        <w:rPr>
          <w:b/>
        </w:rPr>
        <w:t xml:space="preserve">the </w:t>
      </w:r>
      <w:r w:rsidR="00A63BA3">
        <w:rPr>
          <w:b/>
        </w:rPr>
        <w:t>C</w:t>
      </w:r>
      <w:r w:rsidRPr="00744F47">
        <w:rPr>
          <w:b/>
        </w:rPr>
        <w:t>ompany’s proposed adjustment</w:t>
      </w:r>
      <w:r>
        <w:rPr>
          <w:b/>
        </w:rPr>
        <w:t xml:space="preserve">, </w:t>
      </w:r>
      <w:r w:rsidR="00FF4CE0">
        <w:rPr>
          <w:b/>
        </w:rPr>
        <w:t>arguing</w:t>
      </w:r>
      <w:r>
        <w:rPr>
          <w:b/>
        </w:rPr>
        <w:t xml:space="preserve"> that the credit </w:t>
      </w:r>
      <w:r w:rsidR="00FF4CE0">
        <w:rPr>
          <w:b/>
        </w:rPr>
        <w:t>increases</w:t>
      </w:r>
      <w:r>
        <w:rPr>
          <w:b/>
        </w:rPr>
        <w:t xml:space="preserve"> each year.</w:t>
      </w:r>
      <w:r w:rsidR="00952A44">
        <w:rPr>
          <w:rStyle w:val="FootnoteReference"/>
          <w:b/>
        </w:rPr>
        <w:footnoteReference w:id="12"/>
      </w:r>
      <w:r w:rsidRPr="00744F47">
        <w:rPr>
          <w:b/>
        </w:rPr>
        <w:t xml:space="preserve"> </w:t>
      </w:r>
      <w:r w:rsidR="00EF7608">
        <w:rPr>
          <w:b/>
        </w:rPr>
        <w:t xml:space="preserve"> </w:t>
      </w:r>
      <w:r w:rsidRPr="00744F47">
        <w:rPr>
          <w:b/>
        </w:rPr>
        <w:t xml:space="preserve">Is this </w:t>
      </w:r>
      <w:r w:rsidR="00FF4CE0">
        <w:rPr>
          <w:b/>
        </w:rPr>
        <w:t>argument</w:t>
      </w:r>
      <w:r w:rsidR="00FF4CE0" w:rsidRPr="00744F47">
        <w:rPr>
          <w:b/>
        </w:rPr>
        <w:t xml:space="preserve"> </w:t>
      </w:r>
      <w:r>
        <w:rPr>
          <w:b/>
        </w:rPr>
        <w:t>valid</w:t>
      </w:r>
      <w:r w:rsidRPr="00744F47">
        <w:rPr>
          <w:b/>
        </w:rPr>
        <w:t>?</w:t>
      </w:r>
    </w:p>
    <w:p w:rsidR="00C43EE1" w:rsidRDefault="00744F47" w:rsidP="00C43EE1">
      <w:pPr>
        <w:pStyle w:val="Answer"/>
        <w:jc w:val="left"/>
      </w:pPr>
      <w:r>
        <w:t>A.</w:t>
      </w:r>
      <w:r>
        <w:tab/>
        <w:t xml:space="preserve">No.  </w:t>
      </w:r>
      <w:r w:rsidR="00C43EE1">
        <w:t xml:space="preserve">The credit amount available to </w:t>
      </w:r>
      <w:r w:rsidR="00EE674C">
        <w:t>the Company</w:t>
      </w:r>
      <w:r w:rsidR="00C43EE1">
        <w:t xml:space="preserve"> each year is governed by RCW 82.16.0497, which sets a $2.5 million overall statewide annual limit on the Washington Low Income Credit for all fiscal years after 2007.</w:t>
      </w:r>
      <w:r w:rsidR="00C43EE1">
        <w:rPr>
          <w:rStyle w:val="FootnoteReference"/>
        </w:rPr>
        <w:footnoteReference w:id="13"/>
      </w:r>
      <w:r w:rsidR="00C43EE1">
        <w:t xml:space="preserve">  </w:t>
      </w:r>
      <w:r w:rsidR="00EE674C">
        <w:t>The Company</w:t>
      </w:r>
      <w:r w:rsidR="00C43EE1">
        <w:t xml:space="preserve"> is one of over fifty electric and gas distribution businesses that annually qualify to receive a share of the $2.5 million.  </w:t>
      </w:r>
      <w:r w:rsidR="00EE674C">
        <w:t>Pacific Power</w:t>
      </w:r>
      <w:r w:rsidR="00C43EE1">
        <w:t xml:space="preserve">’s share varies from year to year.  </w:t>
      </w:r>
    </w:p>
    <w:p w:rsidR="00C43EE1" w:rsidRDefault="00C43EE1" w:rsidP="00903424">
      <w:pPr>
        <w:pStyle w:val="Answer"/>
        <w:jc w:val="left"/>
      </w:pPr>
      <w:r>
        <w:tab/>
      </w:r>
      <w:r>
        <w:tab/>
      </w:r>
      <w:r w:rsidR="00E45DB2">
        <w:t xml:space="preserve">In July </w:t>
      </w:r>
      <w:r>
        <w:t>2014, the Washington Department of Revenue awarded the Company a credit of $165,998 for the fiscal year ending June 30, 2015, a reduction from the $222, 651 aw</w:t>
      </w:r>
      <w:r w:rsidR="00E45DB2">
        <w:t>arded for the fiscal year ended</w:t>
      </w:r>
      <w:r>
        <w:t xml:space="preserve"> June 30, 2014.</w:t>
      </w:r>
      <w:r>
        <w:rPr>
          <w:rStyle w:val="FootnoteReference"/>
        </w:rPr>
        <w:footnoteReference w:id="14"/>
      </w:r>
      <w:r>
        <w:t xml:space="preserve">  This demonstrates that the Washington Low Income Credit does not necessarily increase from year to year.  </w:t>
      </w:r>
    </w:p>
    <w:p w:rsidR="00C43EE1" w:rsidRDefault="00C43EE1" w:rsidP="00A65B51">
      <w:pPr>
        <w:pStyle w:val="Answer"/>
        <w:ind w:firstLine="0"/>
        <w:jc w:val="left"/>
      </w:pPr>
      <w:r>
        <w:tab/>
        <w:t xml:space="preserve">Note that if the Company were to reflect the updated amount of $165,998, the Company’s revenue requirement would increase by another $57,000.  </w:t>
      </w:r>
    </w:p>
    <w:p w:rsidR="002B7431" w:rsidRPr="00E41CAB" w:rsidRDefault="002B7431" w:rsidP="00A65B51">
      <w:pPr>
        <w:pStyle w:val="Answer"/>
        <w:jc w:val="left"/>
      </w:pPr>
      <w:r w:rsidRPr="00A65B51">
        <w:rPr>
          <w:b/>
        </w:rPr>
        <w:t>Remove Deferred State Tax Expense and Balance</w:t>
      </w:r>
    </w:p>
    <w:p w:rsidR="002B7431" w:rsidRPr="002B7431" w:rsidRDefault="002B7431" w:rsidP="00903424">
      <w:pPr>
        <w:pStyle w:val="Answer"/>
        <w:jc w:val="left"/>
      </w:pPr>
      <w:r w:rsidRPr="0037593A">
        <w:rPr>
          <w:b/>
        </w:rPr>
        <w:t>Q.</w:t>
      </w:r>
      <w:r>
        <w:tab/>
      </w:r>
      <w:r w:rsidR="00E45DB2">
        <w:rPr>
          <w:b/>
        </w:rPr>
        <w:t>Please d</w:t>
      </w:r>
      <w:r w:rsidR="00E45DB2" w:rsidRPr="0037593A">
        <w:rPr>
          <w:b/>
        </w:rPr>
        <w:t xml:space="preserve">escribe </w:t>
      </w:r>
      <w:r w:rsidRPr="0037593A">
        <w:rPr>
          <w:b/>
        </w:rPr>
        <w:t>the</w:t>
      </w:r>
      <w:r w:rsidR="00E45DB2">
        <w:rPr>
          <w:b/>
        </w:rPr>
        <w:t xml:space="preserve"> Company’s</w:t>
      </w:r>
      <w:r w:rsidRPr="0037593A">
        <w:rPr>
          <w:b/>
        </w:rPr>
        <w:t xml:space="preserve"> update to </w:t>
      </w:r>
      <w:r w:rsidR="00E45DB2">
        <w:rPr>
          <w:b/>
        </w:rPr>
        <w:t>a</w:t>
      </w:r>
      <w:r w:rsidRPr="0037593A">
        <w:rPr>
          <w:b/>
        </w:rPr>
        <w:t xml:space="preserve">djustment 7.7 </w:t>
      </w:r>
      <w:r w:rsidR="00E45DB2">
        <w:rPr>
          <w:b/>
        </w:rPr>
        <w:t>(</w:t>
      </w:r>
      <w:r w:rsidRPr="0037593A">
        <w:rPr>
          <w:b/>
        </w:rPr>
        <w:t>Remove Deferred State Tax Expense and Balance</w:t>
      </w:r>
      <w:r w:rsidR="00E45DB2">
        <w:rPr>
          <w:b/>
        </w:rPr>
        <w:t>)</w:t>
      </w:r>
      <w:r w:rsidRPr="0037593A">
        <w:rPr>
          <w:b/>
        </w:rPr>
        <w:t>.</w:t>
      </w:r>
    </w:p>
    <w:p w:rsidR="004D250C" w:rsidRPr="00676200" w:rsidRDefault="002B7431" w:rsidP="00A65B51">
      <w:pPr>
        <w:pStyle w:val="Answer"/>
        <w:jc w:val="left"/>
      </w:pPr>
      <w:r>
        <w:t>A.</w:t>
      </w:r>
      <w:r>
        <w:tab/>
      </w:r>
      <w:r w:rsidR="00E45DB2">
        <w:t>The Company updated a</w:t>
      </w:r>
      <w:r>
        <w:t xml:space="preserve">djustment 7.7 to reflect </w:t>
      </w:r>
      <w:r w:rsidR="00221CB1">
        <w:t xml:space="preserve">the impact of the Company’s rebuttal adjustments to revenue requirement.  If additional adjustments proposed by other parties to this case </w:t>
      </w:r>
      <w:r w:rsidR="005E5ECB">
        <w:t>are</w:t>
      </w:r>
      <w:r w:rsidR="00221CB1">
        <w:t xml:space="preserve"> accepted by the Commission, adjustment 7.7 will need to be updated.  </w:t>
      </w:r>
    </w:p>
    <w:p w:rsidR="001A4DC7" w:rsidRDefault="001A4DC7" w:rsidP="0037593A">
      <w:pPr>
        <w:pStyle w:val="Heading1"/>
        <w:jc w:val="center"/>
      </w:pPr>
      <w:bookmarkStart w:id="19" w:name="_Toc403718446"/>
      <w:r>
        <w:t>Rate Base Adjustments</w:t>
      </w:r>
      <w:bookmarkEnd w:id="19"/>
    </w:p>
    <w:p w:rsidR="00391699" w:rsidRDefault="00AE7AD5" w:rsidP="00903424">
      <w:pPr>
        <w:pStyle w:val="Heading2"/>
        <w:jc w:val="left"/>
      </w:pPr>
      <w:bookmarkStart w:id="20" w:name="_Toc403718447"/>
      <w:r>
        <w:t xml:space="preserve">Pro Forma </w:t>
      </w:r>
      <w:r w:rsidR="00B46B12">
        <w:t>Major Capital Ad</w:t>
      </w:r>
      <w:r>
        <w:t>dition</w:t>
      </w:r>
      <w:r w:rsidR="00221CB1">
        <w:t>s</w:t>
      </w:r>
      <w:bookmarkEnd w:id="20"/>
      <w:r>
        <w:t xml:space="preserve"> </w:t>
      </w:r>
    </w:p>
    <w:p w:rsidR="00880F10" w:rsidRDefault="00DA4041" w:rsidP="00903424">
      <w:pPr>
        <w:pStyle w:val="Answer"/>
        <w:jc w:val="left"/>
        <w:rPr>
          <w:b/>
        </w:rPr>
      </w:pPr>
      <w:r w:rsidRPr="00E67523">
        <w:rPr>
          <w:b/>
        </w:rPr>
        <w:t>Q.</w:t>
      </w:r>
      <w:r w:rsidRPr="00E67523">
        <w:rPr>
          <w:b/>
        </w:rPr>
        <w:tab/>
      </w:r>
      <w:r w:rsidR="00880F10">
        <w:rPr>
          <w:b/>
        </w:rPr>
        <w:t>Please describe the Company’s proposed pro forma adjustment for major capital additions</w:t>
      </w:r>
      <w:r w:rsidR="00EE674C">
        <w:rPr>
          <w:b/>
        </w:rPr>
        <w:t>.</w:t>
      </w:r>
    </w:p>
    <w:p w:rsidR="00880F10" w:rsidRDefault="00880F10" w:rsidP="00903424">
      <w:pPr>
        <w:pStyle w:val="Answer"/>
        <w:jc w:val="left"/>
      </w:pPr>
      <w:r w:rsidRPr="00A65B51">
        <w:t>A.</w:t>
      </w:r>
      <w:r w:rsidRPr="00A65B51">
        <w:tab/>
        <w:t>This pro forma adjustment adds to rate base west control area plant additions greater than $250,000 on a Washington-allocated basis that will be placed in service before the rate-effective date.</w:t>
      </w:r>
    </w:p>
    <w:p w:rsidR="00AD1F53" w:rsidRPr="00E67523" w:rsidRDefault="00AD1F53" w:rsidP="00AD1F53">
      <w:pPr>
        <w:pStyle w:val="Answer"/>
        <w:jc w:val="left"/>
        <w:rPr>
          <w:b/>
        </w:rPr>
      </w:pPr>
      <w:r w:rsidRPr="00E67523">
        <w:rPr>
          <w:b/>
        </w:rPr>
        <w:t>Q.</w:t>
      </w:r>
      <w:r w:rsidRPr="00E67523">
        <w:rPr>
          <w:b/>
        </w:rPr>
        <w:tab/>
      </w:r>
      <w:r w:rsidR="002571BC">
        <w:rPr>
          <w:b/>
        </w:rPr>
        <w:t xml:space="preserve">Is the Company updating its pro forma adjustment for major capital additions in rebuttal?  </w:t>
      </w:r>
    </w:p>
    <w:p w:rsidR="00AD1F53" w:rsidRDefault="00AD1F53" w:rsidP="00A65B51">
      <w:pPr>
        <w:pStyle w:val="Answer"/>
        <w:jc w:val="left"/>
      </w:pPr>
      <w:r w:rsidRPr="00C262D6">
        <w:t>A.</w:t>
      </w:r>
      <w:r w:rsidRPr="00C262D6">
        <w:tab/>
      </w:r>
      <w:r w:rsidR="002571BC">
        <w:t>Yes.  The</w:t>
      </w:r>
      <w:r>
        <w:t xml:space="preserve"> Company </w:t>
      </w:r>
      <w:r w:rsidR="002571BC">
        <w:t xml:space="preserve">updated the </w:t>
      </w:r>
      <w:r w:rsidR="00225A5C">
        <w:t xml:space="preserve">adjustment to reflect actual </w:t>
      </w:r>
      <w:r w:rsidR="002571BC">
        <w:t>costs</w:t>
      </w:r>
      <w:r w:rsidR="0058130A">
        <w:t xml:space="preserve"> for projects placed in service </w:t>
      </w:r>
      <w:r w:rsidR="00C57220">
        <w:t>through</w:t>
      </w:r>
      <w:r w:rsidR="0058130A">
        <w:t xml:space="preserve"> September 30, 2014</w:t>
      </w:r>
      <w:r w:rsidR="00C57220">
        <w:t>, the latest month-</w:t>
      </w:r>
      <w:r w:rsidR="0058130A">
        <w:t>end close data available wh</w:t>
      </w:r>
      <w:r w:rsidR="00917B43">
        <w:t>en</w:t>
      </w:r>
      <w:r w:rsidR="0058130A">
        <w:t xml:space="preserve"> preparing </w:t>
      </w:r>
      <w:r w:rsidR="00C57220">
        <w:t>the Company’s</w:t>
      </w:r>
      <w:r w:rsidR="0058130A">
        <w:t xml:space="preserve"> rebuttal testimony.</w:t>
      </w:r>
      <w:r w:rsidR="00C57220">
        <w:t xml:space="preserve">  </w:t>
      </w:r>
      <w:r w:rsidR="00917B43">
        <w:t xml:space="preserve">These amounts are reflected in Exhibit No. NCS-11, page 8.4.2.  </w:t>
      </w:r>
      <w:r>
        <w:t>Projects not in service</w:t>
      </w:r>
      <w:r w:rsidR="00917B43">
        <w:t xml:space="preserve"> by September </w:t>
      </w:r>
      <w:r w:rsidR="0058130A">
        <w:t>30, 2014,</w:t>
      </w:r>
      <w:r>
        <w:t xml:space="preserve"> but expected to be in service </w:t>
      </w:r>
      <w:r w:rsidR="002571BC">
        <w:t>before</w:t>
      </w:r>
      <w:r>
        <w:t xml:space="preserve"> the rate effective date are included in revised </w:t>
      </w:r>
      <w:r w:rsidR="002571BC">
        <w:t>a</w:t>
      </w:r>
      <w:r>
        <w:t xml:space="preserve">djustment 8.4 and reflect </w:t>
      </w:r>
      <w:r w:rsidR="00E535AB">
        <w:t>updated</w:t>
      </w:r>
      <w:r>
        <w:t xml:space="preserve"> cost</w:t>
      </w:r>
      <w:r w:rsidR="0058130A">
        <w:t>s</w:t>
      </w:r>
      <w:r>
        <w:t xml:space="preserve"> and in-service date</w:t>
      </w:r>
      <w:r w:rsidR="00E535AB">
        <w:t xml:space="preserve">s. </w:t>
      </w:r>
      <w:r>
        <w:t xml:space="preserve"> </w:t>
      </w:r>
      <w:r w:rsidR="00E535AB">
        <w:t xml:space="preserve">In addition, </w:t>
      </w:r>
      <w:r w:rsidR="00917B43">
        <w:t xml:space="preserve">the Company removed </w:t>
      </w:r>
      <w:r>
        <w:t xml:space="preserve">the Yale Rock Block Stabilization project </w:t>
      </w:r>
      <w:r w:rsidR="006C0A2B">
        <w:t>from adjustment 8.4</w:t>
      </w:r>
      <w:r w:rsidR="00917B43">
        <w:t xml:space="preserve"> because it is no longer expected to be placed in service </w:t>
      </w:r>
      <w:r>
        <w:t xml:space="preserve">before the rate effective date.   </w:t>
      </w:r>
    </w:p>
    <w:p w:rsidR="008A0C86" w:rsidRPr="003A542E" w:rsidRDefault="00AD1F53" w:rsidP="008A0C86">
      <w:pPr>
        <w:pStyle w:val="Answer"/>
        <w:widowControl w:val="0"/>
        <w:ind w:firstLine="720"/>
        <w:jc w:val="left"/>
      </w:pPr>
      <w:r>
        <w:t xml:space="preserve">At the time of filing this rebuttal testimony, the Company’s revised adjustment for </w:t>
      </w:r>
      <w:r w:rsidR="00917B43">
        <w:t>p</w:t>
      </w:r>
      <w:r>
        <w:t xml:space="preserve">ro </w:t>
      </w:r>
      <w:r w:rsidR="00917B43">
        <w:t>f</w:t>
      </w:r>
      <w:r>
        <w:t xml:space="preserve">orma </w:t>
      </w:r>
      <w:r w:rsidR="00917B43">
        <w:t>m</w:t>
      </w:r>
      <w:r>
        <w:t xml:space="preserve">ajor </w:t>
      </w:r>
      <w:r w:rsidR="00917B43">
        <w:t>c</w:t>
      </w:r>
      <w:r>
        <w:t xml:space="preserve">apital </w:t>
      </w:r>
      <w:r w:rsidR="00917B43">
        <w:t>a</w:t>
      </w:r>
      <w:r w:rsidRPr="003A542E">
        <w:t xml:space="preserve">dditions </w:t>
      </w:r>
      <w:r w:rsidRPr="00F26C2D">
        <w:t>decreases</w:t>
      </w:r>
      <w:r w:rsidRPr="003A542E">
        <w:t xml:space="preserve"> revenue requirement by approximately </w:t>
      </w:r>
      <w:r w:rsidRPr="00F26C2D">
        <w:t>$53,000</w:t>
      </w:r>
      <w:r w:rsidRPr="003A542E">
        <w:t>.</w:t>
      </w:r>
    </w:p>
    <w:p w:rsidR="008A0C86" w:rsidRDefault="00880F10" w:rsidP="008A0C86">
      <w:pPr>
        <w:pStyle w:val="Answer"/>
        <w:widowControl w:val="0"/>
        <w:jc w:val="left"/>
        <w:rPr>
          <w:b/>
        </w:rPr>
      </w:pPr>
      <w:r>
        <w:rPr>
          <w:b/>
        </w:rPr>
        <w:t>Q.</w:t>
      </w:r>
      <w:r>
        <w:rPr>
          <w:b/>
        </w:rPr>
        <w:tab/>
      </w:r>
      <w:r w:rsidR="00DA4041">
        <w:rPr>
          <w:b/>
        </w:rPr>
        <w:t xml:space="preserve">Please </w:t>
      </w:r>
      <w:r>
        <w:rPr>
          <w:b/>
        </w:rPr>
        <w:t>describe the Parties’</w:t>
      </w:r>
      <w:r w:rsidR="00B547AC">
        <w:rPr>
          <w:b/>
        </w:rPr>
        <w:t xml:space="preserve"> position</w:t>
      </w:r>
      <w:r>
        <w:rPr>
          <w:b/>
        </w:rPr>
        <w:t>s</w:t>
      </w:r>
      <w:r w:rsidR="00EF7C4E">
        <w:rPr>
          <w:b/>
        </w:rPr>
        <w:t xml:space="preserve"> on the </w:t>
      </w:r>
      <w:r w:rsidR="00221CB1">
        <w:rPr>
          <w:b/>
        </w:rPr>
        <w:t>Company’</w:t>
      </w:r>
      <w:r>
        <w:rPr>
          <w:b/>
        </w:rPr>
        <w:t xml:space="preserve">s </w:t>
      </w:r>
      <w:r w:rsidR="00EF7C4E">
        <w:rPr>
          <w:b/>
        </w:rPr>
        <w:t xml:space="preserve">pro forma </w:t>
      </w:r>
      <w:r>
        <w:rPr>
          <w:b/>
        </w:rPr>
        <w:t xml:space="preserve">adjustment for </w:t>
      </w:r>
      <w:r w:rsidR="00EF7C4E">
        <w:rPr>
          <w:b/>
        </w:rPr>
        <w:t>major capital additions</w:t>
      </w:r>
      <w:r w:rsidR="00917B43">
        <w:rPr>
          <w:b/>
        </w:rPr>
        <w:t xml:space="preserve"> as proposed in the initial filing</w:t>
      </w:r>
      <w:r w:rsidR="00B547AC">
        <w:rPr>
          <w:b/>
        </w:rPr>
        <w:t>.</w:t>
      </w:r>
    </w:p>
    <w:p w:rsidR="00F83BDB" w:rsidRDefault="00DA4041" w:rsidP="008A0C86">
      <w:pPr>
        <w:pStyle w:val="Answer"/>
        <w:widowControl w:val="0"/>
        <w:jc w:val="left"/>
      </w:pPr>
      <w:r>
        <w:t>A.</w:t>
      </w:r>
      <w:r>
        <w:tab/>
      </w:r>
      <w:r w:rsidR="0091617D">
        <w:t>Staff support</w:t>
      </w:r>
      <w:r w:rsidR="00880F10">
        <w:t xml:space="preserve">s including pro forma capital additions, but proposes to limit the projects to those that are placed in service at the time of the </w:t>
      </w:r>
      <w:r w:rsidR="0091617D">
        <w:t xml:space="preserve">Company’s </w:t>
      </w:r>
      <w:r w:rsidR="003A285E">
        <w:t>rebuttal filing</w:t>
      </w:r>
      <w:r w:rsidR="0091617D">
        <w:t>.</w:t>
      </w:r>
      <w:r w:rsidR="005B01D6">
        <w:rPr>
          <w:rStyle w:val="FootnoteReference"/>
        </w:rPr>
        <w:footnoteReference w:id="15"/>
      </w:r>
      <w:r w:rsidR="0091617D">
        <w:t xml:space="preserve">  </w:t>
      </w:r>
      <w:r w:rsidR="00BA17D0">
        <w:t>Public Counsel</w:t>
      </w:r>
      <w:r w:rsidR="008D1167">
        <w:t xml:space="preserve"> </w:t>
      </w:r>
      <w:r w:rsidR="00880F10">
        <w:t xml:space="preserve">supports including pro forma capital additions to </w:t>
      </w:r>
      <w:r w:rsidR="008D1167">
        <w:t xml:space="preserve">address regulatory lag and rate case frequency, </w:t>
      </w:r>
      <w:r w:rsidR="00880F10">
        <w:t xml:space="preserve">but proposes to limit the adjustment to </w:t>
      </w:r>
      <w:r w:rsidR="00F83BDB">
        <w:t>amounts placed in service as of August 31, 2014.</w:t>
      </w:r>
      <w:r w:rsidR="00890F21">
        <w:rPr>
          <w:rStyle w:val="FootnoteReference"/>
        </w:rPr>
        <w:footnoteReference w:id="16"/>
      </w:r>
      <w:r w:rsidR="008D1167">
        <w:t xml:space="preserve">  </w:t>
      </w:r>
      <w:r w:rsidR="00F83BDB">
        <w:t>Boise proposes that all pro forma projects be excluded except the Merwin Fish Collector</w:t>
      </w:r>
      <w:r w:rsidR="00737B4D">
        <w:t xml:space="preserve"> arguing that the Company did not provide sufficient information about 25 of the 30 pro forma capital additions</w:t>
      </w:r>
      <w:r w:rsidR="00F83BDB">
        <w:t>.</w:t>
      </w:r>
      <w:r w:rsidR="00F83BDB">
        <w:rPr>
          <w:rStyle w:val="FootnoteReference"/>
        </w:rPr>
        <w:footnoteReference w:id="17"/>
      </w:r>
      <w:r w:rsidR="00F83BDB">
        <w:t xml:space="preserve">  </w:t>
      </w:r>
    </w:p>
    <w:p w:rsidR="00F83BDB" w:rsidRPr="00A65B51" w:rsidRDefault="00F83BDB" w:rsidP="00903424">
      <w:pPr>
        <w:pStyle w:val="Answer"/>
        <w:jc w:val="left"/>
        <w:rPr>
          <w:b/>
        </w:rPr>
      </w:pPr>
      <w:r w:rsidRPr="00A65B51">
        <w:rPr>
          <w:b/>
        </w:rPr>
        <w:t>Q.</w:t>
      </w:r>
      <w:r w:rsidRPr="00A65B51">
        <w:rPr>
          <w:b/>
        </w:rPr>
        <w:tab/>
        <w:t>What is the Company’s response to the Parties’ proposals?</w:t>
      </w:r>
    </w:p>
    <w:p w:rsidR="00F83BDB" w:rsidRDefault="00F83BDB" w:rsidP="00F83BDB">
      <w:pPr>
        <w:pStyle w:val="Answer"/>
        <w:jc w:val="left"/>
      </w:pPr>
      <w:r>
        <w:t>A.</w:t>
      </w:r>
      <w:r>
        <w:tab/>
        <w:t xml:space="preserve">As discussed in more detail in Mr. </w:t>
      </w:r>
      <w:r w:rsidRPr="00F83BDB">
        <w:t>Dalley</w:t>
      </w:r>
      <w:r w:rsidRPr="00A65B51">
        <w:t>’s rebuttal testimony,</w:t>
      </w:r>
      <w:r>
        <w:t xml:space="preserve"> the Company continues to support the pro forma adjustment for major capital additions proposed in its initial filing.  The Company will update pro forma project costs to reflect actual amounts placed in service before the rate effective date in the Company’s compliance filing in this case.  Thus, the adjustment will reflect only the actual costs of projects that are in service and serving customers by the rate effective date.</w:t>
      </w:r>
    </w:p>
    <w:p w:rsidR="0091617D" w:rsidRPr="00E67523" w:rsidRDefault="0091617D" w:rsidP="00903424">
      <w:pPr>
        <w:pStyle w:val="Answer"/>
        <w:jc w:val="left"/>
        <w:rPr>
          <w:b/>
        </w:rPr>
      </w:pPr>
      <w:r w:rsidRPr="00E67523">
        <w:rPr>
          <w:b/>
        </w:rPr>
        <w:t>Q.</w:t>
      </w:r>
      <w:r w:rsidRPr="00E67523">
        <w:rPr>
          <w:b/>
        </w:rPr>
        <w:tab/>
      </w:r>
      <w:r>
        <w:rPr>
          <w:b/>
        </w:rPr>
        <w:t xml:space="preserve">Are there any computational </w:t>
      </w:r>
      <w:r w:rsidR="008D1167">
        <w:rPr>
          <w:b/>
        </w:rPr>
        <w:t xml:space="preserve">problems </w:t>
      </w:r>
      <w:r>
        <w:rPr>
          <w:b/>
        </w:rPr>
        <w:t xml:space="preserve">in </w:t>
      </w:r>
      <w:r w:rsidR="008D1167">
        <w:rPr>
          <w:b/>
        </w:rPr>
        <w:t>Public Counsel</w:t>
      </w:r>
      <w:r>
        <w:rPr>
          <w:b/>
        </w:rPr>
        <w:t>’</w:t>
      </w:r>
      <w:r w:rsidR="008D1167">
        <w:rPr>
          <w:b/>
        </w:rPr>
        <w:t>s</w:t>
      </w:r>
      <w:r>
        <w:rPr>
          <w:b/>
        </w:rPr>
        <w:t xml:space="preserve"> calculations?</w:t>
      </w:r>
    </w:p>
    <w:p w:rsidR="00EF7C4E" w:rsidRDefault="0091617D" w:rsidP="00903424">
      <w:pPr>
        <w:pStyle w:val="Answer"/>
        <w:jc w:val="left"/>
      </w:pPr>
      <w:r>
        <w:t>A.</w:t>
      </w:r>
      <w:r>
        <w:tab/>
      </w:r>
      <w:r w:rsidR="007A1BFD">
        <w:t xml:space="preserve">Yes. </w:t>
      </w:r>
      <w:r w:rsidR="00F83BDB">
        <w:t xml:space="preserve"> </w:t>
      </w:r>
      <w:r w:rsidR="007A1BFD">
        <w:t xml:space="preserve">In the calculation of </w:t>
      </w:r>
      <w:r w:rsidR="00993164">
        <w:t xml:space="preserve">the </w:t>
      </w:r>
      <w:r w:rsidR="007A1BFD">
        <w:t>revenue requirement impact o</w:t>
      </w:r>
      <w:r w:rsidR="00993164">
        <w:t>f</w:t>
      </w:r>
      <w:r w:rsidR="007A1BFD">
        <w:t xml:space="preserve"> </w:t>
      </w:r>
      <w:r w:rsidR="008D1167">
        <w:t>the</w:t>
      </w:r>
      <w:r w:rsidR="00993164">
        <w:t>ir</w:t>
      </w:r>
      <w:r w:rsidR="008D1167">
        <w:t xml:space="preserve"> </w:t>
      </w:r>
      <w:r w:rsidR="007A1BFD">
        <w:t xml:space="preserve">proposed </w:t>
      </w:r>
      <w:r w:rsidR="00993164">
        <w:t>reduction to pro forma major plant additions</w:t>
      </w:r>
      <w:r w:rsidR="007A1BFD">
        <w:t xml:space="preserve"> adjustment, </w:t>
      </w:r>
      <w:r w:rsidR="008D1167">
        <w:t>Public Counsel</w:t>
      </w:r>
      <w:r w:rsidR="007A1BFD">
        <w:t xml:space="preserve"> used the total</w:t>
      </w:r>
      <w:r w:rsidR="00AD1F53">
        <w:t>-</w:t>
      </w:r>
      <w:r w:rsidR="007A1BFD">
        <w:t xml:space="preserve">company change in depreciation expense rather than the Washington-allocated amount.  In doing so, </w:t>
      </w:r>
      <w:r w:rsidR="008D1167">
        <w:t>Public Counsel</w:t>
      </w:r>
      <w:r w:rsidR="007A1BFD">
        <w:t xml:space="preserve"> </w:t>
      </w:r>
      <w:r w:rsidR="00AD1F53">
        <w:t xml:space="preserve">removes too much depreciation expense, which </w:t>
      </w:r>
      <w:r w:rsidR="007A1BFD">
        <w:t xml:space="preserve">overstates the revenue requirement impact of </w:t>
      </w:r>
      <w:r w:rsidR="00337B29">
        <w:t xml:space="preserve">its </w:t>
      </w:r>
      <w:r w:rsidR="007A1BFD">
        <w:t>proposed adjustment by approximately $479</w:t>
      </w:r>
      <w:r w:rsidR="006A16C0">
        <w:t>,000</w:t>
      </w:r>
      <w:r w:rsidR="007A1BFD">
        <w:t>.</w:t>
      </w:r>
    </w:p>
    <w:p w:rsidR="00C95D88" w:rsidRDefault="00326C9F" w:rsidP="0094418C">
      <w:pPr>
        <w:pStyle w:val="Answer"/>
        <w:ind w:firstLine="720"/>
        <w:jc w:val="left"/>
      </w:pPr>
      <w:r w:rsidRPr="00326C9F">
        <w:t xml:space="preserve">The deferred tax calculation </w:t>
      </w:r>
      <w:r w:rsidR="008D1167">
        <w:t xml:space="preserve">should </w:t>
      </w:r>
      <w:r>
        <w:t xml:space="preserve">also </w:t>
      </w:r>
      <w:r w:rsidR="008D1167">
        <w:t>be adjusted</w:t>
      </w:r>
      <w:r w:rsidRPr="00326C9F">
        <w:t xml:space="preserve">. </w:t>
      </w:r>
      <w:r w:rsidR="00F83BDB">
        <w:t xml:space="preserve"> </w:t>
      </w:r>
      <w:r w:rsidRPr="00326C9F">
        <w:t>Public Council takes a</w:t>
      </w:r>
      <w:r w:rsidR="007A70CD">
        <w:t>n</w:t>
      </w:r>
      <w:r w:rsidRPr="00326C9F">
        <w:t xml:space="preserve"> </w:t>
      </w:r>
      <w:r w:rsidR="00A63BA3">
        <w:t>over</w:t>
      </w:r>
      <w:r w:rsidR="00B61DDE">
        <w:t>-</w:t>
      </w:r>
      <w:r w:rsidR="00A63BA3">
        <w:t>simplified</w:t>
      </w:r>
      <w:r w:rsidR="00A63BA3" w:rsidRPr="00326C9F">
        <w:t xml:space="preserve"> </w:t>
      </w:r>
      <w:r w:rsidRPr="00326C9F">
        <w:t>approach by applying the percentage of disallowance to the Washington</w:t>
      </w:r>
      <w:r w:rsidR="00F83BDB">
        <w:t>-</w:t>
      </w:r>
      <w:r w:rsidRPr="00326C9F">
        <w:t>allocated deferred tax items.</w:t>
      </w:r>
      <w:r>
        <w:t xml:space="preserve">  </w:t>
      </w:r>
      <w:r w:rsidR="00F83BDB">
        <w:t>This</w:t>
      </w:r>
      <w:r>
        <w:t xml:space="preserve"> approach does not accurately reflect the deferred tax impact of </w:t>
      </w:r>
      <w:r w:rsidR="008D1167">
        <w:t>Public Counsel</w:t>
      </w:r>
      <w:r>
        <w:t>’</w:t>
      </w:r>
      <w:r w:rsidR="008D1167">
        <w:t>s</w:t>
      </w:r>
      <w:r>
        <w:t xml:space="preserve"> proposed reduction on </w:t>
      </w:r>
      <w:r w:rsidR="00663278">
        <w:t>pro forma</w:t>
      </w:r>
      <w:r>
        <w:t xml:space="preserve"> capital addition amounts.</w:t>
      </w:r>
    </w:p>
    <w:p w:rsidR="00F34FAF" w:rsidRDefault="00F34FAF" w:rsidP="00C95D88">
      <w:pPr>
        <w:pStyle w:val="Answer"/>
        <w:jc w:val="left"/>
        <w:rPr>
          <w:b/>
        </w:rPr>
      </w:pPr>
      <w:r w:rsidRPr="000606D0">
        <w:rPr>
          <w:b/>
        </w:rPr>
        <w:t>Q.</w:t>
      </w:r>
      <w:r>
        <w:rPr>
          <w:b/>
        </w:rPr>
        <w:tab/>
        <w:t xml:space="preserve">Does the Company have any concerns with </w:t>
      </w:r>
      <w:r w:rsidR="00671E93">
        <w:rPr>
          <w:b/>
        </w:rPr>
        <w:t>Boise</w:t>
      </w:r>
      <w:r>
        <w:rPr>
          <w:b/>
        </w:rPr>
        <w:t>’</w:t>
      </w:r>
      <w:r w:rsidR="00671E93">
        <w:rPr>
          <w:b/>
        </w:rPr>
        <w:t>s</w:t>
      </w:r>
      <w:r>
        <w:rPr>
          <w:b/>
        </w:rPr>
        <w:t xml:space="preserve"> </w:t>
      </w:r>
      <w:r w:rsidR="007E4856">
        <w:rPr>
          <w:b/>
        </w:rPr>
        <w:t>calculation</w:t>
      </w:r>
      <w:r w:rsidR="00337B29">
        <w:rPr>
          <w:b/>
        </w:rPr>
        <w:t xml:space="preserve"> of its change to the adjustment for pro forma capital additions</w:t>
      </w:r>
      <w:r>
        <w:rPr>
          <w:b/>
        </w:rPr>
        <w:t>?</w:t>
      </w:r>
    </w:p>
    <w:p w:rsidR="00C262D6" w:rsidRDefault="00F34FAF" w:rsidP="00903424">
      <w:pPr>
        <w:pStyle w:val="Answer"/>
        <w:jc w:val="left"/>
      </w:pPr>
      <w:r>
        <w:t>A.</w:t>
      </w:r>
      <w:r>
        <w:tab/>
      </w:r>
      <w:r w:rsidR="007E4856">
        <w:t>Yes.</w:t>
      </w:r>
      <w:r w:rsidR="009A2DB0">
        <w:t xml:space="preserve"> </w:t>
      </w:r>
      <w:r w:rsidR="007E4856">
        <w:t xml:space="preserve"> </w:t>
      </w:r>
      <w:r w:rsidR="00671E93">
        <w:t>Boise</w:t>
      </w:r>
      <w:r w:rsidR="00337B29">
        <w:t xml:space="preserve"> overstates the impact o</w:t>
      </w:r>
      <w:r w:rsidR="00AD1F53">
        <w:t>f its adjustment on</w:t>
      </w:r>
      <w:r w:rsidR="00337B29">
        <w:t xml:space="preserve"> </w:t>
      </w:r>
      <w:r w:rsidR="00744F47">
        <w:t>depreciation expense</w:t>
      </w:r>
      <w:r w:rsidR="00AD1F53">
        <w:t xml:space="preserve"> and </w:t>
      </w:r>
      <w:r w:rsidR="00AA6898">
        <w:t xml:space="preserve">accumulated </w:t>
      </w:r>
      <w:r w:rsidR="00744F47">
        <w:t>depreciation.</w:t>
      </w:r>
      <w:r w:rsidR="009A2DB0">
        <w:t xml:space="preserve"> </w:t>
      </w:r>
      <w:r w:rsidR="00744F47">
        <w:t xml:space="preserve"> </w:t>
      </w:r>
      <w:r w:rsidR="00671E93">
        <w:t xml:space="preserve">Boise </w:t>
      </w:r>
      <w:r w:rsidR="00AD1F53">
        <w:t xml:space="preserve">uses </w:t>
      </w:r>
      <w:r w:rsidR="00744F47">
        <w:t xml:space="preserve">a ratio of the total Merwin </w:t>
      </w:r>
      <w:r w:rsidR="00AD1F53">
        <w:t xml:space="preserve">fish collector </w:t>
      </w:r>
      <w:r w:rsidR="00744F47">
        <w:t xml:space="preserve">depreciation to total hydro depreciation expense </w:t>
      </w:r>
      <w:r w:rsidR="00AD1F53">
        <w:t xml:space="preserve">to determine the amount of depreciation </w:t>
      </w:r>
      <w:r w:rsidR="005E5ECB">
        <w:t xml:space="preserve">expense </w:t>
      </w:r>
      <w:r w:rsidR="00AD1F53">
        <w:t xml:space="preserve">and associated reserve to remove from the Company’s proposed adjustment.  </w:t>
      </w:r>
      <w:r>
        <w:t>This overstate</w:t>
      </w:r>
      <w:r w:rsidR="00337B29">
        <w:t>s</w:t>
      </w:r>
      <w:r w:rsidR="00AD1F53">
        <w:t xml:space="preserve"> the adjustment to</w:t>
      </w:r>
      <w:r w:rsidR="00744F47">
        <w:t xml:space="preserve"> depreciation expense</w:t>
      </w:r>
      <w:r>
        <w:t xml:space="preserve"> by </w:t>
      </w:r>
      <w:r w:rsidR="00EF0361">
        <w:t xml:space="preserve">approximately </w:t>
      </w:r>
      <w:r>
        <w:t>$157</w:t>
      </w:r>
      <w:r w:rsidR="00EF0361">
        <w:t>,000</w:t>
      </w:r>
      <w:r w:rsidR="00744F47">
        <w:t xml:space="preserve"> and </w:t>
      </w:r>
      <w:r w:rsidR="00AD1F53">
        <w:t xml:space="preserve">to </w:t>
      </w:r>
      <w:r w:rsidR="00744F47">
        <w:t xml:space="preserve">depreciation reserve by </w:t>
      </w:r>
      <w:r w:rsidR="00EF0361">
        <w:t xml:space="preserve">approximately </w:t>
      </w:r>
      <w:r w:rsidR="00744F47">
        <w:t>$161</w:t>
      </w:r>
      <w:r w:rsidR="00EF0361">
        <w:t>,000</w:t>
      </w:r>
      <w:r w:rsidR="00744F47">
        <w:t>.</w:t>
      </w:r>
      <w:r w:rsidR="00AD1F53">
        <w:t xml:space="preserve"> </w:t>
      </w:r>
      <w:r w:rsidR="00744F47">
        <w:t xml:space="preserve"> </w:t>
      </w:r>
      <w:r w:rsidR="00671E93">
        <w:t>Boise</w:t>
      </w:r>
      <w:r w:rsidR="00744F47">
        <w:t xml:space="preserve"> </w:t>
      </w:r>
      <w:r>
        <w:t xml:space="preserve">also </w:t>
      </w:r>
      <w:r w:rsidR="00744F47">
        <w:t>takes a</w:t>
      </w:r>
      <w:r w:rsidR="00B61DDE">
        <w:t>n</w:t>
      </w:r>
      <w:r w:rsidR="00A63BA3">
        <w:t xml:space="preserve"> over</w:t>
      </w:r>
      <w:r w:rsidR="00B61DDE">
        <w:t>-</w:t>
      </w:r>
      <w:r w:rsidR="00A63BA3">
        <w:t>simplified</w:t>
      </w:r>
      <w:r w:rsidR="00744F47">
        <w:t xml:space="preserve"> approach t</w:t>
      </w:r>
      <w:r>
        <w:t>o the deferred tax calculation by taking the ratio of the Washington-</w:t>
      </w:r>
      <w:r w:rsidR="00744F47">
        <w:t xml:space="preserve">allocated Merwin Fish </w:t>
      </w:r>
      <w:r w:rsidR="006C0A2B">
        <w:t>C</w:t>
      </w:r>
      <w:r w:rsidR="00744F47">
        <w:t xml:space="preserve">ollector </w:t>
      </w:r>
      <w:r w:rsidR="006C0A2B">
        <w:t xml:space="preserve">plant addition amounts to </w:t>
      </w:r>
      <w:r>
        <w:t xml:space="preserve">the </w:t>
      </w:r>
      <w:r w:rsidR="006C0A2B">
        <w:t xml:space="preserve">total </w:t>
      </w:r>
      <w:r>
        <w:t>Washington-</w:t>
      </w:r>
      <w:r w:rsidR="00744F47">
        <w:t>allocated plant</w:t>
      </w:r>
      <w:r>
        <w:t xml:space="preserve"> </w:t>
      </w:r>
      <w:r w:rsidR="006C0A2B">
        <w:t xml:space="preserve">additions allocated on the Control Area Generation West (CAGW), </w:t>
      </w:r>
      <w:r w:rsidR="00744F47">
        <w:t>and</w:t>
      </w:r>
      <w:r>
        <w:t xml:space="preserve"> applies that percentage to the Washington-</w:t>
      </w:r>
      <w:r w:rsidR="00744F47">
        <w:t xml:space="preserve">allocated deferred tax amounts in the Company’s adjustment. </w:t>
      </w:r>
      <w:r>
        <w:t xml:space="preserve"> </w:t>
      </w:r>
      <w:r w:rsidR="00AD1F53">
        <w:t>S</w:t>
      </w:r>
      <w:r>
        <w:t xml:space="preserve">implifications like these do not properly </w:t>
      </w:r>
      <w:r w:rsidR="00080F84">
        <w:t>account for</w:t>
      </w:r>
      <w:r>
        <w:t xml:space="preserve"> </w:t>
      </w:r>
      <w:r w:rsidR="00C15019">
        <w:t xml:space="preserve">the </w:t>
      </w:r>
      <w:r>
        <w:t>impact on deferred taxes from the adjustments proposed.</w:t>
      </w:r>
    </w:p>
    <w:p w:rsidR="00737B4D" w:rsidRPr="00A65B51" w:rsidRDefault="00737B4D" w:rsidP="00903424">
      <w:pPr>
        <w:pStyle w:val="Answer"/>
        <w:jc w:val="left"/>
        <w:rPr>
          <w:b/>
        </w:rPr>
      </w:pPr>
      <w:r w:rsidRPr="00A65B51">
        <w:rPr>
          <w:b/>
        </w:rPr>
        <w:t>Q.</w:t>
      </w:r>
      <w:r w:rsidRPr="00A65B51">
        <w:rPr>
          <w:b/>
        </w:rPr>
        <w:tab/>
        <w:t>Boise asserts that the Company did not provide sufficient information regarding all of its proposed capital additions.  Do you agree?</w:t>
      </w:r>
    </w:p>
    <w:p w:rsidR="00737B4D" w:rsidRDefault="00737B4D" w:rsidP="00903424">
      <w:pPr>
        <w:pStyle w:val="Answer"/>
        <w:jc w:val="left"/>
      </w:pPr>
      <w:r>
        <w:t>A.</w:t>
      </w:r>
      <w:r>
        <w:tab/>
        <w:t xml:space="preserve">No.  The Company’s proposed pro forma capital additions were discussed in my initial testimony </w:t>
      </w:r>
      <w:r w:rsidR="00993164">
        <w:t xml:space="preserve">and exhibits </w:t>
      </w:r>
      <w:r>
        <w:t xml:space="preserve">as well as the testimonies of Mr. </w:t>
      </w:r>
      <w:r w:rsidR="005E5ECB">
        <w:t xml:space="preserve">Richard A. </w:t>
      </w:r>
      <w:r>
        <w:t>Vail</w:t>
      </w:r>
      <w:r w:rsidR="00326923">
        <w:t>, Mr. Mark R. Tallman</w:t>
      </w:r>
      <w:r>
        <w:t xml:space="preserve"> and Mr. </w:t>
      </w:r>
      <w:r w:rsidR="005E5ECB">
        <w:t xml:space="preserve">Dana M. </w:t>
      </w:r>
      <w:r>
        <w:t>Ralston.  The company provided detailed initial testimony on all projects over $1.0 million on a Washington-allocated basis.  In addition, the Company responded to numerous data requests regarding the proposed pro forma capital additions, including providing approval documents and other information for every one of the 30 projects in response to Public Counsel data request 53.  A copy of the Company’s response to Public Counsel data request 53, including attachment 53.1 and a list of all of the documents provided with the response, is provided in Exhibit No. NCS-16.</w:t>
      </w:r>
    </w:p>
    <w:p w:rsidR="00225A5C" w:rsidRPr="00A65B51" w:rsidRDefault="00225A5C" w:rsidP="00A65B51">
      <w:pPr>
        <w:pStyle w:val="Answer"/>
        <w:keepNext/>
        <w:jc w:val="left"/>
        <w:rPr>
          <w:b/>
        </w:rPr>
      </w:pPr>
      <w:r w:rsidRPr="00A65B51">
        <w:rPr>
          <w:b/>
        </w:rPr>
        <w:t>Q.</w:t>
      </w:r>
      <w:r w:rsidRPr="00A65B51">
        <w:rPr>
          <w:b/>
        </w:rPr>
        <w:tab/>
        <w:t>Did Boise have concerns about specific capital projects?</w:t>
      </w:r>
    </w:p>
    <w:p w:rsidR="00225A5C" w:rsidRDefault="00225A5C" w:rsidP="00903424">
      <w:pPr>
        <w:pStyle w:val="Answer"/>
        <w:jc w:val="left"/>
      </w:pPr>
      <w:r>
        <w:t>A.</w:t>
      </w:r>
      <w:r>
        <w:tab/>
        <w:t>Yes.  Boise criticizes the Company’s Jim Bridger Unit 1 cooling tower replacement project, the Union Gap substation upgrade, the Selah substation capacity relief project, and the Fry substation project.  The three substation projects are addressed in Mr. Vail’s direct and rebuttal testimonies.  I address Boise’s argument regarding the Jim Bridger cooling tower replacement project below.</w:t>
      </w:r>
    </w:p>
    <w:p w:rsidR="00225A5C" w:rsidRDefault="00225A5C" w:rsidP="00225A5C">
      <w:pPr>
        <w:pStyle w:val="Answer"/>
        <w:jc w:val="left"/>
        <w:rPr>
          <w:b/>
        </w:rPr>
      </w:pPr>
      <w:r w:rsidRPr="000606D0">
        <w:rPr>
          <w:b/>
        </w:rPr>
        <w:t>Q.</w:t>
      </w:r>
      <w:r>
        <w:rPr>
          <w:b/>
        </w:rPr>
        <w:tab/>
        <w:t>Please describe and respond to the issues Boise raised regarding the Jim Bridger Unit 1 cooling tower replacement project.</w:t>
      </w:r>
    </w:p>
    <w:p w:rsidR="00225A5C" w:rsidRDefault="00225A5C" w:rsidP="00225A5C">
      <w:pPr>
        <w:pStyle w:val="Answer"/>
        <w:jc w:val="left"/>
      </w:pPr>
      <w:r>
        <w:t>A.</w:t>
      </w:r>
      <w:r>
        <w:tab/>
        <w:t>Boise claims that the Jim Bridger Unit 1 cooling tower replacement project should be excluded, alleging that cost and timing of the project appear uncertain based on the Company responses to Public Counsel data request 54.</w:t>
      </w:r>
      <w:r>
        <w:rPr>
          <w:rStyle w:val="FootnoteReference"/>
        </w:rPr>
        <w:footnoteReference w:id="18"/>
      </w:r>
      <w:r>
        <w:t xml:space="preserve">  </w:t>
      </w:r>
    </w:p>
    <w:p w:rsidR="00225A5C" w:rsidRPr="001421F1" w:rsidRDefault="00225A5C" w:rsidP="00225A5C">
      <w:pPr>
        <w:pStyle w:val="Answer"/>
        <w:jc w:val="left"/>
        <w:rPr>
          <w:b/>
        </w:rPr>
      </w:pPr>
      <w:r w:rsidRPr="001421F1">
        <w:rPr>
          <w:b/>
        </w:rPr>
        <w:t>Q.</w:t>
      </w:r>
      <w:r w:rsidRPr="001421F1">
        <w:rPr>
          <w:b/>
        </w:rPr>
        <w:tab/>
        <w:t>Are Boise’s concerns valid?</w:t>
      </w:r>
    </w:p>
    <w:p w:rsidR="00225A5C" w:rsidRDefault="00225A5C" w:rsidP="00225A5C">
      <w:pPr>
        <w:pStyle w:val="Answer"/>
        <w:jc w:val="left"/>
      </w:pPr>
      <w:r>
        <w:t>A.</w:t>
      </w:r>
      <w:r>
        <w:tab/>
        <w:t xml:space="preserve">No.  The replacement of the Jim Bridger Unit 1 cooling tower was completed and placed in service earlier this year and is now providing service to customers.  The costs associated with this project are therefore known and measurable and the project is used and useful in serving Washington customers.  There is no uncertainty about the final costs of the project or the project’s in service date.   </w:t>
      </w:r>
    </w:p>
    <w:p w:rsidR="00893681" w:rsidRDefault="00EE074B" w:rsidP="00466D86">
      <w:pPr>
        <w:spacing w:line="480" w:lineRule="auto"/>
        <w:ind w:left="720"/>
      </w:pPr>
      <w:r>
        <w:tab/>
      </w:r>
      <w:r w:rsidR="00225A5C" w:rsidRPr="00EE074B">
        <w:t xml:space="preserve">Boise’s position is based on the mistaken premise that the Company’s revised response to Public Counsel data request 54 was an </w:t>
      </w:r>
      <w:r w:rsidR="00225A5C" w:rsidRPr="00EE074B">
        <w:rPr>
          <w:i/>
        </w:rPr>
        <w:t>update</w:t>
      </w:r>
      <w:r w:rsidR="00225A5C" w:rsidRPr="00EE074B">
        <w:t xml:space="preserve"> when it was actually a correction, as noted in the revised response itself.</w:t>
      </w:r>
      <w:r w:rsidR="00225A5C" w:rsidRPr="00EE074B">
        <w:rPr>
          <w:rStyle w:val="FootnoteReference"/>
          <w:b/>
        </w:rPr>
        <w:footnoteReference w:id="19"/>
      </w:r>
      <w:r w:rsidR="00225A5C" w:rsidRPr="00EE074B">
        <w:t xml:space="preserve">  </w:t>
      </w:r>
    </w:p>
    <w:p w:rsidR="001A4DC7" w:rsidRPr="00893681" w:rsidRDefault="001A4DC7" w:rsidP="00893681">
      <w:pPr>
        <w:pStyle w:val="Heading2"/>
      </w:pPr>
      <w:bookmarkStart w:id="21" w:name="_Toc403718448"/>
      <w:r w:rsidRPr="00893681">
        <w:t xml:space="preserve">Use of </w:t>
      </w:r>
      <w:r w:rsidR="00080F84" w:rsidRPr="00893681">
        <w:t>End</w:t>
      </w:r>
      <w:r w:rsidR="00B42DE2" w:rsidRPr="00893681">
        <w:t>-</w:t>
      </w:r>
      <w:r w:rsidR="00080F84" w:rsidRPr="00893681">
        <w:t>of</w:t>
      </w:r>
      <w:r w:rsidR="00B42DE2" w:rsidRPr="00893681">
        <w:t>-</w:t>
      </w:r>
      <w:r w:rsidR="000336EB" w:rsidRPr="00893681">
        <w:t>Period</w:t>
      </w:r>
      <w:r w:rsidRPr="00893681">
        <w:t xml:space="preserve"> </w:t>
      </w:r>
      <w:r w:rsidR="00080F84" w:rsidRPr="00893681">
        <w:t>Rate Base</w:t>
      </w:r>
      <w:bookmarkEnd w:id="21"/>
    </w:p>
    <w:p w:rsidR="006D4226" w:rsidRDefault="00080F84" w:rsidP="00903424">
      <w:pPr>
        <w:pStyle w:val="Answer"/>
        <w:jc w:val="left"/>
        <w:rPr>
          <w:b/>
        </w:rPr>
      </w:pPr>
      <w:r>
        <w:rPr>
          <w:b/>
        </w:rPr>
        <w:t>Q.</w:t>
      </w:r>
      <w:r>
        <w:rPr>
          <w:b/>
        </w:rPr>
        <w:tab/>
      </w:r>
      <w:r w:rsidR="00AD1F53">
        <w:rPr>
          <w:b/>
        </w:rPr>
        <w:t>Has the Company made any changes to its adjustment to reflect plant in service at end-of-period balances?</w:t>
      </w:r>
    </w:p>
    <w:p w:rsidR="00F02BB9" w:rsidRPr="00080F84" w:rsidRDefault="00080F84" w:rsidP="00AD1F53">
      <w:pPr>
        <w:pStyle w:val="Answer"/>
        <w:jc w:val="left"/>
      </w:pPr>
      <w:r w:rsidRPr="00080F84">
        <w:t>A.</w:t>
      </w:r>
      <w:r>
        <w:tab/>
      </w:r>
      <w:r w:rsidR="00AD1F53">
        <w:t xml:space="preserve">No.  Mr. Dalley addresses the Parties’ positions on the use of end-of-period rate base balances in his rebuttal testimony.  </w:t>
      </w:r>
    </w:p>
    <w:p w:rsidR="00391699" w:rsidRDefault="00391699" w:rsidP="00903424">
      <w:pPr>
        <w:pStyle w:val="Heading2"/>
        <w:jc w:val="left"/>
      </w:pPr>
      <w:bookmarkStart w:id="22" w:name="_Toc403718449"/>
      <w:r>
        <w:t>Other Rate Base Adjustments</w:t>
      </w:r>
      <w:bookmarkEnd w:id="22"/>
    </w:p>
    <w:p w:rsidR="005E00C0" w:rsidRPr="002825AC" w:rsidRDefault="005E00C0" w:rsidP="00903424">
      <w:pPr>
        <w:pStyle w:val="Answer"/>
        <w:jc w:val="left"/>
        <w:rPr>
          <w:b/>
        </w:rPr>
      </w:pPr>
      <w:r w:rsidRPr="002825AC">
        <w:rPr>
          <w:b/>
        </w:rPr>
        <w:t>Q.</w:t>
      </w:r>
      <w:r w:rsidRPr="002825AC">
        <w:rPr>
          <w:b/>
        </w:rPr>
        <w:tab/>
      </w:r>
      <w:r>
        <w:rPr>
          <w:b/>
        </w:rPr>
        <w:t>Did the Company make any other rate base adjustments in its revenue requirement calculation?</w:t>
      </w:r>
    </w:p>
    <w:p w:rsidR="00B320F5" w:rsidRDefault="005E00C0" w:rsidP="00903424">
      <w:pPr>
        <w:pStyle w:val="Answer"/>
        <w:jc w:val="left"/>
      </w:pPr>
      <w:r w:rsidRPr="00EA7006">
        <w:t>A.</w:t>
      </w:r>
      <w:r w:rsidRPr="00EA7006">
        <w:tab/>
        <w:t>Yes.  In preparing the rebuttal revenue requirement, the Company identified a</w:t>
      </w:r>
      <w:r w:rsidR="008E4368">
        <w:t>n error</w:t>
      </w:r>
      <w:r w:rsidR="00BC0EE6">
        <w:t xml:space="preserve"> in </w:t>
      </w:r>
      <w:r w:rsidR="00E535AB">
        <w:t>a</w:t>
      </w:r>
      <w:r w:rsidR="004D250C">
        <w:t xml:space="preserve">djustment 8.5-8.5.1 </w:t>
      </w:r>
      <w:r w:rsidR="00E535AB">
        <w:t>(</w:t>
      </w:r>
      <w:r w:rsidR="00BC0EE6">
        <w:t>Miscellaneous R</w:t>
      </w:r>
      <w:r w:rsidRPr="00EA7006">
        <w:t>at</w:t>
      </w:r>
      <w:r w:rsidR="00BC0EE6">
        <w:t>e Base D</w:t>
      </w:r>
      <w:r w:rsidRPr="00EA7006">
        <w:t>eductions</w:t>
      </w:r>
      <w:r w:rsidR="00E535AB">
        <w:t>).  T</w:t>
      </w:r>
      <w:r w:rsidRPr="00EA7006">
        <w:t xml:space="preserve">wo account balances were not removed from unadjusted results </w:t>
      </w:r>
      <w:r w:rsidR="00E535AB">
        <w:t>before</w:t>
      </w:r>
      <w:r w:rsidRPr="00EA7006">
        <w:t xml:space="preserve"> being added back into </w:t>
      </w:r>
      <w:r w:rsidR="008E4368">
        <w:t xml:space="preserve">rate base through the </w:t>
      </w:r>
      <w:r w:rsidRPr="00EA7006">
        <w:t>Invest</w:t>
      </w:r>
      <w:r w:rsidR="00EA7006" w:rsidRPr="00EA7006">
        <w:t>or Supplied Working Capital</w:t>
      </w:r>
      <w:r w:rsidR="008E4368">
        <w:t xml:space="preserve"> adjustment</w:t>
      </w:r>
      <w:r w:rsidR="00EA7006" w:rsidRPr="00EA7006">
        <w:t xml:space="preserve">.  </w:t>
      </w:r>
      <w:r w:rsidR="008E4368">
        <w:t>By leaving the balances</w:t>
      </w:r>
      <w:r w:rsidR="00E535AB">
        <w:t xml:space="preserve"> (which are credits or reductions to rate base)</w:t>
      </w:r>
      <w:r w:rsidR="008E4368">
        <w:t xml:space="preserve"> in unadjusted results and </w:t>
      </w:r>
      <w:r w:rsidR="00E535AB">
        <w:t xml:space="preserve">including </w:t>
      </w:r>
      <w:r w:rsidR="008E4368">
        <w:t xml:space="preserve">the balances in the Investor Supplied Working Capital adjustment, these balances </w:t>
      </w:r>
      <w:r w:rsidR="00EA7006" w:rsidRPr="00EA7006">
        <w:t xml:space="preserve">were included twice in the Company’s </w:t>
      </w:r>
      <w:r w:rsidR="00EF0361">
        <w:t>t</w:t>
      </w:r>
      <w:r w:rsidR="008E4368">
        <w:t xml:space="preserve">est </w:t>
      </w:r>
      <w:r w:rsidR="00EF0361">
        <w:t>p</w:t>
      </w:r>
      <w:r w:rsidR="008E4368">
        <w:t>eriod rate base</w:t>
      </w:r>
      <w:r w:rsidR="00EA7006" w:rsidRPr="00EA7006">
        <w:t>.</w:t>
      </w:r>
      <w:r w:rsidR="00EA7006">
        <w:t xml:space="preserve">  To remedy this, the Company prepared </w:t>
      </w:r>
      <w:r w:rsidR="00E535AB">
        <w:t>r</w:t>
      </w:r>
      <w:r w:rsidR="00EA7006">
        <w:t xml:space="preserve">evised </w:t>
      </w:r>
      <w:r w:rsidR="00E535AB">
        <w:t>a</w:t>
      </w:r>
      <w:r w:rsidR="00EA7006">
        <w:t xml:space="preserve">djustment 8.5 to remove the </w:t>
      </w:r>
      <w:r w:rsidR="00E535AB">
        <w:t>“</w:t>
      </w:r>
      <w:r w:rsidR="00EA7006">
        <w:t>Injuries &amp; Damages Provisions</w:t>
      </w:r>
      <w:r w:rsidR="00E535AB">
        <w:t>”</w:t>
      </w:r>
      <w:r w:rsidR="00EA7006">
        <w:t xml:space="preserve"> and </w:t>
      </w:r>
      <w:r w:rsidR="00E535AB">
        <w:t>“</w:t>
      </w:r>
      <w:r w:rsidR="00EA7006">
        <w:t>Pension &amp; Benefits Provisions</w:t>
      </w:r>
      <w:r w:rsidR="00E535AB">
        <w:t>”</w:t>
      </w:r>
      <w:r w:rsidR="00EA7006">
        <w:t xml:space="preserve"> accounts from unadjusted results.</w:t>
      </w:r>
      <w:r w:rsidR="00901189">
        <w:t xml:space="preserve">  </w:t>
      </w:r>
    </w:p>
    <w:p w:rsidR="00B61DDE" w:rsidRPr="00B61DDE" w:rsidRDefault="00F3461C" w:rsidP="00903424">
      <w:pPr>
        <w:spacing w:line="480" w:lineRule="auto"/>
        <w:ind w:left="720" w:firstLine="720"/>
        <w:jc w:val="left"/>
      </w:pPr>
      <w:r>
        <w:t xml:space="preserve">In addition, the Company is correcting </w:t>
      </w:r>
      <w:r w:rsidR="00E535AB">
        <w:t>a</w:t>
      </w:r>
      <w:r w:rsidR="00624BF0">
        <w:t xml:space="preserve">djustment </w:t>
      </w:r>
      <w:r w:rsidR="00EF0361">
        <w:t>8.11</w:t>
      </w:r>
      <w:r w:rsidR="00E535AB">
        <w:t xml:space="preserve"> (Miscellaneous Asset Sales and Removals). </w:t>
      </w:r>
      <w:r>
        <w:t xml:space="preserve"> This adjustment was intended to remove from the test period cost items related to assets that have been sold or removed.  Through discovery, the Company determined that it </w:t>
      </w:r>
      <w:r w:rsidR="00624BF0">
        <w:t xml:space="preserve">inadvertently removed depreciation expense </w:t>
      </w:r>
      <w:r>
        <w:t>related to</w:t>
      </w:r>
      <w:r w:rsidR="00624BF0">
        <w:t xml:space="preserve"> hydro plants </w:t>
      </w:r>
      <w:r>
        <w:t>still in service</w:t>
      </w:r>
      <w:r w:rsidR="00E535AB">
        <w:t>.  T</w:t>
      </w:r>
      <w:r w:rsidR="00624BF0">
        <w:t xml:space="preserve">he Company </w:t>
      </w:r>
      <w:r w:rsidR="00E535AB">
        <w:t xml:space="preserve">corrects this error in </w:t>
      </w:r>
      <w:r w:rsidR="00624BF0">
        <w:t xml:space="preserve">revised </w:t>
      </w:r>
      <w:r w:rsidR="00E535AB">
        <w:t>a</w:t>
      </w:r>
      <w:r w:rsidR="00624BF0">
        <w:t xml:space="preserve">djustment 8.11. </w:t>
      </w:r>
      <w:r w:rsidR="00E535AB">
        <w:t xml:space="preserve"> </w:t>
      </w:r>
      <w:r w:rsidR="00624BF0">
        <w:t xml:space="preserve">This represents an increase in revenue requirement of </w:t>
      </w:r>
      <w:r w:rsidR="00EF0361">
        <w:t xml:space="preserve">approximately </w:t>
      </w:r>
      <w:r w:rsidR="00624BF0">
        <w:t>$379,</w:t>
      </w:r>
      <w:r w:rsidR="00EF0361">
        <w:t>000</w:t>
      </w:r>
      <w:r w:rsidR="00624BF0">
        <w:t>.</w:t>
      </w:r>
    </w:p>
    <w:p w:rsidR="000178DE" w:rsidRPr="000D3EEF" w:rsidRDefault="000178DE" w:rsidP="00F26C2D">
      <w:pPr>
        <w:pStyle w:val="Heading1"/>
        <w:jc w:val="center"/>
      </w:pPr>
      <w:bookmarkStart w:id="23" w:name="_Toc403718450"/>
      <w:r w:rsidRPr="000D3EEF">
        <w:t>Production Factor Adjustment Update</w:t>
      </w:r>
      <w:bookmarkEnd w:id="23"/>
    </w:p>
    <w:p w:rsidR="00EE074B" w:rsidRDefault="000178DE" w:rsidP="00EE074B">
      <w:pPr>
        <w:pStyle w:val="Question"/>
        <w:widowControl w:val="0"/>
        <w:jc w:val="left"/>
      </w:pPr>
      <w:r w:rsidRPr="00944CF5">
        <w:t>Q.</w:t>
      </w:r>
      <w:r>
        <w:rPr>
          <w:b w:val="0"/>
        </w:rPr>
        <w:tab/>
      </w:r>
      <w:r>
        <w:t>Please describe any updates to</w:t>
      </w:r>
      <w:r w:rsidRPr="00C11338">
        <w:t xml:space="preserve"> adjustments included in Tab </w:t>
      </w:r>
      <w:r>
        <w:t>9</w:t>
      </w:r>
      <w:r w:rsidRPr="00C11338">
        <w:t>.</w:t>
      </w:r>
    </w:p>
    <w:p w:rsidR="000178DE" w:rsidRDefault="000178DE" w:rsidP="00EE074B">
      <w:pPr>
        <w:pStyle w:val="Question"/>
        <w:widowControl w:val="0"/>
        <w:jc w:val="left"/>
        <w:rPr>
          <w:b w:val="0"/>
        </w:rPr>
      </w:pPr>
      <w:r w:rsidRPr="00EA1465">
        <w:rPr>
          <w:b w:val="0"/>
        </w:rPr>
        <w:t>A.</w:t>
      </w:r>
      <w:r>
        <w:tab/>
      </w:r>
      <w:r>
        <w:rPr>
          <w:b w:val="0"/>
        </w:rPr>
        <w:t xml:space="preserve">As explained in my direct testimony, the production factor is </w:t>
      </w:r>
      <w:r w:rsidRPr="00334533">
        <w:rPr>
          <w:b w:val="0"/>
        </w:rPr>
        <w:t xml:space="preserve">applied to </w:t>
      </w:r>
      <w:r>
        <w:rPr>
          <w:b w:val="0"/>
        </w:rPr>
        <w:t xml:space="preserve">a selection of pro forma adjustments as a means of adjusting pro forma generation-related components of the revenue requirement to </w:t>
      </w:r>
      <w:r w:rsidR="007D109A">
        <w:rPr>
          <w:b w:val="0"/>
        </w:rPr>
        <w:t>t</w:t>
      </w:r>
      <w:r>
        <w:rPr>
          <w:b w:val="0"/>
        </w:rPr>
        <w:t xml:space="preserve">est </w:t>
      </w:r>
      <w:r w:rsidR="007D109A">
        <w:rPr>
          <w:b w:val="0"/>
        </w:rPr>
        <w:t>p</w:t>
      </w:r>
      <w:r>
        <w:rPr>
          <w:b w:val="0"/>
        </w:rPr>
        <w:t>eriod expense and balance levels</w:t>
      </w:r>
      <w:r w:rsidR="007D109A">
        <w:rPr>
          <w:b w:val="0"/>
        </w:rPr>
        <w:t xml:space="preserve">, including </w:t>
      </w:r>
      <w:r>
        <w:rPr>
          <w:b w:val="0"/>
        </w:rPr>
        <w:t>pro forma net power cost</w:t>
      </w:r>
      <w:r w:rsidR="007D109A">
        <w:rPr>
          <w:b w:val="0"/>
        </w:rPr>
        <w:t>s</w:t>
      </w:r>
      <w:r>
        <w:rPr>
          <w:b w:val="0"/>
        </w:rPr>
        <w:t xml:space="preserve"> and pro forma </w:t>
      </w:r>
      <w:r w:rsidR="007D109A">
        <w:rPr>
          <w:b w:val="0"/>
        </w:rPr>
        <w:t xml:space="preserve">major </w:t>
      </w:r>
      <w:r>
        <w:rPr>
          <w:b w:val="0"/>
        </w:rPr>
        <w:t>plant addition</w:t>
      </w:r>
      <w:r w:rsidR="007D109A">
        <w:rPr>
          <w:b w:val="0"/>
        </w:rPr>
        <w:t>s</w:t>
      </w:r>
      <w:r>
        <w:rPr>
          <w:b w:val="0"/>
        </w:rPr>
        <w:t xml:space="preserve">.  </w:t>
      </w:r>
      <w:r w:rsidR="007D109A">
        <w:rPr>
          <w:b w:val="0"/>
        </w:rPr>
        <w:t>T</w:t>
      </w:r>
      <w:r>
        <w:rPr>
          <w:b w:val="0"/>
        </w:rPr>
        <w:t xml:space="preserve">he </w:t>
      </w:r>
      <w:r w:rsidR="007D109A">
        <w:rPr>
          <w:b w:val="0"/>
        </w:rPr>
        <w:t xml:space="preserve">Company updated the </w:t>
      </w:r>
      <w:r>
        <w:rPr>
          <w:b w:val="0"/>
        </w:rPr>
        <w:t xml:space="preserve">production factor adjustment </w:t>
      </w:r>
      <w:r w:rsidR="007D109A">
        <w:rPr>
          <w:b w:val="0"/>
        </w:rPr>
        <w:t xml:space="preserve">to reflect changes to the pro forma </w:t>
      </w:r>
      <w:r w:rsidR="00993164">
        <w:rPr>
          <w:b w:val="0"/>
        </w:rPr>
        <w:t xml:space="preserve">rebuttal </w:t>
      </w:r>
      <w:r w:rsidR="007D109A">
        <w:rPr>
          <w:b w:val="0"/>
        </w:rPr>
        <w:t>adjustments for net power costs and major plant additions</w:t>
      </w:r>
      <w:r>
        <w:rPr>
          <w:b w:val="0"/>
        </w:rPr>
        <w:t>.</w:t>
      </w:r>
    </w:p>
    <w:p w:rsidR="00391699" w:rsidRDefault="00391699" w:rsidP="0037593A">
      <w:pPr>
        <w:pStyle w:val="Heading1"/>
        <w:jc w:val="center"/>
      </w:pPr>
      <w:bookmarkStart w:id="24" w:name="_Toc403718451"/>
      <w:r>
        <w:t>Treatment of Deferrals</w:t>
      </w:r>
      <w:bookmarkEnd w:id="24"/>
    </w:p>
    <w:p w:rsidR="003A2574" w:rsidRDefault="003A2574" w:rsidP="00903424">
      <w:pPr>
        <w:pStyle w:val="Answer"/>
        <w:jc w:val="left"/>
        <w:rPr>
          <w:b/>
        </w:rPr>
      </w:pPr>
      <w:r>
        <w:rPr>
          <w:b/>
        </w:rPr>
        <w:t>Q.</w:t>
      </w:r>
      <w:r>
        <w:rPr>
          <w:b/>
        </w:rPr>
        <w:tab/>
        <w:t xml:space="preserve">Please provide an overview </w:t>
      </w:r>
      <w:r w:rsidR="00D47BE6">
        <w:rPr>
          <w:b/>
        </w:rPr>
        <w:t xml:space="preserve">of </w:t>
      </w:r>
      <w:r>
        <w:rPr>
          <w:b/>
        </w:rPr>
        <w:t>the deferral requests that are relevant to this case.</w:t>
      </w:r>
    </w:p>
    <w:p w:rsidR="003A2574" w:rsidRDefault="003A2574" w:rsidP="00903424">
      <w:pPr>
        <w:pStyle w:val="Answer"/>
        <w:jc w:val="left"/>
      </w:pPr>
      <w:r w:rsidRPr="0037593A">
        <w:t>A.</w:t>
      </w:r>
      <w:r w:rsidRPr="0037593A">
        <w:tab/>
      </w:r>
      <w:r>
        <w:t>In direct testimony, the Company requested to begin amortization o</w:t>
      </w:r>
      <w:r w:rsidR="00EE074B">
        <w:t>f deferrals from the following D</w:t>
      </w:r>
      <w:r>
        <w:t xml:space="preserve">ockets: UE-131384—Deferral of Costs Related to Colstrip Outage (Colstrip deferral); UE-132350—Deferral of Reduced Depreciation Expense (depreciation deferral); and UE-140094—Deferral of Costs Related to Declining Hydro Generation (hydro deferral).  The Commission consolidated </w:t>
      </w:r>
      <w:r w:rsidR="00B61DDE">
        <w:t xml:space="preserve">the Colstrip deferral and hydro deferral </w:t>
      </w:r>
      <w:r>
        <w:t xml:space="preserve">dockets with this rate case in Order 05.  In addition, in </w:t>
      </w:r>
      <w:r w:rsidR="0034136B">
        <w:t>D</w:t>
      </w:r>
      <w:r>
        <w:t xml:space="preserve">ocket UE-140617, the Commission </w:t>
      </w:r>
      <w:r w:rsidR="007D109A">
        <w:t xml:space="preserve">authorized deferral of the </w:t>
      </w:r>
      <w:r>
        <w:t xml:space="preserve">revenue requirement associated with the Merwin </w:t>
      </w:r>
      <w:r w:rsidR="007D109A">
        <w:t>f</w:t>
      </w:r>
      <w:r>
        <w:t xml:space="preserve">ish </w:t>
      </w:r>
      <w:r w:rsidR="007D109A">
        <w:t>c</w:t>
      </w:r>
      <w:r>
        <w:t xml:space="preserve">ollector and </w:t>
      </w:r>
      <w:r w:rsidR="007D109A">
        <w:t xml:space="preserve">consolidated the docket with this </w:t>
      </w:r>
      <w:r>
        <w:t>case.</w:t>
      </w:r>
    </w:p>
    <w:p w:rsidR="008A0C86" w:rsidRPr="0037593A" w:rsidRDefault="008A0C86" w:rsidP="008A0C86">
      <w:pPr>
        <w:pStyle w:val="Answer"/>
        <w:suppressLineNumbers/>
        <w:jc w:val="left"/>
      </w:pPr>
    </w:p>
    <w:p w:rsidR="00A127DA" w:rsidRDefault="00A127DA" w:rsidP="00A65B51">
      <w:pPr>
        <w:pStyle w:val="Answer"/>
        <w:keepNext/>
        <w:jc w:val="left"/>
        <w:rPr>
          <w:b/>
        </w:rPr>
      </w:pPr>
      <w:r>
        <w:rPr>
          <w:b/>
        </w:rPr>
        <w:t>Colstrip Deferral</w:t>
      </w:r>
    </w:p>
    <w:p w:rsidR="00B963C3" w:rsidRPr="00260D70" w:rsidRDefault="00B963C3" w:rsidP="00903424">
      <w:pPr>
        <w:pStyle w:val="Answer"/>
        <w:jc w:val="left"/>
        <w:rPr>
          <w:b/>
        </w:rPr>
      </w:pPr>
      <w:r w:rsidRPr="00260D70">
        <w:rPr>
          <w:b/>
        </w:rPr>
        <w:t>Q.</w:t>
      </w:r>
      <w:r w:rsidRPr="00260D70">
        <w:rPr>
          <w:b/>
        </w:rPr>
        <w:tab/>
      </w:r>
      <w:r w:rsidR="003A2574">
        <w:rPr>
          <w:b/>
        </w:rPr>
        <w:t xml:space="preserve">What are the parties’ positions regarding </w:t>
      </w:r>
      <w:r>
        <w:rPr>
          <w:b/>
        </w:rPr>
        <w:t xml:space="preserve">the Company’s </w:t>
      </w:r>
      <w:r w:rsidR="00D47BE6">
        <w:rPr>
          <w:b/>
        </w:rPr>
        <w:t xml:space="preserve">Colstrip </w:t>
      </w:r>
      <w:r>
        <w:rPr>
          <w:b/>
        </w:rPr>
        <w:t>deferr</w:t>
      </w:r>
      <w:r w:rsidR="007D109A">
        <w:rPr>
          <w:b/>
        </w:rPr>
        <w:t xml:space="preserve">ed accounting </w:t>
      </w:r>
      <w:r>
        <w:rPr>
          <w:b/>
        </w:rPr>
        <w:t>request</w:t>
      </w:r>
      <w:r w:rsidR="003A2574">
        <w:rPr>
          <w:b/>
        </w:rPr>
        <w:t>?</w:t>
      </w:r>
    </w:p>
    <w:p w:rsidR="00386FCD" w:rsidRDefault="00B963C3" w:rsidP="00903424">
      <w:pPr>
        <w:pStyle w:val="Answer"/>
        <w:jc w:val="left"/>
      </w:pPr>
      <w:r>
        <w:t>A.</w:t>
      </w:r>
      <w:r>
        <w:tab/>
      </w:r>
      <w:r w:rsidR="004858D2">
        <w:t xml:space="preserve">Staff recommends recovery of the </w:t>
      </w:r>
      <w:r w:rsidR="007D109A">
        <w:t>deferred amounts related to an extended outage at the Colstrip generating plant, but further recommends excluding interest on the deferred amounts and amortizing the deferred amounts through inclusion in base rates (rather than through a separate tariff rider as the Company proposed)</w:t>
      </w:r>
      <w:r w:rsidR="004858D2">
        <w:t>.</w:t>
      </w:r>
      <w:r w:rsidR="00765F34">
        <w:rPr>
          <w:rStyle w:val="FootnoteReference"/>
        </w:rPr>
        <w:footnoteReference w:id="20"/>
      </w:r>
      <w:r w:rsidR="004858D2">
        <w:t xml:space="preserve">  </w:t>
      </w:r>
      <w:r w:rsidR="00484C85">
        <w:t xml:space="preserve">Boise </w:t>
      </w:r>
      <w:r w:rsidR="00386FCD">
        <w:t xml:space="preserve">disagrees that the costs associated with the Colstrip outage qualify for deferred accounting </w:t>
      </w:r>
      <w:r w:rsidR="007D109A">
        <w:t>because the outage was not an extraordinary event.</w:t>
      </w:r>
      <w:r w:rsidR="00765F34">
        <w:rPr>
          <w:rStyle w:val="FootnoteReference"/>
        </w:rPr>
        <w:footnoteReference w:id="21"/>
      </w:r>
      <w:r w:rsidR="00F3461C">
        <w:t xml:space="preserve"> </w:t>
      </w:r>
      <w:r w:rsidR="007D109A">
        <w:t xml:space="preserve"> </w:t>
      </w:r>
      <w:r w:rsidR="00FF2472">
        <w:t xml:space="preserve">Boise also </w:t>
      </w:r>
      <w:r w:rsidR="00386FCD">
        <w:t>claims the Company has not provided an updated estimate of the costs incurred</w:t>
      </w:r>
      <w:r w:rsidR="00A127DA">
        <w:t xml:space="preserve"> and that the costs are not prudent</w:t>
      </w:r>
      <w:r w:rsidR="00386FCD">
        <w:t>.</w:t>
      </w:r>
    </w:p>
    <w:p w:rsidR="00D47BE6" w:rsidRDefault="00D47BE6" w:rsidP="00903424">
      <w:pPr>
        <w:pStyle w:val="Answer"/>
        <w:jc w:val="left"/>
        <w:rPr>
          <w:b/>
        </w:rPr>
      </w:pPr>
      <w:r>
        <w:rPr>
          <w:b/>
        </w:rPr>
        <w:t>Q.</w:t>
      </w:r>
      <w:r>
        <w:rPr>
          <w:b/>
        </w:rPr>
        <w:tab/>
        <w:t>How do</w:t>
      </w:r>
      <w:r w:rsidR="001F6690">
        <w:rPr>
          <w:b/>
        </w:rPr>
        <w:t>es the Company</w:t>
      </w:r>
      <w:r>
        <w:rPr>
          <w:b/>
        </w:rPr>
        <w:t xml:space="preserve"> respond?</w:t>
      </w:r>
    </w:p>
    <w:p w:rsidR="0052399F" w:rsidRDefault="00D47BE6" w:rsidP="00903424">
      <w:pPr>
        <w:pStyle w:val="Answer"/>
        <w:jc w:val="left"/>
      </w:pPr>
      <w:r>
        <w:t>A.</w:t>
      </w:r>
      <w:r>
        <w:tab/>
      </w:r>
      <w:r w:rsidR="0052399F">
        <w:t xml:space="preserve">The prudency of the costs incurred as a result of the Colstrip outage is </w:t>
      </w:r>
      <w:r w:rsidR="00A127DA">
        <w:t>addressed by Mr. Ralston in his</w:t>
      </w:r>
      <w:r w:rsidR="0052399F">
        <w:t xml:space="preserve"> rebuttal testimony.  </w:t>
      </w:r>
      <w:r w:rsidR="004969AC">
        <w:t>The Colstrip deferral is also addressed in the rebuttal testimony of Mr. Duvall.</w:t>
      </w:r>
    </w:p>
    <w:p w:rsidR="00252C42" w:rsidRDefault="00A127DA" w:rsidP="00903424">
      <w:pPr>
        <w:pStyle w:val="Answer"/>
        <w:ind w:firstLine="720"/>
        <w:jc w:val="left"/>
      </w:pPr>
      <w:r>
        <w:t xml:space="preserve">Staff’s position to remove interest expense does not </w:t>
      </w:r>
      <w:r w:rsidR="00A64FBB">
        <w:t xml:space="preserve">account for the time value of the money.  </w:t>
      </w:r>
      <w:r w:rsidR="00252C42">
        <w:t xml:space="preserve">The deferred amounts represent actual costs incurred by the Company on behalf of its customers.  Without interest, the Company will have incurred financing costs related to the deferred amounts that would never be recovered.  </w:t>
      </w:r>
    </w:p>
    <w:p w:rsidR="0052399F" w:rsidRDefault="00A64FBB" w:rsidP="00903424">
      <w:pPr>
        <w:pStyle w:val="Answer"/>
        <w:ind w:firstLine="720"/>
        <w:jc w:val="left"/>
      </w:pPr>
      <w:r>
        <w:t xml:space="preserve">The Company also </w:t>
      </w:r>
      <w:r w:rsidR="00252C42">
        <w:t>continues to support the use of a separate tariff rather than including the amounts in base rates.  This method allows the Company to set the separate tariff rider to zero (or withdraw the tariff) once the deferred amounts are fully amortized</w:t>
      </w:r>
      <w:r w:rsidR="00554C5D">
        <w:t xml:space="preserve">.  If the deferrals are included in permanent base rates, the rates </w:t>
      </w:r>
      <w:r w:rsidR="00252C42">
        <w:t xml:space="preserve">will not </w:t>
      </w:r>
      <w:r w:rsidR="00554C5D">
        <w:t>be changed until the Company’s next rate case</w:t>
      </w:r>
      <w:r w:rsidR="0052399F">
        <w:t>.</w:t>
      </w:r>
    </w:p>
    <w:p w:rsidR="00D47BE6" w:rsidRDefault="00252C42" w:rsidP="00903424">
      <w:pPr>
        <w:pStyle w:val="Answer"/>
        <w:ind w:firstLine="720"/>
        <w:jc w:val="left"/>
      </w:pPr>
      <w:r>
        <w:t xml:space="preserve">If the Commission decides that the deferred amounts should be included in base rates, a corresponding balance should be reflected in rate base to account for the </w:t>
      </w:r>
      <w:r w:rsidR="00FC196E">
        <w:t>carrying cost</w:t>
      </w:r>
      <w:r>
        <w:t xml:space="preserve"> during amortization</w:t>
      </w:r>
      <w:r w:rsidR="006B381B">
        <w:t xml:space="preserve"> as shown in Exhibit No. NCS-15</w:t>
      </w:r>
      <w:r>
        <w:t xml:space="preserve">.  </w:t>
      </w:r>
      <w:r w:rsidR="006B381B">
        <w:t>Staff does not recognize this in its proposal.</w:t>
      </w:r>
    </w:p>
    <w:p w:rsidR="00A71149" w:rsidRDefault="00554C5D" w:rsidP="00903424">
      <w:pPr>
        <w:pStyle w:val="Answer"/>
        <w:jc w:val="left"/>
      </w:pPr>
      <w:r>
        <w:tab/>
      </w:r>
      <w:r w:rsidR="00AF4C87">
        <w:tab/>
      </w:r>
      <w:r w:rsidR="00725668">
        <w:t>Boise’s claim that the Company has not provided an updated estimate of the replacement power costs referred to in the Company’s deferral application is incorrect.</w:t>
      </w:r>
      <w:r w:rsidR="00B37185">
        <w:rPr>
          <w:rStyle w:val="FootnoteReference"/>
        </w:rPr>
        <w:footnoteReference w:id="22"/>
      </w:r>
      <w:r w:rsidR="00725668">
        <w:t xml:space="preserve">  The Company provided the actual net power costs in Exhibit No.</w:t>
      </w:r>
      <w:r w:rsidR="00A71149">
        <w:t> </w:t>
      </w:r>
      <w:r w:rsidR="00725668">
        <w:t xml:space="preserve">NCS-9 included in its </w:t>
      </w:r>
      <w:r w:rsidR="00A71149">
        <w:t xml:space="preserve">initial </w:t>
      </w:r>
      <w:r w:rsidR="00725668">
        <w:t>filing.</w:t>
      </w:r>
      <w:r w:rsidR="00A71149">
        <w:t xml:space="preserve">  The Company will address Boise’s legal arguments that the Colstrip deferral does not meet the Commission’s deferral standards in briefing.</w:t>
      </w:r>
    </w:p>
    <w:p w:rsidR="00A71149" w:rsidRPr="00A65B51" w:rsidRDefault="00A71149" w:rsidP="00903424">
      <w:pPr>
        <w:pStyle w:val="Answer"/>
        <w:jc w:val="left"/>
        <w:rPr>
          <w:b/>
        </w:rPr>
      </w:pPr>
      <w:r w:rsidRPr="00A65B51">
        <w:rPr>
          <w:b/>
        </w:rPr>
        <w:t>Depreciation Deferral</w:t>
      </w:r>
    </w:p>
    <w:p w:rsidR="00D47BE6" w:rsidRDefault="00D47BE6" w:rsidP="00903424">
      <w:pPr>
        <w:pStyle w:val="Answer"/>
        <w:jc w:val="left"/>
        <w:rPr>
          <w:b/>
        </w:rPr>
      </w:pPr>
      <w:r w:rsidRPr="00260D70">
        <w:rPr>
          <w:b/>
        </w:rPr>
        <w:t>Q.</w:t>
      </w:r>
      <w:r w:rsidRPr="00260D70">
        <w:rPr>
          <w:b/>
        </w:rPr>
        <w:tab/>
      </w:r>
      <w:r>
        <w:rPr>
          <w:b/>
        </w:rPr>
        <w:t xml:space="preserve">What are the parties’ positions regarding the Company’s </w:t>
      </w:r>
      <w:r w:rsidR="00A71149">
        <w:rPr>
          <w:b/>
        </w:rPr>
        <w:t xml:space="preserve">proposal to amortize its </w:t>
      </w:r>
      <w:r>
        <w:rPr>
          <w:b/>
        </w:rPr>
        <w:t>depreciation deferral?</w:t>
      </w:r>
    </w:p>
    <w:p w:rsidR="00B963C3" w:rsidRPr="00A71149" w:rsidRDefault="00D47BE6" w:rsidP="00903424">
      <w:pPr>
        <w:pStyle w:val="Answer"/>
        <w:jc w:val="left"/>
      </w:pPr>
      <w:r w:rsidRPr="0037593A">
        <w:t>A.</w:t>
      </w:r>
      <w:r w:rsidR="00386FCD" w:rsidRPr="0037593A">
        <w:rPr>
          <w:b/>
        </w:rPr>
        <w:tab/>
      </w:r>
      <w:r w:rsidR="00A71149" w:rsidRPr="00A65B51">
        <w:t>No party contests the amortization of the depreciation deferral, although Staff reiterates its argument to exclude interest and to amortize the deferred amounts through base rates.</w:t>
      </w:r>
      <w:r w:rsidR="00421A10" w:rsidRPr="00A71149">
        <w:rPr>
          <w:rStyle w:val="FootnoteReference"/>
        </w:rPr>
        <w:footnoteReference w:id="23"/>
      </w:r>
      <w:r w:rsidR="00386FCD" w:rsidRPr="00A71149">
        <w:t xml:space="preserve"> </w:t>
      </w:r>
    </w:p>
    <w:p w:rsidR="00D47BE6" w:rsidRDefault="00D47BE6" w:rsidP="00903424">
      <w:pPr>
        <w:pStyle w:val="Answer"/>
        <w:jc w:val="left"/>
        <w:rPr>
          <w:b/>
        </w:rPr>
      </w:pPr>
      <w:r w:rsidRPr="0037593A">
        <w:rPr>
          <w:b/>
        </w:rPr>
        <w:t>Q.</w:t>
      </w:r>
      <w:r w:rsidRPr="0037593A">
        <w:rPr>
          <w:b/>
        </w:rPr>
        <w:tab/>
        <w:t>How do</w:t>
      </w:r>
      <w:r w:rsidR="001F6690">
        <w:rPr>
          <w:b/>
        </w:rPr>
        <w:t>es the Company</w:t>
      </w:r>
      <w:r w:rsidRPr="0037593A">
        <w:rPr>
          <w:b/>
        </w:rPr>
        <w:t xml:space="preserve"> respond?</w:t>
      </w:r>
    </w:p>
    <w:p w:rsidR="0052399F" w:rsidRDefault="00D47BE6" w:rsidP="00903424">
      <w:pPr>
        <w:pStyle w:val="Answer"/>
        <w:jc w:val="left"/>
      </w:pPr>
      <w:r>
        <w:t>A.</w:t>
      </w:r>
      <w:r>
        <w:tab/>
      </w:r>
      <w:r w:rsidR="00A71149">
        <w:t xml:space="preserve">For the reasons discussed above, the Company proposes that these amounts be amortized through a separate tariff rider with interest to account for the time value of money.  In this case, interest reflects the time value of money for the Company’s customers because this deferral is a credit to customers.  If the Commission chooses to amortize these amounts in base rates, a corresponding balance should be reflected in rate base to account for the </w:t>
      </w:r>
      <w:r w:rsidR="00FC196E">
        <w:t>carrying costs during amortization</w:t>
      </w:r>
      <w:r w:rsidR="00A71149">
        <w:t xml:space="preserve"> (see Exhibit No. NCS-15).</w:t>
      </w:r>
    </w:p>
    <w:p w:rsidR="00A71149" w:rsidRPr="00A71149" w:rsidRDefault="004969AC" w:rsidP="00903424">
      <w:pPr>
        <w:pStyle w:val="Answer"/>
        <w:jc w:val="left"/>
        <w:rPr>
          <w:b/>
        </w:rPr>
      </w:pPr>
      <w:r>
        <w:rPr>
          <w:b/>
        </w:rPr>
        <w:t xml:space="preserve">Deferral for </w:t>
      </w:r>
      <w:r w:rsidR="00A71149" w:rsidRPr="00A65B51">
        <w:rPr>
          <w:b/>
        </w:rPr>
        <w:t>Low Hydro Conditions</w:t>
      </w:r>
    </w:p>
    <w:p w:rsidR="00D47BE6" w:rsidRDefault="00D47BE6" w:rsidP="00903424">
      <w:pPr>
        <w:pStyle w:val="Answer"/>
        <w:jc w:val="left"/>
      </w:pPr>
      <w:r w:rsidRPr="00260D70">
        <w:rPr>
          <w:b/>
        </w:rPr>
        <w:t>Q.</w:t>
      </w:r>
      <w:r w:rsidRPr="00260D70">
        <w:rPr>
          <w:b/>
        </w:rPr>
        <w:tab/>
      </w:r>
      <w:r>
        <w:rPr>
          <w:b/>
        </w:rPr>
        <w:t>What are the parties’ positions regarding the Company’s hydro deferral?</w:t>
      </w:r>
    </w:p>
    <w:p w:rsidR="00B963C3" w:rsidRDefault="00D47BE6" w:rsidP="00903424">
      <w:pPr>
        <w:pStyle w:val="Answer"/>
        <w:jc w:val="left"/>
      </w:pPr>
      <w:r w:rsidRPr="0037593A">
        <w:t>A.</w:t>
      </w:r>
      <w:r w:rsidR="00386FCD" w:rsidRPr="0037593A">
        <w:rPr>
          <w:b/>
        </w:rPr>
        <w:tab/>
      </w:r>
      <w:r w:rsidR="00386FCD">
        <w:t xml:space="preserve">Staff rejects the Company’s </w:t>
      </w:r>
      <w:r w:rsidR="00CB130B">
        <w:t xml:space="preserve">proposal to recover costs deferred as </w:t>
      </w:r>
      <w:r w:rsidR="001F6690">
        <w:t xml:space="preserve">a </w:t>
      </w:r>
      <w:r w:rsidR="00CB130B">
        <w:t>result of low hydro conditions based on the premise that this would result in dollar-for-dollar recovery of a portion of net power costs.</w:t>
      </w:r>
      <w:r w:rsidR="00E71822">
        <w:rPr>
          <w:rStyle w:val="FootnoteReference"/>
        </w:rPr>
        <w:footnoteReference w:id="24"/>
      </w:r>
      <w:r w:rsidR="00CB130B">
        <w:t xml:space="preserve">  </w:t>
      </w:r>
      <w:r w:rsidR="004969AC">
        <w:t>According to Staff, because</w:t>
      </w:r>
      <w:r w:rsidR="00CB130B">
        <w:t xml:space="preserve"> dollar-for-dollar recovery of net power costs </w:t>
      </w:r>
      <w:r w:rsidR="008D0FDF">
        <w:t xml:space="preserve">was rejected in </w:t>
      </w:r>
      <w:r w:rsidR="00CB130B">
        <w:t xml:space="preserve">the 2013 rate case, </w:t>
      </w:r>
      <w:r w:rsidR="004969AC">
        <w:t xml:space="preserve">the Company’s </w:t>
      </w:r>
      <w:r w:rsidR="00CB130B">
        <w:t xml:space="preserve">hydro deferral </w:t>
      </w:r>
      <w:r w:rsidR="004969AC">
        <w:t xml:space="preserve">should </w:t>
      </w:r>
      <w:r w:rsidR="00CB130B">
        <w:t>be rejected.  Public Counsel also rejects the deferral, stating that it is not appropriate to defer a select portion of net power cost variances between rate cases.</w:t>
      </w:r>
      <w:r w:rsidR="00E71822">
        <w:rPr>
          <w:rStyle w:val="FootnoteReference"/>
        </w:rPr>
        <w:footnoteReference w:id="25"/>
      </w:r>
      <w:r w:rsidR="00CB130B">
        <w:t xml:space="preserve">  Boise rejects the hydro deferral because </w:t>
      </w:r>
      <w:r w:rsidR="008D0FDF">
        <w:t xml:space="preserve">it </w:t>
      </w:r>
      <w:r w:rsidR="00CB130B">
        <w:t>believe</w:t>
      </w:r>
      <w:r w:rsidR="008D0FDF">
        <w:t>s</w:t>
      </w:r>
      <w:r w:rsidR="00CB130B">
        <w:t xml:space="preserve"> hydro conditions in 2014 are </w:t>
      </w:r>
      <w:r w:rsidR="008D0FDF">
        <w:t xml:space="preserve">“about </w:t>
      </w:r>
      <w:r w:rsidR="00CB130B">
        <w:t>normal</w:t>
      </w:r>
      <w:r w:rsidR="008D0FDF">
        <w:t>”</w:t>
      </w:r>
      <w:r w:rsidR="00CB130B">
        <w:t xml:space="preserve"> and the hydro deferral is one</w:t>
      </w:r>
      <w:r w:rsidR="00FC196E">
        <w:t>-</w:t>
      </w:r>
      <w:r w:rsidR="00CB130B">
        <w:t>sided.</w:t>
      </w:r>
      <w:r w:rsidR="00E71822">
        <w:rPr>
          <w:rStyle w:val="FootnoteReference"/>
        </w:rPr>
        <w:footnoteReference w:id="26"/>
      </w:r>
    </w:p>
    <w:p w:rsidR="00D47BE6" w:rsidRDefault="00D47BE6" w:rsidP="00903424">
      <w:pPr>
        <w:pStyle w:val="Answer"/>
        <w:jc w:val="left"/>
      </w:pPr>
      <w:r w:rsidRPr="0037593A">
        <w:rPr>
          <w:b/>
        </w:rPr>
        <w:t>Q.</w:t>
      </w:r>
      <w:r w:rsidRPr="0037593A">
        <w:rPr>
          <w:b/>
        </w:rPr>
        <w:tab/>
        <w:t>How do</w:t>
      </w:r>
      <w:r w:rsidR="001F6690">
        <w:rPr>
          <w:b/>
        </w:rPr>
        <w:t>es the Company</w:t>
      </w:r>
      <w:r w:rsidRPr="0037593A">
        <w:rPr>
          <w:b/>
        </w:rPr>
        <w:t xml:space="preserve"> respond?</w:t>
      </w:r>
    </w:p>
    <w:p w:rsidR="00D47BE6" w:rsidRPr="00D47BE6" w:rsidRDefault="00D47BE6" w:rsidP="00903424">
      <w:pPr>
        <w:pStyle w:val="Answer"/>
        <w:jc w:val="left"/>
      </w:pPr>
      <w:r>
        <w:t>A.</w:t>
      </w:r>
      <w:r>
        <w:tab/>
      </w:r>
      <w:r w:rsidR="00223CB5">
        <w:t xml:space="preserve">The Company </w:t>
      </w:r>
      <w:r w:rsidR="008D0FDF">
        <w:t xml:space="preserve">continues to support amortization of its hydro deferral, as further addressed in Mr. Duvall’s rebuttal testimony.  The revenue requirement in this case has been updated to reflect the most recent net power </w:t>
      </w:r>
      <w:r w:rsidR="0079033E">
        <w:t>cost information as shown in T</w:t>
      </w:r>
      <w:r w:rsidR="008D0FDF">
        <w:t xml:space="preserve">able </w:t>
      </w:r>
      <w:r w:rsidR="0079033E">
        <w:t xml:space="preserve">1 </w:t>
      </w:r>
      <w:r w:rsidR="008D0FDF">
        <w:t>below</w:t>
      </w:r>
      <w:r w:rsidR="0079033E">
        <w:t>.</w:t>
      </w:r>
    </w:p>
    <w:p w:rsidR="004969AC" w:rsidRDefault="004969AC" w:rsidP="00A65B51">
      <w:pPr>
        <w:pStyle w:val="Answer"/>
        <w:keepNext/>
        <w:jc w:val="left"/>
        <w:rPr>
          <w:b/>
        </w:rPr>
      </w:pPr>
      <w:r>
        <w:rPr>
          <w:b/>
        </w:rPr>
        <w:t>Merwin Fish Collector Deferral</w:t>
      </w:r>
    </w:p>
    <w:p w:rsidR="00D47BE6" w:rsidRDefault="00D47BE6" w:rsidP="00903424">
      <w:pPr>
        <w:pStyle w:val="Answer"/>
        <w:jc w:val="left"/>
      </w:pPr>
      <w:r w:rsidRPr="00260D70">
        <w:rPr>
          <w:b/>
        </w:rPr>
        <w:t>Q.</w:t>
      </w:r>
      <w:r w:rsidRPr="00260D70">
        <w:rPr>
          <w:b/>
        </w:rPr>
        <w:tab/>
      </w:r>
      <w:r>
        <w:rPr>
          <w:b/>
        </w:rPr>
        <w:t xml:space="preserve">What are the parties’ positions regarding the Company’s </w:t>
      </w:r>
      <w:r w:rsidR="0079033E">
        <w:rPr>
          <w:b/>
        </w:rPr>
        <w:t>Merwin deferral</w:t>
      </w:r>
      <w:r>
        <w:rPr>
          <w:b/>
        </w:rPr>
        <w:t>?</w:t>
      </w:r>
    </w:p>
    <w:p w:rsidR="00CB130B" w:rsidRDefault="00D47BE6" w:rsidP="00903424">
      <w:pPr>
        <w:pStyle w:val="Answer"/>
        <w:jc w:val="left"/>
      </w:pPr>
      <w:r w:rsidRPr="0037593A">
        <w:t>A.</w:t>
      </w:r>
      <w:r w:rsidR="00CB130B">
        <w:rPr>
          <w:b/>
        </w:rPr>
        <w:tab/>
      </w:r>
      <w:r w:rsidR="00D07F56">
        <w:t xml:space="preserve">Staff recommends that only </w:t>
      </w:r>
      <w:r w:rsidR="008D0FDF">
        <w:t xml:space="preserve">a portion of the deferred </w:t>
      </w:r>
      <w:r w:rsidR="00D07F56">
        <w:t xml:space="preserve">revenue requirement for </w:t>
      </w:r>
      <w:r w:rsidR="0079033E">
        <w:t xml:space="preserve">the </w:t>
      </w:r>
      <w:r w:rsidR="00D07F56">
        <w:t>Merwin</w:t>
      </w:r>
      <w:r w:rsidR="0079033E">
        <w:t xml:space="preserve"> fish </w:t>
      </w:r>
      <w:r w:rsidR="00326923">
        <w:t>collector</w:t>
      </w:r>
      <w:r w:rsidR="00D07F56">
        <w:t xml:space="preserve"> be allowed</w:t>
      </w:r>
      <w:r w:rsidR="00515E2D">
        <w:t>—</w:t>
      </w:r>
      <w:r w:rsidR="00D07F56">
        <w:t xml:space="preserve">the deferred </w:t>
      </w:r>
      <w:r w:rsidR="008D0FDF">
        <w:t>operations and maintenance</w:t>
      </w:r>
      <w:r w:rsidR="00D07F56">
        <w:t xml:space="preserve"> and depreciation expenses</w:t>
      </w:r>
      <w:r w:rsidR="00515E2D">
        <w:t>—</w:t>
      </w:r>
      <w:r w:rsidR="00D07F56">
        <w:t xml:space="preserve">and that interest on </w:t>
      </w:r>
      <w:r w:rsidR="008D0FDF">
        <w:t>the deferred amounts</w:t>
      </w:r>
      <w:r w:rsidR="00D07F56">
        <w:t xml:space="preserve"> should</w:t>
      </w:r>
      <w:r w:rsidR="00835462">
        <w:t xml:space="preserve"> not</w:t>
      </w:r>
      <w:r w:rsidR="00D07F56">
        <w:t xml:space="preserve"> be allowed.</w:t>
      </w:r>
      <w:r w:rsidR="00515E2D">
        <w:rPr>
          <w:rStyle w:val="FootnoteReference"/>
        </w:rPr>
        <w:footnoteReference w:id="27"/>
      </w:r>
      <w:r w:rsidR="00D07F56">
        <w:t xml:space="preserve">  </w:t>
      </w:r>
      <w:r w:rsidR="008D0FDF">
        <w:t xml:space="preserve">Like the other deferrals, Staff recommends amortizing the Merwin </w:t>
      </w:r>
      <w:r w:rsidR="00326923">
        <w:t xml:space="preserve">deferral </w:t>
      </w:r>
      <w:r w:rsidR="008D0FDF">
        <w:t>through base rates.</w:t>
      </w:r>
      <w:r w:rsidR="00D07F56">
        <w:t xml:space="preserve">  Public Counsel rejects the Merwin deferral, stating that it is not appropriate to defer revenue requirement of a single project between rate case proceedings.</w:t>
      </w:r>
      <w:r w:rsidR="00515E2D">
        <w:rPr>
          <w:rStyle w:val="FootnoteReference"/>
        </w:rPr>
        <w:footnoteReference w:id="28"/>
      </w:r>
      <w:r w:rsidR="00D07F56">
        <w:t xml:space="preserve">  Boise also rejects the Merwin deferral, claiming that allowing recovery of deferred amounts </w:t>
      </w:r>
      <w:r w:rsidR="005763BB">
        <w:t>and allowing</w:t>
      </w:r>
      <w:r w:rsidR="00F342B0">
        <w:t xml:space="preserve"> Merwin in rate base through the pro forma capital addition</w:t>
      </w:r>
      <w:r w:rsidR="00AC0390">
        <w:t>s</w:t>
      </w:r>
      <w:r w:rsidR="00F342B0">
        <w:t xml:space="preserve"> </w:t>
      </w:r>
      <w:r w:rsidR="00AC0390">
        <w:t xml:space="preserve">adjustment </w:t>
      </w:r>
      <w:r w:rsidR="00D07F56">
        <w:t xml:space="preserve">would provide </w:t>
      </w:r>
      <w:r w:rsidR="00F342B0">
        <w:t>double recovery.</w:t>
      </w:r>
      <w:r w:rsidR="00515E2D">
        <w:rPr>
          <w:rStyle w:val="FootnoteReference"/>
        </w:rPr>
        <w:footnoteReference w:id="29"/>
      </w:r>
    </w:p>
    <w:p w:rsidR="00D47BE6" w:rsidRDefault="00D47BE6" w:rsidP="00903424">
      <w:pPr>
        <w:pStyle w:val="Answer"/>
        <w:jc w:val="left"/>
      </w:pPr>
      <w:r>
        <w:rPr>
          <w:b/>
        </w:rPr>
        <w:t>Q</w:t>
      </w:r>
      <w:r w:rsidRPr="0037593A">
        <w:rPr>
          <w:b/>
        </w:rPr>
        <w:t>.</w:t>
      </w:r>
      <w:r w:rsidRPr="0037593A">
        <w:rPr>
          <w:b/>
        </w:rPr>
        <w:tab/>
      </w:r>
      <w:r>
        <w:rPr>
          <w:b/>
        </w:rPr>
        <w:t>How do</w:t>
      </w:r>
      <w:r w:rsidR="001F6690">
        <w:rPr>
          <w:b/>
        </w:rPr>
        <w:t>es the Company</w:t>
      </w:r>
      <w:r>
        <w:rPr>
          <w:b/>
        </w:rPr>
        <w:t xml:space="preserve"> respond?</w:t>
      </w:r>
    </w:p>
    <w:p w:rsidR="001571C3" w:rsidRDefault="00D47BE6" w:rsidP="00A65B51">
      <w:pPr>
        <w:pStyle w:val="Answer"/>
        <w:jc w:val="left"/>
      </w:pPr>
      <w:r>
        <w:t>A.</w:t>
      </w:r>
      <w:r>
        <w:tab/>
      </w:r>
      <w:r w:rsidR="00835462">
        <w:t xml:space="preserve">The Commission’s order </w:t>
      </w:r>
      <w:r w:rsidR="008D0FDF">
        <w:t xml:space="preserve">approving the </w:t>
      </w:r>
      <w:r w:rsidR="00835462">
        <w:t>Merwin deferral</w:t>
      </w:r>
      <w:r w:rsidR="008D0FDF">
        <w:t xml:space="preserve"> (Docket UE-140617)</w:t>
      </w:r>
      <w:r w:rsidR="00835462">
        <w:t xml:space="preserve"> stated that the Company may defer the </w:t>
      </w:r>
      <w:r w:rsidR="0079033E">
        <w:t xml:space="preserve">full </w:t>
      </w:r>
      <w:r w:rsidR="00835462">
        <w:t xml:space="preserve">revenue requirement associated with the Merwin </w:t>
      </w:r>
      <w:r w:rsidR="0079033E">
        <w:t>fish collector for potential fu</w:t>
      </w:r>
      <w:r w:rsidR="00EE074B">
        <w:t>ture recovery in customer rates</w:t>
      </w:r>
      <w:r w:rsidR="0079033E">
        <w:t xml:space="preserve">, including </w:t>
      </w:r>
      <w:r w:rsidR="00835462">
        <w:t xml:space="preserve">the </w:t>
      </w:r>
      <w:r w:rsidR="00835462" w:rsidRPr="00A65B51">
        <w:rPr>
          <w:i/>
        </w:rPr>
        <w:t>return o</w:t>
      </w:r>
      <w:r w:rsidR="0079033E" w:rsidRPr="00A65B51">
        <w:rPr>
          <w:i/>
        </w:rPr>
        <w:t>n</w:t>
      </w:r>
      <w:r w:rsidR="00835462">
        <w:t xml:space="preserve"> portion of the revenue requirement.</w:t>
      </w:r>
      <w:r w:rsidR="00E0239A">
        <w:rPr>
          <w:rStyle w:val="FootnoteReference"/>
        </w:rPr>
        <w:footnoteReference w:id="30"/>
      </w:r>
      <w:r w:rsidR="00835462">
        <w:t xml:space="preserve">  Staff claims that limiting the deferral to the </w:t>
      </w:r>
      <w:r w:rsidR="00835462" w:rsidRPr="00A65B51">
        <w:rPr>
          <w:i/>
        </w:rPr>
        <w:t>return of</w:t>
      </w:r>
      <w:r w:rsidR="00835462">
        <w:t xml:space="preserve"> portion of revenue requirement </w:t>
      </w:r>
      <w:r w:rsidR="007F502F">
        <w:t xml:space="preserve">removes </w:t>
      </w:r>
      <w:r w:rsidR="0079033E">
        <w:t xml:space="preserve">an alleged </w:t>
      </w:r>
      <w:r w:rsidR="007F502F">
        <w:t xml:space="preserve">incentive for utilities to </w:t>
      </w:r>
      <w:r w:rsidR="0079033E">
        <w:t xml:space="preserve">use </w:t>
      </w:r>
      <w:r w:rsidR="007F502F">
        <w:t xml:space="preserve">deferred accounting for cost recovery and </w:t>
      </w:r>
      <w:r w:rsidR="00FC196E">
        <w:t>en</w:t>
      </w:r>
      <w:r w:rsidR="0079033E">
        <w:t>courages the use of</w:t>
      </w:r>
      <w:r w:rsidR="007F502F">
        <w:t xml:space="preserve"> other ratemaking mechanisms </w:t>
      </w:r>
      <w:r w:rsidR="0079033E">
        <w:t xml:space="preserve">(such as an expedited rate filing) </w:t>
      </w:r>
      <w:r w:rsidR="007F502F">
        <w:t>whe</w:t>
      </w:r>
      <w:r w:rsidR="001571C3">
        <w:t xml:space="preserve">n seeking to add </w:t>
      </w:r>
      <w:r w:rsidR="0079033E">
        <w:t>plant additions</w:t>
      </w:r>
      <w:r w:rsidR="001571C3">
        <w:t xml:space="preserve"> </w:t>
      </w:r>
      <w:r w:rsidR="00326923">
        <w:t xml:space="preserve">to </w:t>
      </w:r>
      <w:r w:rsidR="001571C3">
        <w:t>rate base.</w:t>
      </w:r>
      <w:r w:rsidR="00E0239A">
        <w:rPr>
          <w:rStyle w:val="FootnoteReference"/>
        </w:rPr>
        <w:footnoteReference w:id="31"/>
      </w:r>
    </w:p>
    <w:p w:rsidR="00D47BE6" w:rsidRDefault="007F502F" w:rsidP="00903424">
      <w:pPr>
        <w:pStyle w:val="Answer"/>
        <w:ind w:firstLine="720"/>
        <w:jc w:val="left"/>
      </w:pPr>
      <w:r>
        <w:t xml:space="preserve">Staff’s proposal to </w:t>
      </w:r>
      <w:r w:rsidR="00350D1B">
        <w:t xml:space="preserve">selectively limit a significant portion of the cost associated with this investment is inappropriate and would result in the Company’s shareholders absorbing prudently incurred costs to serve its customers.  The </w:t>
      </w:r>
      <w:r w:rsidR="00350D1B" w:rsidRPr="00A65B51">
        <w:rPr>
          <w:i/>
        </w:rPr>
        <w:t>return on</w:t>
      </w:r>
      <w:r>
        <w:t xml:space="preserve"> </w:t>
      </w:r>
      <w:r w:rsidR="00350D1B">
        <w:t xml:space="preserve">investment is a real and quantifiable component of the cost of service and excluding these amounts would not reflect sound ratemaking principles and would be punitive. </w:t>
      </w:r>
      <w:r>
        <w:t xml:space="preserve"> If Staff proposes to limit the amount that a utility can recover through deferred accounting, it should be done on a basis other than </w:t>
      </w:r>
      <w:r w:rsidR="001571C3">
        <w:t xml:space="preserve">deeming one component of revenue requirement more appropriate </w:t>
      </w:r>
      <w:r w:rsidR="0079033E">
        <w:t xml:space="preserve">for recovery </w:t>
      </w:r>
      <w:r w:rsidR="001571C3">
        <w:t xml:space="preserve">than </w:t>
      </w:r>
      <w:r w:rsidR="0079033E">
        <w:t>an</w:t>
      </w:r>
      <w:r w:rsidR="001571C3">
        <w:t xml:space="preserve">other.  </w:t>
      </w:r>
    </w:p>
    <w:p w:rsidR="00C43607" w:rsidRDefault="001571C3" w:rsidP="00903424">
      <w:pPr>
        <w:pStyle w:val="Answer"/>
        <w:ind w:firstLine="720"/>
        <w:jc w:val="left"/>
      </w:pPr>
      <w:r>
        <w:t xml:space="preserve">Public Counsel rejects the Company’s proposal to amortize the Merwin deferral because </w:t>
      </w:r>
      <w:r w:rsidR="00C43607">
        <w:t xml:space="preserve">it </w:t>
      </w:r>
      <w:r>
        <w:t>deem</w:t>
      </w:r>
      <w:r w:rsidR="00C43607">
        <w:t>s</w:t>
      </w:r>
      <w:r>
        <w:t xml:space="preserve"> it inappropriate to defer revenue requirement for a capital project between rate cases.</w:t>
      </w:r>
      <w:r w:rsidR="00BF275D">
        <w:rPr>
          <w:rStyle w:val="FootnoteReference"/>
        </w:rPr>
        <w:footnoteReference w:id="32"/>
      </w:r>
      <w:r>
        <w:t xml:space="preserve">  </w:t>
      </w:r>
      <w:r w:rsidR="00C43607">
        <w:t>R</w:t>
      </w:r>
      <w:r>
        <w:t xml:space="preserve">ecovery of the Merwin </w:t>
      </w:r>
      <w:r w:rsidR="00C43607">
        <w:t>def</w:t>
      </w:r>
      <w:r>
        <w:t xml:space="preserve">erral is appropriate, especially given that the project </w:t>
      </w:r>
      <w:r w:rsidR="00C43607">
        <w:t>was place</w:t>
      </w:r>
      <w:r w:rsidR="00326923">
        <w:t>d</w:t>
      </w:r>
      <w:r>
        <w:t xml:space="preserve"> in service </w:t>
      </w:r>
      <w:r w:rsidR="001F6690">
        <w:t xml:space="preserve">very </w:t>
      </w:r>
      <w:r>
        <w:t>soon after the Company’s last general rate case</w:t>
      </w:r>
      <w:r w:rsidR="00DD5FF2">
        <w:t>.</w:t>
      </w:r>
      <w:r>
        <w:t xml:space="preserve"> </w:t>
      </w:r>
      <w:r w:rsidR="0079033E">
        <w:t xml:space="preserve"> </w:t>
      </w:r>
      <w:r w:rsidR="00C43607">
        <w:t xml:space="preserve">It is also important to note that no party disputes the prudence of this investment.  </w:t>
      </w:r>
    </w:p>
    <w:p w:rsidR="00F63A71" w:rsidRPr="00D47BE6" w:rsidRDefault="00F63A71" w:rsidP="00903424">
      <w:pPr>
        <w:pStyle w:val="Answer"/>
        <w:ind w:firstLine="720"/>
        <w:jc w:val="left"/>
      </w:pPr>
      <w:r>
        <w:t xml:space="preserve">Boise’s position that recovery of the deferral along with the inclusion of the Merwin project in rate base through the </w:t>
      </w:r>
      <w:r w:rsidR="00C43607">
        <w:t xml:space="preserve">pro forma </w:t>
      </w:r>
      <w:r>
        <w:t>major capital additions adjustment</w:t>
      </w:r>
      <w:r w:rsidR="00C43607">
        <w:t xml:space="preserve"> would</w:t>
      </w:r>
      <w:r>
        <w:t xml:space="preserve"> result in double recovery is inaccurate.</w:t>
      </w:r>
      <w:r w:rsidR="00BF275D">
        <w:rPr>
          <w:rStyle w:val="FootnoteReference"/>
        </w:rPr>
        <w:footnoteReference w:id="33"/>
      </w:r>
      <w:r>
        <w:t xml:space="preserve">  </w:t>
      </w:r>
      <w:r w:rsidR="00C43607">
        <w:t>The Merwin deferral tracks</w:t>
      </w:r>
      <w:r>
        <w:t xml:space="preserve"> the revenue requirement of the project from </w:t>
      </w:r>
      <w:r w:rsidR="00C43607">
        <w:t>April 14, 2014 (the date of the deferred accounting petition)</w:t>
      </w:r>
      <w:r>
        <w:t xml:space="preserve"> </w:t>
      </w:r>
      <w:r w:rsidR="00C43607">
        <w:t xml:space="preserve">until </w:t>
      </w:r>
      <w:r>
        <w:t>the rate effective date in this case</w:t>
      </w:r>
      <w:r w:rsidR="00C43607">
        <w:t xml:space="preserve"> (March 31, 2015)</w:t>
      </w:r>
      <w:r>
        <w:t xml:space="preserve">. </w:t>
      </w:r>
      <w:r w:rsidR="00C43607">
        <w:t xml:space="preserve"> The proposed pro forma capital addition for the </w:t>
      </w:r>
      <w:r>
        <w:t xml:space="preserve">Merwin project </w:t>
      </w:r>
      <w:r w:rsidR="00C43607">
        <w:t>includes the revenue requirement associated with the project from March 31, 2015, forward</w:t>
      </w:r>
      <w:r>
        <w:t xml:space="preserve">.  </w:t>
      </w:r>
      <w:r w:rsidR="0079033E">
        <w:t>T</w:t>
      </w:r>
      <w:r>
        <w:t xml:space="preserve">here </w:t>
      </w:r>
      <w:r w:rsidR="0079033E">
        <w:t xml:space="preserve">is therefore </w:t>
      </w:r>
      <w:r>
        <w:t>no double recovery of Merwin</w:t>
      </w:r>
      <w:r w:rsidR="0079033E">
        <w:t xml:space="preserve"> if the Commission </w:t>
      </w:r>
      <w:r>
        <w:t>allow</w:t>
      </w:r>
      <w:r w:rsidR="0079033E">
        <w:t>s</w:t>
      </w:r>
      <w:r>
        <w:t xml:space="preserve"> amortization of the Merwin deferral.</w:t>
      </w:r>
      <w:r w:rsidR="008F625A">
        <w:t xml:space="preserve">  If the amortization is not approved, the Company will never recover over $1.</w:t>
      </w:r>
      <w:r w:rsidR="00005C40">
        <w:t>7</w:t>
      </w:r>
      <w:r w:rsidR="008F625A">
        <w:t xml:space="preserve"> million in prudently incurred costs.</w:t>
      </w:r>
    </w:p>
    <w:p w:rsidR="00260D70" w:rsidRPr="005F6ED9" w:rsidRDefault="00260D70" w:rsidP="00903424">
      <w:pPr>
        <w:pStyle w:val="Answer"/>
        <w:ind w:left="0" w:firstLine="0"/>
        <w:jc w:val="left"/>
        <w:rPr>
          <w:b/>
        </w:rPr>
      </w:pPr>
      <w:r w:rsidRPr="00260D70">
        <w:rPr>
          <w:b/>
        </w:rPr>
        <w:t>Q.</w:t>
      </w:r>
      <w:r w:rsidRPr="00260D70">
        <w:rPr>
          <w:b/>
        </w:rPr>
        <w:tab/>
        <w:t xml:space="preserve">Please describe Exhibit </w:t>
      </w:r>
      <w:r w:rsidRPr="00776658">
        <w:rPr>
          <w:b/>
        </w:rPr>
        <w:t>No.</w:t>
      </w:r>
      <w:r w:rsidR="0079033E">
        <w:rPr>
          <w:b/>
        </w:rPr>
        <w:t xml:space="preserve"> </w:t>
      </w:r>
      <w:r w:rsidRPr="00A65B51">
        <w:rPr>
          <w:b/>
        </w:rPr>
        <w:t>NCS-1</w:t>
      </w:r>
      <w:r w:rsidR="005F6ED9">
        <w:rPr>
          <w:b/>
        </w:rPr>
        <w:t>4</w:t>
      </w:r>
      <w:r w:rsidRPr="00776658">
        <w:rPr>
          <w:b/>
        </w:rPr>
        <w:t>.</w:t>
      </w:r>
    </w:p>
    <w:p w:rsidR="00F97712" w:rsidRDefault="00260D70" w:rsidP="00903424">
      <w:pPr>
        <w:pStyle w:val="Answer"/>
        <w:jc w:val="left"/>
      </w:pPr>
      <w:r w:rsidRPr="005F6ED9">
        <w:t>A.</w:t>
      </w:r>
      <w:r w:rsidRPr="005F6ED9">
        <w:tab/>
        <w:t>Exhibit No.</w:t>
      </w:r>
      <w:r w:rsidR="0079033E">
        <w:t xml:space="preserve"> </w:t>
      </w:r>
      <w:r w:rsidRPr="00A65B51">
        <w:t>NCS-1</w:t>
      </w:r>
      <w:r w:rsidR="005F6ED9">
        <w:t>4</w:t>
      </w:r>
      <w:r w:rsidRPr="00776658">
        <w:t xml:space="preserve"> is an update to Exhibit No.</w:t>
      </w:r>
      <w:r w:rsidR="0079033E">
        <w:t xml:space="preserve"> N</w:t>
      </w:r>
      <w:r w:rsidRPr="00776658">
        <w:t xml:space="preserve">CS-9, </w:t>
      </w:r>
      <w:r w:rsidR="0079033E">
        <w:t xml:space="preserve">which was </w:t>
      </w:r>
      <w:r w:rsidRPr="00776658">
        <w:t>included in the Company’s initial filing.  Exhibit No.</w:t>
      </w:r>
      <w:r w:rsidR="0079033E">
        <w:t xml:space="preserve"> </w:t>
      </w:r>
      <w:r w:rsidRPr="00A65B51">
        <w:t>NCS-1</w:t>
      </w:r>
      <w:r w:rsidR="005F6ED9">
        <w:t>4</w:t>
      </w:r>
      <w:r w:rsidRPr="00776658">
        <w:t xml:space="preserve"> is revised to reflect an update to the </w:t>
      </w:r>
      <w:r w:rsidR="0079033E">
        <w:t>h</w:t>
      </w:r>
      <w:r w:rsidRPr="00776658">
        <w:t>ydro deferral</w:t>
      </w:r>
      <w:r w:rsidR="002B7431" w:rsidRPr="00776658">
        <w:t xml:space="preserve"> and to </w:t>
      </w:r>
      <w:r w:rsidRPr="00776658">
        <w:t xml:space="preserve">remove Colstrip’s return on capital component from the Colstrip deferral calculations.  Added to the presentation of the </w:t>
      </w:r>
      <w:r w:rsidR="0079033E">
        <w:t>s</w:t>
      </w:r>
      <w:r w:rsidR="0079033E" w:rsidRPr="00776658">
        <w:t xml:space="preserve">ummary </w:t>
      </w:r>
      <w:r w:rsidRPr="00776658">
        <w:t>on Exhibit No.</w:t>
      </w:r>
      <w:r w:rsidR="0079033E" w:rsidRPr="00776658" w:rsidDel="0079033E">
        <w:t xml:space="preserve"> </w:t>
      </w:r>
      <w:r w:rsidRPr="00A65B51">
        <w:t>NCS-1</w:t>
      </w:r>
      <w:r w:rsidR="005F6ED9">
        <w:t>4</w:t>
      </w:r>
      <w:r w:rsidRPr="00776658">
        <w:t xml:space="preserve">, </w:t>
      </w:r>
      <w:r w:rsidR="0079033E">
        <w:t>p</w:t>
      </w:r>
      <w:r w:rsidRPr="00776658">
        <w:t>age</w:t>
      </w:r>
      <w:r>
        <w:t xml:space="preserve"> 1</w:t>
      </w:r>
      <w:r w:rsidR="0079033E">
        <w:t>,</w:t>
      </w:r>
      <w:r>
        <w:t xml:space="preserve"> is the Merwin deferred balance as filed in </w:t>
      </w:r>
      <w:r w:rsidR="000778C7">
        <w:t xml:space="preserve">Docket </w:t>
      </w:r>
      <w:r>
        <w:t xml:space="preserve">UE-140617.  Interest on </w:t>
      </w:r>
      <w:r w:rsidR="002B7431">
        <w:t xml:space="preserve">the </w:t>
      </w:r>
      <w:r>
        <w:t>Merwin deferred balance</w:t>
      </w:r>
      <w:r w:rsidR="002B7431">
        <w:t xml:space="preserve"> is</w:t>
      </w:r>
      <w:r>
        <w:t xml:space="preserve"> also included in the accumulated interest calculation.  </w:t>
      </w:r>
      <w:r w:rsidR="00350D1B">
        <w:t xml:space="preserve">Table 1 below summarizes </w:t>
      </w:r>
      <w:r w:rsidR="00F02544">
        <w:t>the requested amortization amounts.</w:t>
      </w:r>
    </w:p>
    <w:p w:rsidR="00350D1B" w:rsidRDefault="00F97712" w:rsidP="00A65B51">
      <w:pPr>
        <w:pStyle w:val="Answer"/>
        <w:keepNext/>
        <w:suppressLineNumbers/>
        <w:spacing w:line="240" w:lineRule="auto"/>
        <w:jc w:val="center"/>
        <w:rPr>
          <w:b/>
        </w:rPr>
      </w:pPr>
      <w:r w:rsidRPr="00A65B51">
        <w:rPr>
          <w:b/>
        </w:rPr>
        <w:t>T</w:t>
      </w:r>
      <w:r w:rsidR="00350D1B">
        <w:rPr>
          <w:b/>
        </w:rPr>
        <w:t>ABLE</w:t>
      </w:r>
      <w:r w:rsidRPr="00A65B51">
        <w:rPr>
          <w:b/>
        </w:rPr>
        <w:t xml:space="preserve"> 1</w:t>
      </w:r>
    </w:p>
    <w:p w:rsidR="00F97712" w:rsidRPr="00A65B51" w:rsidDel="000178DE" w:rsidRDefault="00F97712" w:rsidP="00A65B51">
      <w:pPr>
        <w:pStyle w:val="Answer"/>
        <w:keepNext/>
        <w:suppressLineNumbers/>
        <w:spacing w:line="240" w:lineRule="auto"/>
        <w:jc w:val="center"/>
        <w:rPr>
          <w:b/>
        </w:rPr>
      </w:pPr>
      <w:r w:rsidRPr="00A65B51">
        <w:rPr>
          <w:b/>
        </w:rPr>
        <w:t>($ millions)</w:t>
      </w:r>
    </w:p>
    <w:tbl>
      <w:tblPr>
        <w:tblStyle w:val="LightList"/>
        <w:tblW w:w="0" w:type="auto"/>
        <w:jc w:val="center"/>
        <w:tblInd w:w="1127" w:type="dxa"/>
        <w:tblBorders>
          <w:insideH w:val="single" w:sz="8" w:space="0" w:color="000000" w:themeColor="text1"/>
          <w:insideV w:val="single" w:sz="8" w:space="0" w:color="000000" w:themeColor="text1"/>
        </w:tblBorders>
        <w:tblLook w:val="04A0" w:firstRow="1" w:lastRow="0" w:firstColumn="1" w:lastColumn="0" w:noHBand="0" w:noVBand="1"/>
      </w:tblPr>
      <w:tblGrid>
        <w:gridCol w:w="3420"/>
        <w:gridCol w:w="1857"/>
      </w:tblGrid>
      <w:tr w:rsidR="00F97712" w:rsidRPr="00BC112A" w:rsidTr="00F26C2D">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420" w:type="dxa"/>
            <w:vAlign w:val="bottom"/>
          </w:tcPr>
          <w:p w:rsidR="00F97712" w:rsidRPr="00D57A3B" w:rsidRDefault="00F97712" w:rsidP="00F26C2D">
            <w:pPr>
              <w:pStyle w:val="Bullet"/>
              <w:tabs>
                <w:tab w:val="clear" w:pos="2160"/>
              </w:tabs>
              <w:spacing w:line="240" w:lineRule="auto"/>
              <w:ind w:left="0" w:firstLine="0"/>
              <w:jc w:val="center"/>
            </w:pPr>
            <w:r w:rsidRPr="00F91BF6">
              <w:t>Description</w:t>
            </w:r>
          </w:p>
        </w:tc>
        <w:tc>
          <w:tcPr>
            <w:tcW w:w="1857" w:type="dxa"/>
            <w:vAlign w:val="bottom"/>
          </w:tcPr>
          <w:p w:rsidR="00F97712" w:rsidRPr="00D57A3B" w:rsidRDefault="00F97712" w:rsidP="001B2105">
            <w:pPr>
              <w:pStyle w:val="Bullet"/>
              <w:tabs>
                <w:tab w:val="clear" w:pos="2160"/>
              </w:tabs>
              <w:spacing w:line="240" w:lineRule="auto"/>
              <w:ind w:left="0" w:firstLine="0"/>
              <w:jc w:val="center"/>
              <w:cnfStyle w:val="100000000000" w:firstRow="1" w:lastRow="0" w:firstColumn="0" w:lastColumn="0" w:oddVBand="0" w:evenVBand="0" w:oddHBand="0" w:evenHBand="0" w:firstRowFirstColumn="0" w:firstRowLastColumn="0" w:lastRowFirstColumn="0" w:lastRowLastColumn="0"/>
            </w:pPr>
            <w:r>
              <w:t>Requested Amortization</w:t>
            </w:r>
          </w:p>
        </w:tc>
      </w:tr>
      <w:tr w:rsidR="00F97712" w:rsidTr="00F26C2D">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F97712" w:rsidRPr="00D57A3B" w:rsidRDefault="00F97712" w:rsidP="00B320F5">
            <w:pPr>
              <w:pStyle w:val="Bullet"/>
              <w:tabs>
                <w:tab w:val="clear" w:pos="2160"/>
              </w:tabs>
              <w:spacing w:line="240" w:lineRule="auto"/>
              <w:ind w:left="0" w:firstLine="0"/>
              <w:jc w:val="left"/>
              <w:rPr>
                <w:b w:val="0"/>
                <w:i/>
              </w:rPr>
            </w:pPr>
            <w:r w:rsidRPr="00F91BF6">
              <w:t>Colstrip Deferral</w:t>
            </w:r>
          </w:p>
        </w:tc>
        <w:tc>
          <w:tcPr>
            <w:tcW w:w="1857" w:type="dxa"/>
            <w:tcBorders>
              <w:top w:val="none" w:sz="0" w:space="0" w:color="auto"/>
              <w:bottom w:val="none" w:sz="0" w:space="0" w:color="auto"/>
              <w:right w:val="none" w:sz="0" w:space="0" w:color="auto"/>
            </w:tcBorders>
          </w:tcPr>
          <w:p w:rsidR="00F97712" w:rsidRDefault="00F97712" w:rsidP="00BE57C3">
            <w:pPr>
              <w:pStyle w:val="Bullet"/>
              <w:tabs>
                <w:tab w:val="clear" w:pos="2160"/>
              </w:tabs>
              <w:spacing w:line="240" w:lineRule="auto"/>
              <w:ind w:left="0" w:firstLine="0"/>
              <w:jc w:val="center"/>
              <w:cnfStyle w:val="000000100000" w:firstRow="0" w:lastRow="0" w:firstColumn="0" w:lastColumn="0" w:oddVBand="0" w:evenVBand="0" w:oddHBand="1" w:evenHBand="0" w:firstRowFirstColumn="0" w:firstRowLastColumn="0" w:lastRowFirstColumn="0" w:lastRowLastColumn="0"/>
            </w:pPr>
            <w:r>
              <w:t>$</w:t>
            </w:r>
            <w:r w:rsidR="00BE57C3">
              <w:t>1.97</w:t>
            </w:r>
          </w:p>
        </w:tc>
      </w:tr>
      <w:tr w:rsidR="00F97712" w:rsidTr="00F26C2D">
        <w:trPr>
          <w:trHeight w:val="313"/>
          <w:jc w:val="center"/>
        </w:trPr>
        <w:tc>
          <w:tcPr>
            <w:cnfStyle w:val="001000000000" w:firstRow="0" w:lastRow="0" w:firstColumn="1" w:lastColumn="0" w:oddVBand="0" w:evenVBand="0" w:oddHBand="0" w:evenHBand="0" w:firstRowFirstColumn="0" w:firstRowLastColumn="0" w:lastRowFirstColumn="0" w:lastRowLastColumn="0"/>
            <w:tcW w:w="3420" w:type="dxa"/>
          </w:tcPr>
          <w:p w:rsidR="00F97712" w:rsidRPr="00D57A3B" w:rsidRDefault="00F97712" w:rsidP="00B320F5">
            <w:pPr>
              <w:pStyle w:val="Bullet"/>
              <w:tabs>
                <w:tab w:val="clear" w:pos="2160"/>
              </w:tabs>
              <w:spacing w:line="240" w:lineRule="auto"/>
              <w:ind w:left="0" w:firstLine="0"/>
              <w:jc w:val="left"/>
              <w:rPr>
                <w:b w:val="0"/>
                <w:i/>
              </w:rPr>
            </w:pPr>
            <w:r w:rsidRPr="00F91BF6">
              <w:t>Depreciation Deferral</w:t>
            </w:r>
          </w:p>
        </w:tc>
        <w:tc>
          <w:tcPr>
            <w:tcW w:w="1857" w:type="dxa"/>
          </w:tcPr>
          <w:p w:rsidR="00F97712" w:rsidRDefault="00F97712" w:rsidP="00BE57C3">
            <w:pPr>
              <w:pStyle w:val="Bullet"/>
              <w:tabs>
                <w:tab w:val="clear" w:pos="2160"/>
              </w:tabs>
              <w:spacing w:line="240" w:lineRule="auto"/>
              <w:ind w:left="0" w:firstLine="0"/>
              <w:jc w:val="center"/>
              <w:cnfStyle w:val="000000000000" w:firstRow="0" w:lastRow="0" w:firstColumn="0" w:lastColumn="0" w:oddVBand="0" w:evenVBand="0" w:oddHBand="0" w:evenHBand="0" w:firstRowFirstColumn="0" w:firstRowLastColumn="0" w:lastRowFirstColumn="0" w:lastRowLastColumn="0"/>
            </w:pPr>
            <w:r>
              <w:t>($0.</w:t>
            </w:r>
            <w:r w:rsidR="00BE57C3">
              <w:t>88</w:t>
            </w:r>
            <w:r>
              <w:t>)</w:t>
            </w:r>
          </w:p>
        </w:tc>
      </w:tr>
      <w:tr w:rsidR="00F97712" w:rsidTr="00F26C2D">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tcBorders>
          </w:tcPr>
          <w:p w:rsidR="00F97712" w:rsidRPr="00D57A3B" w:rsidRDefault="00F97712" w:rsidP="00B320F5">
            <w:pPr>
              <w:pStyle w:val="Bullet"/>
              <w:tabs>
                <w:tab w:val="clear" w:pos="2160"/>
              </w:tabs>
              <w:spacing w:line="240" w:lineRule="auto"/>
              <w:ind w:left="0" w:firstLine="0"/>
              <w:jc w:val="left"/>
              <w:rPr>
                <w:b w:val="0"/>
                <w:i/>
              </w:rPr>
            </w:pPr>
            <w:r w:rsidRPr="00F91BF6">
              <w:t>Hydro Deferral</w:t>
            </w:r>
          </w:p>
        </w:tc>
        <w:tc>
          <w:tcPr>
            <w:tcW w:w="1857" w:type="dxa"/>
            <w:tcBorders>
              <w:top w:val="none" w:sz="0" w:space="0" w:color="auto"/>
              <w:bottom w:val="none" w:sz="0" w:space="0" w:color="auto"/>
              <w:right w:val="none" w:sz="0" w:space="0" w:color="auto"/>
            </w:tcBorders>
          </w:tcPr>
          <w:p w:rsidR="00F97712" w:rsidRDefault="00F97712" w:rsidP="00F97712">
            <w:pPr>
              <w:pStyle w:val="Bullet"/>
              <w:tabs>
                <w:tab w:val="clear" w:pos="2160"/>
              </w:tabs>
              <w:spacing w:line="240" w:lineRule="auto"/>
              <w:ind w:left="0" w:firstLine="0"/>
              <w:jc w:val="center"/>
              <w:cnfStyle w:val="000000100000" w:firstRow="0" w:lastRow="0" w:firstColumn="0" w:lastColumn="0" w:oddVBand="0" w:evenVBand="0" w:oddHBand="1" w:evenHBand="0" w:firstRowFirstColumn="0" w:firstRowLastColumn="0" w:lastRowFirstColumn="0" w:lastRowLastColumn="0"/>
            </w:pPr>
            <w:r>
              <w:t>$2.4</w:t>
            </w:r>
            <w:r w:rsidR="00BE57C3">
              <w:t>4</w:t>
            </w:r>
          </w:p>
        </w:tc>
      </w:tr>
      <w:tr w:rsidR="00F97712" w:rsidRPr="00BC112A" w:rsidTr="00F26C2D">
        <w:trPr>
          <w:trHeight w:val="322"/>
          <w:jc w:val="center"/>
        </w:trPr>
        <w:tc>
          <w:tcPr>
            <w:cnfStyle w:val="001000000000" w:firstRow="0" w:lastRow="0" w:firstColumn="1" w:lastColumn="0" w:oddVBand="0" w:evenVBand="0" w:oddHBand="0" w:evenHBand="0" w:firstRowFirstColumn="0" w:firstRowLastColumn="0" w:lastRowFirstColumn="0" w:lastRowLastColumn="0"/>
            <w:tcW w:w="3420" w:type="dxa"/>
            <w:tcBorders>
              <w:bottom w:val="double" w:sz="4" w:space="0" w:color="auto"/>
            </w:tcBorders>
          </w:tcPr>
          <w:p w:rsidR="00F97712" w:rsidRPr="00F91BF6" w:rsidRDefault="00F97712" w:rsidP="00B320F5">
            <w:pPr>
              <w:pStyle w:val="Bullet"/>
              <w:tabs>
                <w:tab w:val="clear" w:pos="2160"/>
              </w:tabs>
              <w:spacing w:line="240" w:lineRule="auto"/>
              <w:ind w:left="0" w:firstLine="0"/>
              <w:jc w:val="left"/>
            </w:pPr>
            <w:r>
              <w:t>Merwin Deferral</w:t>
            </w:r>
          </w:p>
        </w:tc>
        <w:tc>
          <w:tcPr>
            <w:tcW w:w="1857" w:type="dxa"/>
            <w:tcBorders>
              <w:bottom w:val="double" w:sz="4" w:space="0" w:color="auto"/>
            </w:tcBorders>
          </w:tcPr>
          <w:p w:rsidR="00F97712" w:rsidRPr="0065535A" w:rsidRDefault="00F97712" w:rsidP="00B320F5">
            <w:pPr>
              <w:pStyle w:val="Bullet"/>
              <w:tabs>
                <w:tab w:val="clear" w:pos="2160"/>
              </w:tabs>
              <w:spacing w:line="240" w:lineRule="auto"/>
              <w:ind w:left="0" w:firstLine="0"/>
              <w:jc w:val="center"/>
              <w:cnfStyle w:val="000000000000" w:firstRow="0" w:lastRow="0" w:firstColumn="0" w:lastColumn="0" w:oddVBand="0" w:evenVBand="0" w:oddHBand="0" w:evenHBand="0" w:firstRowFirstColumn="0" w:firstRowLastColumn="0" w:lastRowFirstColumn="0" w:lastRowLastColumn="0"/>
            </w:pPr>
            <w:r>
              <w:t>$1.</w:t>
            </w:r>
            <w:r w:rsidR="00BE57C3">
              <w:t>69</w:t>
            </w:r>
          </w:p>
        </w:tc>
      </w:tr>
      <w:tr w:rsidR="00F97712" w:rsidRPr="00BC112A" w:rsidTr="00F26C2D">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3420" w:type="dxa"/>
            <w:tcBorders>
              <w:bottom w:val="double" w:sz="4" w:space="0" w:color="auto"/>
            </w:tcBorders>
          </w:tcPr>
          <w:p w:rsidR="00F97712" w:rsidRPr="00D57A3B" w:rsidRDefault="00F97712" w:rsidP="00B320F5">
            <w:pPr>
              <w:pStyle w:val="Bullet"/>
              <w:tabs>
                <w:tab w:val="clear" w:pos="2160"/>
              </w:tabs>
              <w:spacing w:line="240" w:lineRule="auto"/>
              <w:ind w:left="0" w:firstLine="0"/>
              <w:jc w:val="left"/>
              <w:rPr>
                <w:b w:val="0"/>
              </w:rPr>
            </w:pPr>
            <w:r w:rsidRPr="00F91BF6">
              <w:t>Interest</w:t>
            </w:r>
          </w:p>
        </w:tc>
        <w:tc>
          <w:tcPr>
            <w:tcW w:w="1857" w:type="dxa"/>
            <w:tcBorders>
              <w:bottom w:val="double" w:sz="4" w:space="0" w:color="auto"/>
            </w:tcBorders>
          </w:tcPr>
          <w:p w:rsidR="00F97712" w:rsidRPr="0065535A" w:rsidRDefault="00F97712" w:rsidP="00BE57C3">
            <w:pPr>
              <w:pStyle w:val="Bullet"/>
              <w:tabs>
                <w:tab w:val="clear" w:pos="2160"/>
              </w:tabs>
              <w:spacing w:line="240" w:lineRule="auto"/>
              <w:ind w:left="0" w:firstLine="0"/>
              <w:jc w:val="center"/>
              <w:cnfStyle w:val="000000100000" w:firstRow="0" w:lastRow="0" w:firstColumn="0" w:lastColumn="0" w:oddVBand="0" w:evenVBand="0" w:oddHBand="1" w:evenHBand="0" w:firstRowFirstColumn="0" w:firstRowLastColumn="0" w:lastRowFirstColumn="0" w:lastRowLastColumn="0"/>
            </w:pPr>
            <w:r>
              <w:t>$0.</w:t>
            </w:r>
            <w:r w:rsidR="00BE57C3">
              <w:t>64</w:t>
            </w:r>
          </w:p>
        </w:tc>
      </w:tr>
      <w:tr w:rsidR="00F97712" w:rsidRPr="00BC112A" w:rsidTr="00F26C2D">
        <w:trPr>
          <w:trHeight w:val="324"/>
          <w:jc w:val="center"/>
        </w:trPr>
        <w:tc>
          <w:tcPr>
            <w:cnfStyle w:val="001000000000" w:firstRow="0" w:lastRow="0" w:firstColumn="1" w:lastColumn="0" w:oddVBand="0" w:evenVBand="0" w:oddHBand="0" w:evenHBand="0" w:firstRowFirstColumn="0" w:firstRowLastColumn="0" w:lastRowFirstColumn="0" w:lastRowLastColumn="0"/>
            <w:tcW w:w="3420" w:type="dxa"/>
            <w:tcBorders>
              <w:top w:val="double" w:sz="4" w:space="0" w:color="auto"/>
            </w:tcBorders>
          </w:tcPr>
          <w:p w:rsidR="00F97712" w:rsidRPr="00F91BF6" w:rsidRDefault="00F97712" w:rsidP="00B320F5">
            <w:pPr>
              <w:pStyle w:val="Bullet"/>
              <w:tabs>
                <w:tab w:val="clear" w:pos="2160"/>
              </w:tabs>
              <w:spacing w:line="240" w:lineRule="auto"/>
              <w:ind w:left="0" w:firstLine="0"/>
              <w:jc w:val="left"/>
              <w:rPr>
                <w:b w:val="0"/>
                <w:bCs w:val="0"/>
              </w:rPr>
            </w:pPr>
            <w:r w:rsidRPr="00F91BF6">
              <w:t>Total</w:t>
            </w:r>
          </w:p>
        </w:tc>
        <w:tc>
          <w:tcPr>
            <w:tcW w:w="1857" w:type="dxa"/>
            <w:tcBorders>
              <w:top w:val="double" w:sz="4" w:space="0" w:color="auto"/>
            </w:tcBorders>
          </w:tcPr>
          <w:p w:rsidR="00F97712" w:rsidRPr="00874716" w:rsidRDefault="00F97712" w:rsidP="00BE57C3">
            <w:pPr>
              <w:pStyle w:val="Bullet"/>
              <w:tabs>
                <w:tab w:val="clear" w:pos="2160"/>
              </w:tabs>
              <w:spacing w:line="240" w:lineRule="auto"/>
              <w:ind w:left="0" w:firstLine="0"/>
              <w:jc w:val="center"/>
              <w:cnfStyle w:val="000000000000" w:firstRow="0" w:lastRow="0" w:firstColumn="0" w:lastColumn="0" w:oddVBand="0" w:evenVBand="0" w:oddHBand="0" w:evenHBand="0" w:firstRowFirstColumn="0" w:firstRowLastColumn="0" w:lastRowFirstColumn="0" w:lastRowLastColumn="0"/>
              <w:rPr>
                <w:b/>
              </w:rPr>
            </w:pPr>
            <w:r w:rsidRPr="00F91BF6">
              <w:rPr>
                <w:b/>
              </w:rPr>
              <w:t>$</w:t>
            </w:r>
            <w:r w:rsidR="00BE57C3">
              <w:rPr>
                <w:b/>
              </w:rPr>
              <w:t>5.86</w:t>
            </w:r>
          </w:p>
        </w:tc>
      </w:tr>
    </w:tbl>
    <w:p w:rsidR="008478B7" w:rsidRPr="005F6ED9" w:rsidRDefault="00956B04" w:rsidP="00A65B51">
      <w:pPr>
        <w:pStyle w:val="Heading1"/>
        <w:spacing w:before="240"/>
        <w:jc w:val="center"/>
      </w:pPr>
      <w:bookmarkStart w:id="25" w:name="_Toc403718452"/>
      <w:r w:rsidRPr="000D3EEF">
        <w:t xml:space="preserve">Additional </w:t>
      </w:r>
      <w:r w:rsidRPr="00776658">
        <w:t xml:space="preserve">Revenue Requirement </w:t>
      </w:r>
      <w:r w:rsidR="00E927DE" w:rsidRPr="005F6ED9">
        <w:t>Exhibit</w:t>
      </w:r>
      <w:bookmarkEnd w:id="25"/>
    </w:p>
    <w:p w:rsidR="00956B04" w:rsidRPr="00956B04" w:rsidRDefault="00956B04" w:rsidP="00956B04">
      <w:pPr>
        <w:pStyle w:val="Answer"/>
        <w:jc w:val="left"/>
        <w:rPr>
          <w:b/>
        </w:rPr>
      </w:pPr>
      <w:r w:rsidRPr="003351CB">
        <w:rPr>
          <w:b/>
        </w:rPr>
        <w:t xml:space="preserve">Q. </w:t>
      </w:r>
      <w:r w:rsidRPr="003351CB">
        <w:rPr>
          <w:b/>
        </w:rPr>
        <w:tab/>
      </w:r>
      <w:r w:rsidRPr="00956B04">
        <w:rPr>
          <w:b/>
        </w:rPr>
        <w:t>Plea</w:t>
      </w:r>
      <w:r>
        <w:rPr>
          <w:b/>
        </w:rPr>
        <w:t>se describe Exhibit No.</w:t>
      </w:r>
      <w:r w:rsidR="00A71149">
        <w:rPr>
          <w:b/>
        </w:rPr>
        <w:t xml:space="preserve"> </w:t>
      </w:r>
      <w:r>
        <w:rPr>
          <w:b/>
        </w:rPr>
        <w:t>NCS-13</w:t>
      </w:r>
      <w:r w:rsidRPr="00956B04">
        <w:rPr>
          <w:b/>
        </w:rPr>
        <w:t>.</w:t>
      </w:r>
    </w:p>
    <w:p w:rsidR="00956B04" w:rsidRDefault="00956B04" w:rsidP="00956B04">
      <w:pPr>
        <w:pStyle w:val="Answer"/>
        <w:jc w:val="left"/>
      </w:pPr>
      <w:r w:rsidRPr="00956B04">
        <w:t xml:space="preserve">A. </w:t>
      </w:r>
      <w:r w:rsidRPr="00956B04">
        <w:tab/>
        <w:t>Exhibit No.</w:t>
      </w:r>
      <w:r w:rsidR="00A71149">
        <w:t xml:space="preserve"> </w:t>
      </w:r>
      <w:r w:rsidRPr="00956B04">
        <w:t>NCS-</w:t>
      </w:r>
      <w:r>
        <w:t>13</w:t>
      </w:r>
      <w:r w:rsidRPr="00956B04">
        <w:t xml:space="preserve"> </w:t>
      </w:r>
      <w:r>
        <w:t xml:space="preserve">details the calculation of rebuttal revenue requirement </w:t>
      </w:r>
      <w:r w:rsidRPr="005F6ED9">
        <w:t xml:space="preserve">using the </w:t>
      </w:r>
      <w:r w:rsidR="00A71149">
        <w:t xml:space="preserve">Company’s primary </w:t>
      </w:r>
      <w:r w:rsidRPr="005F6ED9">
        <w:t>cost of capital</w:t>
      </w:r>
      <w:r w:rsidR="00A71149">
        <w:t xml:space="preserve"> proposal and </w:t>
      </w:r>
      <w:r w:rsidRPr="005F6ED9">
        <w:t>alternative</w:t>
      </w:r>
      <w:r w:rsidR="00A71149">
        <w:t xml:space="preserve"> </w:t>
      </w:r>
      <w:r w:rsidRPr="005F6ED9">
        <w:t>scenarios discussed in the testimon</w:t>
      </w:r>
      <w:r w:rsidR="00A71149">
        <w:t>ies</w:t>
      </w:r>
      <w:r w:rsidRPr="005F6ED9">
        <w:t xml:space="preserve"> of </w:t>
      </w:r>
      <w:r w:rsidRPr="00A65B51">
        <w:t>Mr. Bruce N. Williams</w:t>
      </w:r>
      <w:r w:rsidR="00A71149">
        <w:t xml:space="preserve"> and Mr. Kurt G. Strunk</w:t>
      </w:r>
      <w:r w:rsidRPr="005F6ED9">
        <w:t>.</w:t>
      </w:r>
      <w:r>
        <w:t xml:space="preserve">  </w:t>
      </w:r>
    </w:p>
    <w:p w:rsidR="00B304EA" w:rsidRPr="003351CB" w:rsidRDefault="00B304EA" w:rsidP="00F40E23">
      <w:pPr>
        <w:pStyle w:val="Answer"/>
        <w:jc w:val="left"/>
        <w:rPr>
          <w:b/>
        </w:rPr>
      </w:pPr>
      <w:r w:rsidRPr="003351CB">
        <w:rPr>
          <w:b/>
        </w:rPr>
        <w:t xml:space="preserve">Q. </w:t>
      </w:r>
      <w:r w:rsidRPr="003351CB">
        <w:rPr>
          <w:b/>
        </w:rPr>
        <w:tab/>
        <w:t xml:space="preserve">Does this conclude your </w:t>
      </w:r>
      <w:r w:rsidR="00EE074B">
        <w:rPr>
          <w:b/>
        </w:rPr>
        <w:t xml:space="preserve">rebuttal </w:t>
      </w:r>
      <w:r w:rsidRPr="003351CB">
        <w:rPr>
          <w:b/>
        </w:rPr>
        <w:t>testimony?</w:t>
      </w:r>
    </w:p>
    <w:p w:rsidR="0063086A" w:rsidRDefault="00B304EA" w:rsidP="009E1B1C">
      <w:pPr>
        <w:pStyle w:val="Answer"/>
        <w:ind w:left="0" w:firstLine="0"/>
        <w:jc w:val="left"/>
      </w:pPr>
      <w:r>
        <w:t xml:space="preserve">A. </w:t>
      </w:r>
      <w:r>
        <w:tab/>
        <w:t>Yes.</w:t>
      </w:r>
    </w:p>
    <w:sectPr w:rsidR="0063086A" w:rsidSect="00EE074B">
      <w:footerReference w:type="first" r:id="rId15"/>
      <w:pgSz w:w="12240" w:h="15840" w:code="1"/>
      <w:pgMar w:top="1440" w:right="1440" w:bottom="1440" w:left="180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B6" w:rsidRDefault="006873B6">
      <w:r>
        <w:separator/>
      </w:r>
    </w:p>
  </w:endnote>
  <w:endnote w:type="continuationSeparator" w:id="0">
    <w:p w:rsidR="006873B6" w:rsidRDefault="0068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D" w:rsidRDefault="00CB4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AB" w:rsidRDefault="00E41CAB" w:rsidP="00047B91">
    <w:pPr>
      <w:pStyle w:val="Footer"/>
      <w:tabs>
        <w:tab w:val="clear" w:pos="8640"/>
        <w:tab w:val="right" w:pos="9000"/>
      </w:tabs>
      <w:jc w:val="left"/>
    </w:pPr>
    <w:r>
      <w:t>Rebuttal Testimony of Natasha C. Siores</w:t>
    </w:r>
    <w:r>
      <w:tab/>
    </w:r>
    <w:r>
      <w:tab/>
      <w:t>Exhibit No. NCS-10T</w:t>
    </w:r>
  </w:p>
  <w:p w:rsidR="00E41CAB" w:rsidRDefault="00E41CAB" w:rsidP="00BF1FCF">
    <w:pPr>
      <w:pStyle w:val="Footer"/>
      <w:jc w:val="right"/>
    </w:pPr>
    <w:r>
      <w:t xml:space="preserve">Page </w:t>
    </w:r>
    <w:sdt>
      <w:sdtPr>
        <w:id w:val="-18576492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472D">
          <w:rPr>
            <w:noProof/>
          </w:rPr>
          <w:t>26</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81" w:rsidRDefault="00251181" w:rsidP="00047B91">
    <w:pPr>
      <w:pStyle w:val="Footer"/>
      <w:tabs>
        <w:tab w:val="clear" w:pos="8640"/>
        <w:tab w:val="right" w:pos="9000"/>
      </w:tabs>
      <w:jc w:val="left"/>
    </w:pPr>
    <w:r>
      <w:t>Rebuttal Testimony of Natasha C. Siores</w:t>
    </w:r>
    <w:r>
      <w:tab/>
    </w:r>
    <w:r>
      <w:tab/>
      <w:t>Exhibit No. NCS-10T</w:t>
    </w:r>
  </w:p>
  <w:p w:rsidR="00251181" w:rsidRDefault="00251181" w:rsidP="00251181">
    <w:pPr>
      <w:pStyle w:val="Footer"/>
      <w:jc w:val="right"/>
    </w:pPr>
    <w:r>
      <w:t xml:space="preserve">Page </w:t>
    </w:r>
    <w:sdt>
      <w:sdtPr>
        <w:id w:val="9777211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472D">
          <w:rPr>
            <w:noProof/>
          </w:rPr>
          <w:t>i</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81" w:rsidRDefault="00251181" w:rsidP="0057329B">
    <w:pPr>
      <w:pStyle w:val="Footer"/>
      <w:tabs>
        <w:tab w:val="clear" w:pos="8640"/>
        <w:tab w:val="right" w:pos="9000"/>
      </w:tabs>
      <w:jc w:val="left"/>
    </w:pPr>
    <w:r>
      <w:t>Rebuttal Testimony of Natasha C. Siores</w:t>
    </w:r>
    <w:r>
      <w:tab/>
    </w:r>
    <w:r>
      <w:tab/>
      <w:t>Exhibit No. NCS-10T</w:t>
    </w:r>
  </w:p>
  <w:p w:rsidR="00251181" w:rsidRDefault="00251181" w:rsidP="00251181">
    <w:pPr>
      <w:pStyle w:val="Footer"/>
      <w:jc w:val="right"/>
    </w:pPr>
    <w:r>
      <w:t xml:space="preserve">Page </w:t>
    </w:r>
    <w:sdt>
      <w:sdtPr>
        <w:id w:val="-6108174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472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B6" w:rsidRDefault="006873B6">
      <w:r>
        <w:separator/>
      </w:r>
    </w:p>
  </w:footnote>
  <w:footnote w:type="continuationSeparator" w:id="0">
    <w:p w:rsidR="006873B6" w:rsidRDefault="006873B6">
      <w:r>
        <w:continuationSeparator/>
      </w:r>
    </w:p>
  </w:footnote>
  <w:footnote w:id="1">
    <w:p w:rsidR="00E41CAB" w:rsidRDefault="00E41CAB" w:rsidP="00A65B51">
      <w:pPr>
        <w:pStyle w:val="FootnoteText"/>
        <w:jc w:val="left"/>
      </w:pPr>
      <w:r>
        <w:rPr>
          <w:rStyle w:val="FootnoteReference"/>
        </w:rPr>
        <w:footnoteRef/>
      </w:r>
      <w:r>
        <w:t xml:space="preserve"> Revised Testimony of Donna M. Ramas, Exhibit No. DMR-1CT at 19-28.</w:t>
      </w:r>
    </w:p>
  </w:footnote>
  <w:footnote w:id="2">
    <w:p w:rsidR="00E41CAB" w:rsidRDefault="00E41CAB" w:rsidP="00A65B51">
      <w:pPr>
        <w:pStyle w:val="FootnoteText"/>
        <w:jc w:val="left"/>
      </w:pPr>
      <w:r w:rsidRPr="00F26C2D">
        <w:rPr>
          <w:rStyle w:val="FootnoteReference"/>
        </w:rPr>
        <w:footnoteRef/>
      </w:r>
      <w:r w:rsidRPr="00954EF5">
        <w:rPr>
          <w:i/>
        </w:rPr>
        <w:t xml:space="preserve"> </w:t>
      </w:r>
      <w:r>
        <w:rPr>
          <w:i/>
        </w:rPr>
        <w:t>See e.g.</w:t>
      </w:r>
      <w:r>
        <w:t xml:space="preserve">, </w:t>
      </w:r>
      <w:r>
        <w:rPr>
          <w:i/>
        </w:rPr>
        <w:t>Wash. Utils. &amp; Transp. Comm’n v. Avista Utilities</w:t>
      </w:r>
      <w:r w:rsidR="000D0976">
        <w:t xml:space="preserve">, Docket </w:t>
      </w:r>
      <w:r>
        <w:t>UE-120436, Direct Testimony of Elizabeth M. Andrews, Exhibit No. EMA-1T at 28 (Apr. 2, 2012).</w:t>
      </w:r>
    </w:p>
  </w:footnote>
  <w:footnote w:id="3">
    <w:p w:rsidR="00E41CAB" w:rsidRDefault="00E41CAB" w:rsidP="00A65B51">
      <w:pPr>
        <w:pStyle w:val="FootnoteText"/>
        <w:jc w:val="left"/>
      </w:pPr>
      <w:r>
        <w:rPr>
          <w:rStyle w:val="FootnoteReference"/>
        </w:rPr>
        <w:footnoteRef/>
      </w:r>
      <w:r>
        <w:t xml:space="preserve"> </w:t>
      </w:r>
      <w:r>
        <w:rPr>
          <w:i/>
        </w:rPr>
        <w:t>Wash. Utils. &amp; Transp. Comm’n</w:t>
      </w:r>
      <w:r>
        <w:fldChar w:fldCharType="begin"/>
      </w:r>
      <w:r>
        <w:instrText xml:space="preserve"> ADDIN BA \xc &lt;@$cs&gt; \xl 44 \s KBKQKB000015 \xhfl Rep </w:instrText>
      </w:r>
      <w:r>
        <w:fldChar w:fldCharType="end"/>
      </w:r>
      <w:r>
        <w:rPr>
          <w:i/>
        </w:rPr>
        <w:t xml:space="preserve"> v. PacifiCorp</w:t>
      </w:r>
      <w:r w:rsidR="003E3320">
        <w:t xml:space="preserve">, Docket </w:t>
      </w:r>
      <w:r>
        <w:t>UE-111190, Settlement Stipulation at 5 (Feb. 21, 2012).</w:t>
      </w:r>
    </w:p>
  </w:footnote>
  <w:footnote w:id="4">
    <w:p w:rsidR="00E41CAB" w:rsidRDefault="00E41CAB" w:rsidP="00A65B51">
      <w:pPr>
        <w:pStyle w:val="FootnoteText"/>
        <w:jc w:val="left"/>
      </w:pPr>
      <w:r>
        <w:rPr>
          <w:rStyle w:val="FootnoteReference"/>
        </w:rPr>
        <w:footnoteRef/>
      </w:r>
      <w:r>
        <w:t xml:space="preserve"> </w:t>
      </w:r>
      <w:r>
        <w:rPr>
          <w:i/>
        </w:rPr>
        <w:t>See</w:t>
      </w:r>
      <w:r>
        <w:t xml:space="preserve"> </w:t>
      </w:r>
      <w:r>
        <w:rPr>
          <w:i/>
        </w:rPr>
        <w:t>Wash. Utils. &amp; Transp. Comm’n v. PacifiCorp</w:t>
      </w:r>
      <w:r w:rsidR="003E3320">
        <w:t xml:space="preserve">, Docket </w:t>
      </w:r>
      <w:r>
        <w:t xml:space="preserve">UE-130043, Revised Final Issues List (Aug. 23, 2013).  </w:t>
      </w:r>
    </w:p>
  </w:footnote>
  <w:footnote w:id="5">
    <w:p w:rsidR="00E41CAB" w:rsidRDefault="00E41CAB" w:rsidP="00A65B51">
      <w:pPr>
        <w:pStyle w:val="FootnoteText"/>
        <w:jc w:val="left"/>
      </w:pPr>
      <w:r>
        <w:rPr>
          <w:rStyle w:val="FootnoteReference"/>
        </w:rPr>
        <w:footnoteRef/>
      </w:r>
      <w:r>
        <w:t xml:space="preserve"> Testimony of Jason L. Ball, Exhibit No. JLB-1T at 13-15.</w:t>
      </w:r>
    </w:p>
  </w:footnote>
  <w:footnote w:id="6">
    <w:p w:rsidR="00E41CAB" w:rsidRDefault="00E41CAB">
      <w:pPr>
        <w:pStyle w:val="FootnoteText"/>
      </w:pPr>
      <w:r>
        <w:rPr>
          <w:rStyle w:val="FootnoteReference"/>
        </w:rPr>
        <w:footnoteRef/>
      </w:r>
      <w:r>
        <w:t xml:space="preserve"> Revised Testimony of Donna M. Ramas, Exhibit No. DMR-1CT at 31-35.</w:t>
      </w:r>
    </w:p>
  </w:footnote>
  <w:footnote w:id="7">
    <w:p w:rsidR="00E41CAB" w:rsidRDefault="00E41CAB">
      <w:pPr>
        <w:pStyle w:val="FootnoteText"/>
      </w:pPr>
      <w:r>
        <w:rPr>
          <w:rStyle w:val="FootnoteReference"/>
        </w:rPr>
        <w:footnoteRef/>
      </w:r>
      <w:r>
        <w:t xml:space="preserve"> Revised Testimony of Donna M. Ramas, Exhibit No. DMR-1CT at 33:21-22 (emphasis added).</w:t>
      </w:r>
    </w:p>
  </w:footnote>
  <w:footnote w:id="8">
    <w:p w:rsidR="00E41CAB" w:rsidRDefault="00E41CAB">
      <w:pPr>
        <w:pStyle w:val="FootnoteText"/>
      </w:pPr>
      <w:r>
        <w:rPr>
          <w:rStyle w:val="FootnoteReference"/>
        </w:rPr>
        <w:footnoteRef/>
      </w:r>
      <w:r>
        <w:t xml:space="preserve"> Revised Testimony of Donna M. Ramas, Exhibit No. DMR-1CT at 17-19.</w:t>
      </w:r>
    </w:p>
  </w:footnote>
  <w:footnote w:id="9">
    <w:p w:rsidR="00E41CAB" w:rsidRDefault="00E41CAB">
      <w:pPr>
        <w:pStyle w:val="FootnoteText"/>
      </w:pPr>
      <w:r>
        <w:rPr>
          <w:rStyle w:val="FootnoteReference"/>
        </w:rPr>
        <w:footnoteRef/>
      </w:r>
      <w:r>
        <w:t xml:space="preserve"> Testimony of Jason L. Ball, Exhibit No. JLB-1T at 19.</w:t>
      </w:r>
    </w:p>
  </w:footnote>
  <w:footnote w:id="10">
    <w:p w:rsidR="00E41CAB" w:rsidRDefault="00E41CAB" w:rsidP="00A65B51">
      <w:pPr>
        <w:pStyle w:val="FootnoteText"/>
        <w:jc w:val="left"/>
      </w:pPr>
      <w:r>
        <w:rPr>
          <w:rStyle w:val="FootnoteReference"/>
        </w:rPr>
        <w:footnoteRef/>
      </w:r>
      <w:r>
        <w:t xml:space="preserve"> This amount reflects actual credits recorded for calendar year 2013, which includes</w:t>
      </w:r>
      <w:r w:rsidR="005E5ECB">
        <w:t xml:space="preserve"> $87,882</w:t>
      </w:r>
      <w:r>
        <w:t xml:space="preserve"> of actual credits recorded f</w:t>
      </w:r>
      <w:r w:rsidR="00EE674C">
        <w:t xml:space="preserve">rom January 1, 2013, through June 30, 2013, (six months of </w:t>
      </w:r>
      <w:r>
        <w:t>fiscal year 2013</w:t>
      </w:r>
      <w:r w:rsidR="00EE674C">
        <w:t>)</w:t>
      </w:r>
      <w:r>
        <w:t xml:space="preserve"> and </w:t>
      </w:r>
      <w:r w:rsidR="005E5ECB">
        <w:t>$174,572</w:t>
      </w:r>
      <w:r>
        <w:t xml:space="preserve"> of actual credits recorded </w:t>
      </w:r>
      <w:r w:rsidR="00EE674C">
        <w:t xml:space="preserve">from July 1, 2013, through December 31, 2013, (six months of </w:t>
      </w:r>
      <w:r>
        <w:t>fiscal year 2014</w:t>
      </w:r>
      <w:r w:rsidR="00EE674C">
        <w:t>)</w:t>
      </w:r>
      <w:r>
        <w:t xml:space="preserve">. </w:t>
      </w:r>
    </w:p>
  </w:footnote>
  <w:footnote w:id="11">
    <w:p w:rsidR="00E41CAB" w:rsidRDefault="00E41CAB">
      <w:pPr>
        <w:pStyle w:val="FootnoteText"/>
      </w:pPr>
      <w:r>
        <w:rPr>
          <w:rStyle w:val="FootnoteReference"/>
        </w:rPr>
        <w:footnoteRef/>
      </w:r>
      <w:r>
        <w:t xml:space="preserve"> Exhibit No. NCS-3, page 7.5.2.</w:t>
      </w:r>
    </w:p>
  </w:footnote>
  <w:footnote w:id="12">
    <w:p w:rsidR="00E41CAB" w:rsidRDefault="00E41CAB">
      <w:pPr>
        <w:pStyle w:val="FootnoteText"/>
      </w:pPr>
      <w:r>
        <w:rPr>
          <w:rStyle w:val="FootnoteReference"/>
        </w:rPr>
        <w:footnoteRef/>
      </w:r>
      <w:r>
        <w:t xml:space="preserve"> Testimony of Betty A. Erdahl, Exhibit No. BAE-1T at 5-7.</w:t>
      </w:r>
    </w:p>
  </w:footnote>
  <w:footnote w:id="13">
    <w:p w:rsidR="00E41CAB" w:rsidRDefault="00E41CAB" w:rsidP="00C43EE1">
      <w:pPr>
        <w:pStyle w:val="FootnoteText"/>
      </w:pPr>
      <w:r>
        <w:rPr>
          <w:rStyle w:val="FootnoteReference"/>
        </w:rPr>
        <w:footnoteRef/>
      </w:r>
      <w:r>
        <w:t xml:space="preserve"> </w:t>
      </w:r>
      <w:r w:rsidRPr="000239C1">
        <w:rPr>
          <w:i/>
        </w:rPr>
        <w:t>See</w:t>
      </w:r>
      <w:r>
        <w:t xml:space="preserve"> RCW 82.16.0497(1)(a).</w:t>
      </w:r>
    </w:p>
  </w:footnote>
  <w:footnote w:id="14">
    <w:p w:rsidR="00E41CAB" w:rsidRPr="001421F1" w:rsidRDefault="00E41CAB" w:rsidP="00C43EE1">
      <w:pPr>
        <w:pStyle w:val="FootnoteText"/>
      </w:pPr>
      <w:r w:rsidRPr="001421F1">
        <w:rPr>
          <w:rStyle w:val="FootnoteReference"/>
        </w:rPr>
        <w:footnoteRef/>
      </w:r>
      <w:r w:rsidRPr="001421F1">
        <w:t xml:space="preserve"> </w:t>
      </w:r>
      <w:r w:rsidRPr="001421F1">
        <w:rPr>
          <w:i/>
        </w:rPr>
        <w:t>See</w:t>
      </w:r>
      <w:r w:rsidRPr="001421F1">
        <w:t xml:space="preserve"> Exhibit No.</w:t>
      </w:r>
      <w:r>
        <w:t xml:space="preserve"> </w:t>
      </w:r>
      <w:r w:rsidRPr="001421F1">
        <w:t>NCS</w:t>
      </w:r>
      <w:r>
        <w:t>-</w:t>
      </w:r>
      <w:r w:rsidRPr="001421F1">
        <w:t>16</w:t>
      </w:r>
      <w:r w:rsidRPr="00776658">
        <w:t>.</w:t>
      </w:r>
    </w:p>
  </w:footnote>
  <w:footnote w:id="15">
    <w:p w:rsidR="00E41CAB" w:rsidRDefault="00E41CAB">
      <w:pPr>
        <w:pStyle w:val="FootnoteText"/>
      </w:pPr>
      <w:r>
        <w:rPr>
          <w:rStyle w:val="FootnoteReference"/>
        </w:rPr>
        <w:footnoteRef/>
      </w:r>
      <w:r>
        <w:t xml:space="preserve"> Testimony of Betty A. Erdahl, Exhibit No. BAE-1T at 7-9.</w:t>
      </w:r>
    </w:p>
  </w:footnote>
  <w:footnote w:id="16">
    <w:p w:rsidR="00E41CAB" w:rsidRDefault="00E41CAB">
      <w:pPr>
        <w:pStyle w:val="FootnoteText"/>
      </w:pPr>
      <w:r>
        <w:rPr>
          <w:rStyle w:val="FootnoteReference"/>
        </w:rPr>
        <w:footnoteRef/>
      </w:r>
      <w:r>
        <w:t xml:space="preserve"> Revised Testimony of Donna M. Ramas, Exhibit No. DMR-1CT at 12-17.</w:t>
      </w:r>
    </w:p>
  </w:footnote>
  <w:footnote w:id="17">
    <w:p w:rsidR="00E41CAB" w:rsidRDefault="00E41CAB" w:rsidP="00F83BDB">
      <w:pPr>
        <w:pStyle w:val="FootnoteText"/>
      </w:pPr>
      <w:r>
        <w:rPr>
          <w:rStyle w:val="FootnoteReference"/>
        </w:rPr>
        <w:footnoteRef/>
      </w:r>
      <w:r>
        <w:t xml:space="preserve"> Responsive Testimony of Bradley G. Mullins, Exhibit No. BGM-1CT at 7.</w:t>
      </w:r>
    </w:p>
  </w:footnote>
  <w:footnote w:id="18">
    <w:p w:rsidR="00E41CAB" w:rsidRDefault="00E41CAB" w:rsidP="00225A5C">
      <w:pPr>
        <w:pStyle w:val="FootnoteText"/>
      </w:pPr>
      <w:r>
        <w:rPr>
          <w:rStyle w:val="FootnoteReference"/>
        </w:rPr>
        <w:footnoteRef/>
      </w:r>
      <w:r>
        <w:t xml:space="preserve"> Responsive Testimony of Bradley G. Mullins, Exhibit No. BGM-1CT at 12-13.</w:t>
      </w:r>
    </w:p>
  </w:footnote>
  <w:footnote w:id="19">
    <w:p w:rsidR="00E41CAB" w:rsidRDefault="00E41CAB" w:rsidP="00225A5C">
      <w:pPr>
        <w:pStyle w:val="FootnoteText"/>
      </w:pPr>
      <w:r>
        <w:rPr>
          <w:rStyle w:val="FootnoteReference"/>
        </w:rPr>
        <w:footnoteRef/>
      </w:r>
      <w:r>
        <w:t xml:space="preserve"> Responsive Testimony of Bradley G. Mullins, Exhibit No. BGM-4C at 62.</w:t>
      </w:r>
    </w:p>
  </w:footnote>
  <w:footnote w:id="20">
    <w:p w:rsidR="00E41CAB" w:rsidRDefault="00E41CAB">
      <w:pPr>
        <w:pStyle w:val="FootnoteText"/>
      </w:pPr>
      <w:r>
        <w:rPr>
          <w:rStyle w:val="FootnoteReference"/>
        </w:rPr>
        <w:footnoteRef/>
      </w:r>
      <w:r>
        <w:t xml:space="preserve"> Testimony of Jason L. Ball, Exhibit No. JLB-1T at 13.</w:t>
      </w:r>
    </w:p>
  </w:footnote>
  <w:footnote w:id="21">
    <w:p w:rsidR="00E41CAB" w:rsidRDefault="00E41CAB">
      <w:pPr>
        <w:pStyle w:val="FootnoteText"/>
      </w:pPr>
      <w:r>
        <w:rPr>
          <w:rStyle w:val="FootnoteReference"/>
        </w:rPr>
        <w:footnoteRef/>
      </w:r>
      <w:r>
        <w:t xml:space="preserve"> Responsive Testimony of Bradley G. Mullins, Exhibit No. BGM-1CT at 62-67.</w:t>
      </w:r>
    </w:p>
  </w:footnote>
  <w:footnote w:id="22">
    <w:p w:rsidR="00E41CAB" w:rsidRDefault="00E41CAB">
      <w:pPr>
        <w:pStyle w:val="FootnoteText"/>
      </w:pPr>
      <w:r>
        <w:rPr>
          <w:rStyle w:val="FootnoteReference"/>
        </w:rPr>
        <w:footnoteRef/>
      </w:r>
      <w:r>
        <w:t xml:space="preserve"> Responsive Testimony of Bradley G. Mullins, Exhibit No. BGM-1CT at 63.</w:t>
      </w:r>
    </w:p>
  </w:footnote>
  <w:footnote w:id="23">
    <w:p w:rsidR="00E41CAB" w:rsidRDefault="00E41CAB">
      <w:pPr>
        <w:pStyle w:val="FootnoteText"/>
      </w:pPr>
      <w:r>
        <w:rPr>
          <w:rStyle w:val="FootnoteReference"/>
        </w:rPr>
        <w:footnoteRef/>
      </w:r>
      <w:r>
        <w:t xml:space="preserve"> Testimony of Jason L. Ball, Exhibit No. JLB-1T at 13.</w:t>
      </w:r>
    </w:p>
  </w:footnote>
  <w:footnote w:id="24">
    <w:p w:rsidR="00E41CAB" w:rsidRDefault="00E41CAB">
      <w:pPr>
        <w:pStyle w:val="FootnoteText"/>
      </w:pPr>
      <w:r>
        <w:rPr>
          <w:rStyle w:val="FootnoteReference"/>
        </w:rPr>
        <w:footnoteRef/>
      </w:r>
      <w:r>
        <w:t xml:space="preserve"> Testimony of David. C. Gomez, Exhibit No. DCG-1CT at 16-18.</w:t>
      </w:r>
    </w:p>
  </w:footnote>
  <w:footnote w:id="25">
    <w:p w:rsidR="00E41CAB" w:rsidRDefault="00E41CAB">
      <w:pPr>
        <w:pStyle w:val="FootnoteText"/>
      </w:pPr>
      <w:r>
        <w:rPr>
          <w:rStyle w:val="FootnoteReference"/>
        </w:rPr>
        <w:footnoteRef/>
      </w:r>
      <w:r>
        <w:t xml:space="preserve"> Revised Testimony of Donna M. Ramas, Exhibit No. DMR-1CT at 42-45.</w:t>
      </w:r>
    </w:p>
  </w:footnote>
  <w:footnote w:id="26">
    <w:p w:rsidR="00E41CAB" w:rsidRDefault="00E41CAB">
      <w:pPr>
        <w:pStyle w:val="FootnoteText"/>
      </w:pPr>
      <w:r>
        <w:rPr>
          <w:rStyle w:val="FootnoteReference"/>
        </w:rPr>
        <w:footnoteRef/>
      </w:r>
      <w:r>
        <w:t xml:space="preserve"> Responsive Testimony of Bradley G. Mullins, Exhibit No. BGM-1CT at 67-68.</w:t>
      </w:r>
    </w:p>
  </w:footnote>
  <w:footnote w:id="27">
    <w:p w:rsidR="00E41CAB" w:rsidRDefault="00E41CAB">
      <w:pPr>
        <w:pStyle w:val="FootnoteText"/>
      </w:pPr>
      <w:r>
        <w:rPr>
          <w:rStyle w:val="FootnoteReference"/>
        </w:rPr>
        <w:footnoteRef/>
      </w:r>
      <w:r>
        <w:t xml:space="preserve"> Testimony of Jason L. Ball, Exhibit No. JLB-1T at 13.</w:t>
      </w:r>
    </w:p>
  </w:footnote>
  <w:footnote w:id="28">
    <w:p w:rsidR="00E41CAB" w:rsidRDefault="00E41CAB">
      <w:pPr>
        <w:pStyle w:val="FootnoteText"/>
      </w:pPr>
      <w:r>
        <w:rPr>
          <w:rStyle w:val="FootnoteReference"/>
        </w:rPr>
        <w:footnoteRef/>
      </w:r>
      <w:r>
        <w:t xml:space="preserve"> Revised Testimony of Donna M. Ramas, Exhibit No. DMR-1CT at 45-47.</w:t>
      </w:r>
    </w:p>
  </w:footnote>
  <w:footnote w:id="29">
    <w:p w:rsidR="00E41CAB" w:rsidRDefault="00E41CAB">
      <w:pPr>
        <w:pStyle w:val="FootnoteText"/>
      </w:pPr>
      <w:r>
        <w:rPr>
          <w:rStyle w:val="FootnoteReference"/>
        </w:rPr>
        <w:footnoteRef/>
      </w:r>
      <w:r>
        <w:t xml:space="preserve"> Responsive Testimony of Bradley G. Mullins, Exhibit No. BGM-1CT at 68-71.</w:t>
      </w:r>
    </w:p>
  </w:footnote>
  <w:footnote w:id="30">
    <w:p w:rsidR="00E41CAB" w:rsidRPr="00A65B51" w:rsidRDefault="00E41CAB">
      <w:pPr>
        <w:pStyle w:val="FootnoteText"/>
        <w:rPr>
          <w:i/>
        </w:rPr>
      </w:pPr>
      <w:r>
        <w:rPr>
          <w:rStyle w:val="FootnoteReference"/>
        </w:rPr>
        <w:footnoteRef/>
      </w:r>
      <w:r>
        <w:t xml:space="preserve"> </w:t>
      </w:r>
      <w:r>
        <w:rPr>
          <w:i/>
        </w:rPr>
        <w:t xml:space="preserve">Wash. Utils. &amp; Transp. Comm’n v. PacifiCorp, </w:t>
      </w:r>
      <w:r>
        <w:t>Docket UE-140762, Order 03 (May 29, 2014).</w:t>
      </w:r>
    </w:p>
  </w:footnote>
  <w:footnote w:id="31">
    <w:p w:rsidR="00E41CAB" w:rsidRDefault="00E41CAB">
      <w:pPr>
        <w:pStyle w:val="FootnoteText"/>
      </w:pPr>
      <w:r>
        <w:rPr>
          <w:rStyle w:val="FootnoteReference"/>
        </w:rPr>
        <w:footnoteRef/>
      </w:r>
      <w:r>
        <w:t xml:space="preserve"> Testimony of Jason L. Ball, Exhibit No. JLB-1T at 27-28.</w:t>
      </w:r>
    </w:p>
  </w:footnote>
  <w:footnote w:id="32">
    <w:p w:rsidR="00E41CAB" w:rsidRDefault="00E41CAB">
      <w:pPr>
        <w:pStyle w:val="FootnoteText"/>
      </w:pPr>
      <w:r>
        <w:rPr>
          <w:rStyle w:val="FootnoteReference"/>
        </w:rPr>
        <w:footnoteRef/>
      </w:r>
      <w:r>
        <w:t xml:space="preserve"> Revised Testimony of Donna M. Ramas, Exhibit No. DMR-1CT at 45-47.</w:t>
      </w:r>
    </w:p>
  </w:footnote>
  <w:footnote w:id="33">
    <w:p w:rsidR="00E41CAB" w:rsidRDefault="00E41CAB">
      <w:pPr>
        <w:pStyle w:val="FootnoteText"/>
      </w:pPr>
      <w:r>
        <w:rPr>
          <w:rStyle w:val="FootnoteReference"/>
        </w:rPr>
        <w:footnoteRef/>
      </w:r>
      <w:r>
        <w:t xml:space="preserve"> Responsive Testimony of Bradley G. Mullins, Exhibit No. BGM-1CT at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D" w:rsidRDefault="00CB47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AB" w:rsidRDefault="00E41CAB" w:rsidP="00422C1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D" w:rsidRDefault="00CB4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0BE"/>
    <w:multiLevelType w:val="hybridMultilevel"/>
    <w:tmpl w:val="958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32E24"/>
    <w:multiLevelType w:val="hybridMultilevel"/>
    <w:tmpl w:val="430A6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575413D"/>
    <w:multiLevelType w:val="hybridMultilevel"/>
    <w:tmpl w:val="AEAA3E7E"/>
    <w:lvl w:ilvl="0" w:tplc="E9CCC0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4">
    <w:nsid w:val="3F475ABD"/>
    <w:multiLevelType w:val="multilevel"/>
    <w:tmpl w:val="CA94107A"/>
    <w:lvl w:ilvl="0">
      <w:start w:val="1"/>
      <w:numFmt w:val="bullet"/>
      <w:lvlText w:val=""/>
      <w:lvlJc w:val="left"/>
      <w:pPr>
        <w:tabs>
          <w:tab w:val="num" w:pos="3960"/>
        </w:tabs>
        <w:ind w:left="3960" w:hanging="360"/>
      </w:pPr>
      <w:rPr>
        <w:rFonts w:ascii="Symbol" w:hAnsi="Symbol"/>
        <w:sz w:val="24"/>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5">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85D5536"/>
    <w:multiLevelType w:val="hybridMultilevel"/>
    <w:tmpl w:val="5EB27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2D0747"/>
    <w:multiLevelType w:val="hybridMultilevel"/>
    <w:tmpl w:val="A3A81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D7A5E"/>
    <w:multiLevelType w:val="singleLevel"/>
    <w:tmpl w:val="8234A596"/>
    <w:lvl w:ilvl="0">
      <w:start w:val="17"/>
      <w:numFmt w:val="upperLetter"/>
      <w:lvlText w:val="%1."/>
      <w:lvlJc w:val="left"/>
      <w:pPr>
        <w:tabs>
          <w:tab w:val="num" w:pos="720"/>
        </w:tabs>
        <w:ind w:left="720" w:hanging="720"/>
      </w:pPr>
      <w:rPr>
        <w:rFonts w:hint="default"/>
      </w:rPr>
    </w:lvl>
  </w:abstractNum>
  <w:abstractNum w:abstractNumId="9">
    <w:nsid w:val="653863DC"/>
    <w:multiLevelType w:val="hybridMultilevel"/>
    <w:tmpl w:val="F68E26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E0977"/>
    <w:multiLevelType w:val="hybridMultilevel"/>
    <w:tmpl w:val="A0F68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A841D27"/>
    <w:multiLevelType w:val="hybridMultilevel"/>
    <w:tmpl w:val="2AB269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DF7404"/>
    <w:multiLevelType w:val="hybridMultilevel"/>
    <w:tmpl w:val="FE92ABF0"/>
    <w:lvl w:ilvl="0" w:tplc="5C78F0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CE6009A"/>
    <w:multiLevelType w:val="hybridMultilevel"/>
    <w:tmpl w:val="89E22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450AE2"/>
    <w:multiLevelType w:val="hybridMultilevel"/>
    <w:tmpl w:val="5C2A1AA8"/>
    <w:lvl w:ilvl="0" w:tplc="04090001">
      <w:start w:val="1"/>
      <w:numFmt w:val="bullet"/>
      <w:lvlText w:val=""/>
      <w:lvlJc w:val="left"/>
      <w:pPr>
        <w:tabs>
          <w:tab w:val="num" w:pos="1260"/>
        </w:tabs>
        <w:ind w:left="12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AA1BD7"/>
    <w:multiLevelType w:val="hybridMultilevel"/>
    <w:tmpl w:val="8458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82EDE"/>
    <w:multiLevelType w:val="singleLevel"/>
    <w:tmpl w:val="938617F0"/>
    <w:lvl w:ilvl="0">
      <w:start w:val="1"/>
      <w:numFmt w:val="upperLetter"/>
      <w:lvlText w:val="%1."/>
      <w:lvlJc w:val="left"/>
      <w:pPr>
        <w:tabs>
          <w:tab w:val="num" w:pos="720"/>
        </w:tabs>
        <w:ind w:left="720" w:hanging="720"/>
      </w:pPr>
      <w:rPr>
        <w:rFonts w:hint="default"/>
      </w:rPr>
    </w:lvl>
  </w:abstractNum>
  <w:num w:numId="1">
    <w:abstractNumId w:val="4"/>
  </w:num>
  <w:num w:numId="2">
    <w:abstractNumId w:val="3"/>
  </w:num>
  <w:num w:numId="3">
    <w:abstractNumId w:val="12"/>
  </w:num>
  <w:num w:numId="4">
    <w:abstractNumId w:val="5"/>
  </w:num>
  <w:num w:numId="5">
    <w:abstractNumId w:val="8"/>
  </w:num>
  <w:num w:numId="6">
    <w:abstractNumId w:val="16"/>
  </w:num>
  <w:num w:numId="7">
    <w:abstractNumId w:val="14"/>
  </w:num>
  <w:num w:numId="8">
    <w:abstractNumId w:val="1"/>
  </w:num>
  <w:num w:numId="9">
    <w:abstractNumId w:val="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3"/>
  </w:num>
  <w:num w:numId="15">
    <w:abstractNumId w:val="15"/>
  </w:num>
  <w:num w:numId="16">
    <w:abstractNumId w:val="2"/>
  </w:num>
  <w:num w:numId="17">
    <w:abstractNumId w:val="6"/>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138"/>
    <w:rsid w:val="00000B97"/>
    <w:rsid w:val="00000CA7"/>
    <w:rsid w:val="00000F08"/>
    <w:rsid w:val="00000FEC"/>
    <w:rsid w:val="00001309"/>
    <w:rsid w:val="00001380"/>
    <w:rsid w:val="00002246"/>
    <w:rsid w:val="0000367F"/>
    <w:rsid w:val="000045C5"/>
    <w:rsid w:val="00004D06"/>
    <w:rsid w:val="000051B8"/>
    <w:rsid w:val="00005C40"/>
    <w:rsid w:val="00005E3D"/>
    <w:rsid w:val="000061DA"/>
    <w:rsid w:val="00006901"/>
    <w:rsid w:val="00006B7A"/>
    <w:rsid w:val="00006C52"/>
    <w:rsid w:val="00006CE5"/>
    <w:rsid w:val="00010042"/>
    <w:rsid w:val="00011270"/>
    <w:rsid w:val="00012C06"/>
    <w:rsid w:val="00012DA5"/>
    <w:rsid w:val="000133C4"/>
    <w:rsid w:val="000137A9"/>
    <w:rsid w:val="00014C14"/>
    <w:rsid w:val="000160CD"/>
    <w:rsid w:val="000178DE"/>
    <w:rsid w:val="00017D99"/>
    <w:rsid w:val="00017EFF"/>
    <w:rsid w:val="00020B67"/>
    <w:rsid w:val="00021457"/>
    <w:rsid w:val="000216A7"/>
    <w:rsid w:val="000232B7"/>
    <w:rsid w:val="00023AE4"/>
    <w:rsid w:val="00023CCA"/>
    <w:rsid w:val="00024672"/>
    <w:rsid w:val="0002692B"/>
    <w:rsid w:val="00026EE2"/>
    <w:rsid w:val="0002717D"/>
    <w:rsid w:val="000272A1"/>
    <w:rsid w:val="000275B7"/>
    <w:rsid w:val="00027EA3"/>
    <w:rsid w:val="00027F29"/>
    <w:rsid w:val="0003006A"/>
    <w:rsid w:val="00030279"/>
    <w:rsid w:val="0003142F"/>
    <w:rsid w:val="00031EAE"/>
    <w:rsid w:val="000336EB"/>
    <w:rsid w:val="000339D1"/>
    <w:rsid w:val="00034979"/>
    <w:rsid w:val="0003603B"/>
    <w:rsid w:val="000403A8"/>
    <w:rsid w:val="00041F02"/>
    <w:rsid w:val="00042F40"/>
    <w:rsid w:val="00042FEB"/>
    <w:rsid w:val="00044931"/>
    <w:rsid w:val="00045A75"/>
    <w:rsid w:val="00047979"/>
    <w:rsid w:val="00047B91"/>
    <w:rsid w:val="0005017E"/>
    <w:rsid w:val="00051A38"/>
    <w:rsid w:val="00051D0C"/>
    <w:rsid w:val="000522D0"/>
    <w:rsid w:val="00052601"/>
    <w:rsid w:val="00053B12"/>
    <w:rsid w:val="00053E88"/>
    <w:rsid w:val="00056554"/>
    <w:rsid w:val="00056EC9"/>
    <w:rsid w:val="000576E2"/>
    <w:rsid w:val="000579A1"/>
    <w:rsid w:val="000604C1"/>
    <w:rsid w:val="000606D0"/>
    <w:rsid w:val="000612FD"/>
    <w:rsid w:val="00063D8B"/>
    <w:rsid w:val="0006417F"/>
    <w:rsid w:val="000641A2"/>
    <w:rsid w:val="00064289"/>
    <w:rsid w:val="000642A0"/>
    <w:rsid w:val="000647DF"/>
    <w:rsid w:val="000663D3"/>
    <w:rsid w:val="00066E9D"/>
    <w:rsid w:val="00067C4E"/>
    <w:rsid w:val="0007097D"/>
    <w:rsid w:val="00070C89"/>
    <w:rsid w:val="000730C1"/>
    <w:rsid w:val="00073FF0"/>
    <w:rsid w:val="0007404D"/>
    <w:rsid w:val="00076168"/>
    <w:rsid w:val="0007675C"/>
    <w:rsid w:val="000778C7"/>
    <w:rsid w:val="00077EA3"/>
    <w:rsid w:val="000808BA"/>
    <w:rsid w:val="00080F84"/>
    <w:rsid w:val="000817CE"/>
    <w:rsid w:val="00081991"/>
    <w:rsid w:val="000831F1"/>
    <w:rsid w:val="00084604"/>
    <w:rsid w:val="00084F13"/>
    <w:rsid w:val="000858D3"/>
    <w:rsid w:val="0008721E"/>
    <w:rsid w:val="00087466"/>
    <w:rsid w:val="00091B1B"/>
    <w:rsid w:val="00091DA9"/>
    <w:rsid w:val="00091EF7"/>
    <w:rsid w:val="00093142"/>
    <w:rsid w:val="00093B5B"/>
    <w:rsid w:val="00093C59"/>
    <w:rsid w:val="000946FC"/>
    <w:rsid w:val="0009636F"/>
    <w:rsid w:val="000978BB"/>
    <w:rsid w:val="000A059F"/>
    <w:rsid w:val="000A09F1"/>
    <w:rsid w:val="000A126D"/>
    <w:rsid w:val="000A49D1"/>
    <w:rsid w:val="000A4BD9"/>
    <w:rsid w:val="000A4E21"/>
    <w:rsid w:val="000A5264"/>
    <w:rsid w:val="000A7191"/>
    <w:rsid w:val="000A759E"/>
    <w:rsid w:val="000B01FA"/>
    <w:rsid w:val="000B0596"/>
    <w:rsid w:val="000B0A23"/>
    <w:rsid w:val="000B0FE8"/>
    <w:rsid w:val="000B1623"/>
    <w:rsid w:val="000B184C"/>
    <w:rsid w:val="000B2679"/>
    <w:rsid w:val="000B43CC"/>
    <w:rsid w:val="000B5540"/>
    <w:rsid w:val="000B676A"/>
    <w:rsid w:val="000B6B5D"/>
    <w:rsid w:val="000B7905"/>
    <w:rsid w:val="000C08C0"/>
    <w:rsid w:val="000C08CA"/>
    <w:rsid w:val="000C096A"/>
    <w:rsid w:val="000C1C80"/>
    <w:rsid w:val="000C3CE2"/>
    <w:rsid w:val="000C3E53"/>
    <w:rsid w:val="000C470D"/>
    <w:rsid w:val="000C4959"/>
    <w:rsid w:val="000C53BF"/>
    <w:rsid w:val="000C6AAC"/>
    <w:rsid w:val="000D058F"/>
    <w:rsid w:val="000D0976"/>
    <w:rsid w:val="000D09A2"/>
    <w:rsid w:val="000D1C7D"/>
    <w:rsid w:val="000D3C05"/>
    <w:rsid w:val="000D3EEF"/>
    <w:rsid w:val="000D49B6"/>
    <w:rsid w:val="000D4DD0"/>
    <w:rsid w:val="000D6957"/>
    <w:rsid w:val="000D7282"/>
    <w:rsid w:val="000D78F5"/>
    <w:rsid w:val="000E112D"/>
    <w:rsid w:val="000E189A"/>
    <w:rsid w:val="000E1CA9"/>
    <w:rsid w:val="000E413A"/>
    <w:rsid w:val="000E442A"/>
    <w:rsid w:val="000F0627"/>
    <w:rsid w:val="000F1156"/>
    <w:rsid w:val="000F20CC"/>
    <w:rsid w:val="000F3CD3"/>
    <w:rsid w:val="000F44A0"/>
    <w:rsid w:val="000F59EA"/>
    <w:rsid w:val="001004B6"/>
    <w:rsid w:val="00103512"/>
    <w:rsid w:val="00103916"/>
    <w:rsid w:val="00105EBF"/>
    <w:rsid w:val="0010676F"/>
    <w:rsid w:val="001078BF"/>
    <w:rsid w:val="00107C02"/>
    <w:rsid w:val="00111679"/>
    <w:rsid w:val="0011438B"/>
    <w:rsid w:val="0011579F"/>
    <w:rsid w:val="00116594"/>
    <w:rsid w:val="00116A61"/>
    <w:rsid w:val="001212ED"/>
    <w:rsid w:val="001229D5"/>
    <w:rsid w:val="0012464D"/>
    <w:rsid w:val="00124669"/>
    <w:rsid w:val="00126E87"/>
    <w:rsid w:val="001301B0"/>
    <w:rsid w:val="0013033E"/>
    <w:rsid w:val="00130868"/>
    <w:rsid w:val="00130B17"/>
    <w:rsid w:val="001316F2"/>
    <w:rsid w:val="00131919"/>
    <w:rsid w:val="00131D77"/>
    <w:rsid w:val="001338F4"/>
    <w:rsid w:val="00133C14"/>
    <w:rsid w:val="001350A8"/>
    <w:rsid w:val="00135851"/>
    <w:rsid w:val="00135BA2"/>
    <w:rsid w:val="00136D2F"/>
    <w:rsid w:val="00136FF4"/>
    <w:rsid w:val="00141071"/>
    <w:rsid w:val="00141D12"/>
    <w:rsid w:val="00141D3D"/>
    <w:rsid w:val="0014281F"/>
    <w:rsid w:val="001428B4"/>
    <w:rsid w:val="00142AF1"/>
    <w:rsid w:val="0014369E"/>
    <w:rsid w:val="00144108"/>
    <w:rsid w:val="00144D82"/>
    <w:rsid w:val="00144DC3"/>
    <w:rsid w:val="001459F8"/>
    <w:rsid w:val="00146640"/>
    <w:rsid w:val="001466BA"/>
    <w:rsid w:val="00146C12"/>
    <w:rsid w:val="001473A6"/>
    <w:rsid w:val="001473D7"/>
    <w:rsid w:val="0015007D"/>
    <w:rsid w:val="00150CF3"/>
    <w:rsid w:val="00150D52"/>
    <w:rsid w:val="00153BB5"/>
    <w:rsid w:val="00154BA6"/>
    <w:rsid w:val="0015516F"/>
    <w:rsid w:val="0015597C"/>
    <w:rsid w:val="001571C3"/>
    <w:rsid w:val="0016090F"/>
    <w:rsid w:val="00160A98"/>
    <w:rsid w:val="0016195B"/>
    <w:rsid w:val="00161BB2"/>
    <w:rsid w:val="00162C3E"/>
    <w:rsid w:val="0016334B"/>
    <w:rsid w:val="00164054"/>
    <w:rsid w:val="001644F0"/>
    <w:rsid w:val="0016495F"/>
    <w:rsid w:val="001652DD"/>
    <w:rsid w:val="001653DD"/>
    <w:rsid w:val="00165A56"/>
    <w:rsid w:val="00166DEA"/>
    <w:rsid w:val="0016712B"/>
    <w:rsid w:val="001701E5"/>
    <w:rsid w:val="001715A9"/>
    <w:rsid w:val="001734C3"/>
    <w:rsid w:val="00173502"/>
    <w:rsid w:val="001759AC"/>
    <w:rsid w:val="001815E6"/>
    <w:rsid w:val="0018388E"/>
    <w:rsid w:val="00183A00"/>
    <w:rsid w:val="00183EE2"/>
    <w:rsid w:val="001854A6"/>
    <w:rsid w:val="001862DD"/>
    <w:rsid w:val="00190C40"/>
    <w:rsid w:val="001913B3"/>
    <w:rsid w:val="0019379D"/>
    <w:rsid w:val="00194042"/>
    <w:rsid w:val="00194CC5"/>
    <w:rsid w:val="00194DD9"/>
    <w:rsid w:val="00196E2F"/>
    <w:rsid w:val="00197B16"/>
    <w:rsid w:val="001A0351"/>
    <w:rsid w:val="001A0B44"/>
    <w:rsid w:val="001A3907"/>
    <w:rsid w:val="001A4911"/>
    <w:rsid w:val="001A4DC7"/>
    <w:rsid w:val="001A506B"/>
    <w:rsid w:val="001A54C4"/>
    <w:rsid w:val="001A5D0F"/>
    <w:rsid w:val="001A75F8"/>
    <w:rsid w:val="001A7E97"/>
    <w:rsid w:val="001B0809"/>
    <w:rsid w:val="001B1987"/>
    <w:rsid w:val="001B1B1B"/>
    <w:rsid w:val="001B2105"/>
    <w:rsid w:val="001B2703"/>
    <w:rsid w:val="001B27C5"/>
    <w:rsid w:val="001B286B"/>
    <w:rsid w:val="001B540B"/>
    <w:rsid w:val="001B5D0D"/>
    <w:rsid w:val="001B5E2B"/>
    <w:rsid w:val="001B5FFD"/>
    <w:rsid w:val="001B6A4F"/>
    <w:rsid w:val="001B707E"/>
    <w:rsid w:val="001C014F"/>
    <w:rsid w:val="001C0E0F"/>
    <w:rsid w:val="001C1CE5"/>
    <w:rsid w:val="001C4E25"/>
    <w:rsid w:val="001C6304"/>
    <w:rsid w:val="001D0093"/>
    <w:rsid w:val="001D06B6"/>
    <w:rsid w:val="001D3236"/>
    <w:rsid w:val="001D45E2"/>
    <w:rsid w:val="001D53CE"/>
    <w:rsid w:val="001D5443"/>
    <w:rsid w:val="001D5A51"/>
    <w:rsid w:val="001D6B12"/>
    <w:rsid w:val="001D73D5"/>
    <w:rsid w:val="001E2E3C"/>
    <w:rsid w:val="001E379A"/>
    <w:rsid w:val="001E5A2D"/>
    <w:rsid w:val="001E641D"/>
    <w:rsid w:val="001F07E7"/>
    <w:rsid w:val="001F0DB7"/>
    <w:rsid w:val="001F1275"/>
    <w:rsid w:val="001F1F45"/>
    <w:rsid w:val="001F5E04"/>
    <w:rsid w:val="001F642A"/>
    <w:rsid w:val="001F6690"/>
    <w:rsid w:val="001F6794"/>
    <w:rsid w:val="002005A9"/>
    <w:rsid w:val="00200EB7"/>
    <w:rsid w:val="00202E2A"/>
    <w:rsid w:val="00203ABB"/>
    <w:rsid w:val="00204BAE"/>
    <w:rsid w:val="00205503"/>
    <w:rsid w:val="00205D00"/>
    <w:rsid w:val="002079BD"/>
    <w:rsid w:val="00211180"/>
    <w:rsid w:val="00211DCC"/>
    <w:rsid w:val="002128A6"/>
    <w:rsid w:val="002137D7"/>
    <w:rsid w:val="00213C8A"/>
    <w:rsid w:val="002157A2"/>
    <w:rsid w:val="00215FD3"/>
    <w:rsid w:val="00217819"/>
    <w:rsid w:val="00217A7B"/>
    <w:rsid w:val="00221CB1"/>
    <w:rsid w:val="002225BA"/>
    <w:rsid w:val="002228F2"/>
    <w:rsid w:val="002232C7"/>
    <w:rsid w:val="00223CB5"/>
    <w:rsid w:val="00224298"/>
    <w:rsid w:val="00224D16"/>
    <w:rsid w:val="002253E0"/>
    <w:rsid w:val="00225A5C"/>
    <w:rsid w:val="00230765"/>
    <w:rsid w:val="00230782"/>
    <w:rsid w:val="0023147E"/>
    <w:rsid w:val="0023233B"/>
    <w:rsid w:val="00232E26"/>
    <w:rsid w:val="002335A8"/>
    <w:rsid w:val="00233C61"/>
    <w:rsid w:val="0023401F"/>
    <w:rsid w:val="00234E26"/>
    <w:rsid w:val="002352A6"/>
    <w:rsid w:val="00235E1F"/>
    <w:rsid w:val="0023710A"/>
    <w:rsid w:val="00237FBC"/>
    <w:rsid w:val="00242E2F"/>
    <w:rsid w:val="00243879"/>
    <w:rsid w:val="0024549C"/>
    <w:rsid w:val="00246447"/>
    <w:rsid w:val="002467DD"/>
    <w:rsid w:val="00247009"/>
    <w:rsid w:val="00250991"/>
    <w:rsid w:val="00250D66"/>
    <w:rsid w:val="00250FF8"/>
    <w:rsid w:val="00251181"/>
    <w:rsid w:val="00251A3C"/>
    <w:rsid w:val="002522A5"/>
    <w:rsid w:val="00252C42"/>
    <w:rsid w:val="002557D9"/>
    <w:rsid w:val="002566EE"/>
    <w:rsid w:val="00256C4D"/>
    <w:rsid w:val="00256C54"/>
    <w:rsid w:val="00256D86"/>
    <w:rsid w:val="002571BC"/>
    <w:rsid w:val="0026092C"/>
    <w:rsid w:val="00260BBA"/>
    <w:rsid w:val="00260D70"/>
    <w:rsid w:val="00261A6D"/>
    <w:rsid w:val="00261DA1"/>
    <w:rsid w:val="0026439C"/>
    <w:rsid w:val="002656B0"/>
    <w:rsid w:val="00265ABF"/>
    <w:rsid w:val="00265E21"/>
    <w:rsid w:val="002660E2"/>
    <w:rsid w:val="002708FE"/>
    <w:rsid w:val="00271C4A"/>
    <w:rsid w:val="002723E4"/>
    <w:rsid w:val="00272AAF"/>
    <w:rsid w:val="00272CE1"/>
    <w:rsid w:val="00274739"/>
    <w:rsid w:val="00274EAF"/>
    <w:rsid w:val="002755A6"/>
    <w:rsid w:val="00276792"/>
    <w:rsid w:val="00276B59"/>
    <w:rsid w:val="00277B0C"/>
    <w:rsid w:val="002802EB"/>
    <w:rsid w:val="002816E7"/>
    <w:rsid w:val="00281E3F"/>
    <w:rsid w:val="002825AC"/>
    <w:rsid w:val="002836A0"/>
    <w:rsid w:val="0028408C"/>
    <w:rsid w:val="00284828"/>
    <w:rsid w:val="00285A58"/>
    <w:rsid w:val="0028619F"/>
    <w:rsid w:val="002865EA"/>
    <w:rsid w:val="00291CE6"/>
    <w:rsid w:val="002933BD"/>
    <w:rsid w:val="00294916"/>
    <w:rsid w:val="00295604"/>
    <w:rsid w:val="00295B5F"/>
    <w:rsid w:val="00295D1D"/>
    <w:rsid w:val="002963F2"/>
    <w:rsid w:val="002A1165"/>
    <w:rsid w:val="002A1E06"/>
    <w:rsid w:val="002A2104"/>
    <w:rsid w:val="002A2129"/>
    <w:rsid w:val="002A2C0B"/>
    <w:rsid w:val="002A2D19"/>
    <w:rsid w:val="002A371C"/>
    <w:rsid w:val="002A3BB1"/>
    <w:rsid w:val="002A4CD8"/>
    <w:rsid w:val="002A7B2B"/>
    <w:rsid w:val="002B0219"/>
    <w:rsid w:val="002B0A21"/>
    <w:rsid w:val="002B1E51"/>
    <w:rsid w:val="002B1EB7"/>
    <w:rsid w:val="002B3095"/>
    <w:rsid w:val="002B50A0"/>
    <w:rsid w:val="002B5650"/>
    <w:rsid w:val="002B7431"/>
    <w:rsid w:val="002B7943"/>
    <w:rsid w:val="002B79FC"/>
    <w:rsid w:val="002B7A77"/>
    <w:rsid w:val="002C28E6"/>
    <w:rsid w:val="002C4EF6"/>
    <w:rsid w:val="002C53EC"/>
    <w:rsid w:val="002C5CA1"/>
    <w:rsid w:val="002D202F"/>
    <w:rsid w:val="002D2AE0"/>
    <w:rsid w:val="002D2DBB"/>
    <w:rsid w:val="002D3F4F"/>
    <w:rsid w:val="002D410A"/>
    <w:rsid w:val="002D420E"/>
    <w:rsid w:val="002D4FF0"/>
    <w:rsid w:val="002D594D"/>
    <w:rsid w:val="002D5BCF"/>
    <w:rsid w:val="002E0911"/>
    <w:rsid w:val="002E0ED6"/>
    <w:rsid w:val="002E152F"/>
    <w:rsid w:val="002E1F07"/>
    <w:rsid w:val="002E3322"/>
    <w:rsid w:val="002E55FC"/>
    <w:rsid w:val="002E5966"/>
    <w:rsid w:val="002E7D3D"/>
    <w:rsid w:val="002E7FB0"/>
    <w:rsid w:val="002F1320"/>
    <w:rsid w:val="002F1FF5"/>
    <w:rsid w:val="002F2F6D"/>
    <w:rsid w:val="002F305D"/>
    <w:rsid w:val="002F337F"/>
    <w:rsid w:val="002F3A67"/>
    <w:rsid w:val="002F4334"/>
    <w:rsid w:val="002F5350"/>
    <w:rsid w:val="002F668B"/>
    <w:rsid w:val="002F6EBB"/>
    <w:rsid w:val="003004F9"/>
    <w:rsid w:val="00300E4D"/>
    <w:rsid w:val="00300F93"/>
    <w:rsid w:val="00305566"/>
    <w:rsid w:val="003062C0"/>
    <w:rsid w:val="0030634F"/>
    <w:rsid w:val="003071E8"/>
    <w:rsid w:val="00307B43"/>
    <w:rsid w:val="00307B8B"/>
    <w:rsid w:val="00310AF5"/>
    <w:rsid w:val="00313FEC"/>
    <w:rsid w:val="00314277"/>
    <w:rsid w:val="00315543"/>
    <w:rsid w:val="003169D9"/>
    <w:rsid w:val="0032045B"/>
    <w:rsid w:val="00320C8D"/>
    <w:rsid w:val="003219E5"/>
    <w:rsid w:val="0032296F"/>
    <w:rsid w:val="003229AC"/>
    <w:rsid w:val="00322B73"/>
    <w:rsid w:val="0032453A"/>
    <w:rsid w:val="003258BF"/>
    <w:rsid w:val="00325D6B"/>
    <w:rsid w:val="003267CD"/>
    <w:rsid w:val="00326923"/>
    <w:rsid w:val="00326A49"/>
    <w:rsid w:val="00326BE2"/>
    <w:rsid w:val="00326C9F"/>
    <w:rsid w:val="00331481"/>
    <w:rsid w:val="00332389"/>
    <w:rsid w:val="00334533"/>
    <w:rsid w:val="00334E51"/>
    <w:rsid w:val="003351CB"/>
    <w:rsid w:val="00336DD0"/>
    <w:rsid w:val="00337AF5"/>
    <w:rsid w:val="00337B29"/>
    <w:rsid w:val="00340AAA"/>
    <w:rsid w:val="00340C47"/>
    <w:rsid w:val="00340CAA"/>
    <w:rsid w:val="003411D9"/>
    <w:rsid w:val="0034136B"/>
    <w:rsid w:val="003414F4"/>
    <w:rsid w:val="0034271D"/>
    <w:rsid w:val="00342C9A"/>
    <w:rsid w:val="00343793"/>
    <w:rsid w:val="0034432B"/>
    <w:rsid w:val="00344AB9"/>
    <w:rsid w:val="003465B9"/>
    <w:rsid w:val="00350162"/>
    <w:rsid w:val="00350803"/>
    <w:rsid w:val="00350D1B"/>
    <w:rsid w:val="0035125B"/>
    <w:rsid w:val="00352074"/>
    <w:rsid w:val="00353823"/>
    <w:rsid w:val="00355593"/>
    <w:rsid w:val="00356064"/>
    <w:rsid w:val="00360161"/>
    <w:rsid w:val="00362D30"/>
    <w:rsid w:val="00363366"/>
    <w:rsid w:val="00363AC7"/>
    <w:rsid w:val="00365341"/>
    <w:rsid w:val="00365E59"/>
    <w:rsid w:val="003667F7"/>
    <w:rsid w:val="003710B8"/>
    <w:rsid w:val="003722B6"/>
    <w:rsid w:val="00373C60"/>
    <w:rsid w:val="0037439A"/>
    <w:rsid w:val="00375464"/>
    <w:rsid w:val="0037593A"/>
    <w:rsid w:val="00376287"/>
    <w:rsid w:val="00376FFA"/>
    <w:rsid w:val="0037737D"/>
    <w:rsid w:val="00380F58"/>
    <w:rsid w:val="00381B18"/>
    <w:rsid w:val="0038232F"/>
    <w:rsid w:val="00382381"/>
    <w:rsid w:val="003845F5"/>
    <w:rsid w:val="00384974"/>
    <w:rsid w:val="003853FB"/>
    <w:rsid w:val="0038541C"/>
    <w:rsid w:val="003866AE"/>
    <w:rsid w:val="00386A12"/>
    <w:rsid w:val="00386B2E"/>
    <w:rsid w:val="00386FCD"/>
    <w:rsid w:val="00387CBA"/>
    <w:rsid w:val="003903DF"/>
    <w:rsid w:val="00390A17"/>
    <w:rsid w:val="00391699"/>
    <w:rsid w:val="003916B2"/>
    <w:rsid w:val="00391C3A"/>
    <w:rsid w:val="00391E6A"/>
    <w:rsid w:val="0039401A"/>
    <w:rsid w:val="00394AC5"/>
    <w:rsid w:val="00394F3B"/>
    <w:rsid w:val="003965CB"/>
    <w:rsid w:val="003971E5"/>
    <w:rsid w:val="003A006C"/>
    <w:rsid w:val="003A0ECB"/>
    <w:rsid w:val="003A1B53"/>
    <w:rsid w:val="003A2574"/>
    <w:rsid w:val="003A285E"/>
    <w:rsid w:val="003A3A99"/>
    <w:rsid w:val="003A4521"/>
    <w:rsid w:val="003A542E"/>
    <w:rsid w:val="003A5ABA"/>
    <w:rsid w:val="003A61A6"/>
    <w:rsid w:val="003A67F6"/>
    <w:rsid w:val="003A6B2A"/>
    <w:rsid w:val="003B0C80"/>
    <w:rsid w:val="003B2465"/>
    <w:rsid w:val="003B253A"/>
    <w:rsid w:val="003B2B11"/>
    <w:rsid w:val="003B2C76"/>
    <w:rsid w:val="003B37C8"/>
    <w:rsid w:val="003B456E"/>
    <w:rsid w:val="003B49E3"/>
    <w:rsid w:val="003B4F04"/>
    <w:rsid w:val="003B5420"/>
    <w:rsid w:val="003B558F"/>
    <w:rsid w:val="003B678C"/>
    <w:rsid w:val="003C0B33"/>
    <w:rsid w:val="003C0CDB"/>
    <w:rsid w:val="003C203D"/>
    <w:rsid w:val="003C2F98"/>
    <w:rsid w:val="003C2FB3"/>
    <w:rsid w:val="003C3360"/>
    <w:rsid w:val="003C415D"/>
    <w:rsid w:val="003C4B4B"/>
    <w:rsid w:val="003C530C"/>
    <w:rsid w:val="003C5FEE"/>
    <w:rsid w:val="003D0827"/>
    <w:rsid w:val="003D17E5"/>
    <w:rsid w:val="003D1BB8"/>
    <w:rsid w:val="003D2EC1"/>
    <w:rsid w:val="003D3608"/>
    <w:rsid w:val="003D3AF1"/>
    <w:rsid w:val="003D48CE"/>
    <w:rsid w:val="003D517E"/>
    <w:rsid w:val="003D6966"/>
    <w:rsid w:val="003D6A44"/>
    <w:rsid w:val="003D7FE1"/>
    <w:rsid w:val="003E14B8"/>
    <w:rsid w:val="003E3320"/>
    <w:rsid w:val="003E3EFC"/>
    <w:rsid w:val="003E4B7E"/>
    <w:rsid w:val="003E4F6A"/>
    <w:rsid w:val="003E4F81"/>
    <w:rsid w:val="003F03D4"/>
    <w:rsid w:val="003F38D4"/>
    <w:rsid w:val="003F484E"/>
    <w:rsid w:val="003F5EF3"/>
    <w:rsid w:val="004002A9"/>
    <w:rsid w:val="00404015"/>
    <w:rsid w:val="00404D64"/>
    <w:rsid w:val="004057CE"/>
    <w:rsid w:val="00405B31"/>
    <w:rsid w:val="00405F1F"/>
    <w:rsid w:val="0040619F"/>
    <w:rsid w:val="00406D9A"/>
    <w:rsid w:val="00407450"/>
    <w:rsid w:val="004077D0"/>
    <w:rsid w:val="00410086"/>
    <w:rsid w:val="00411124"/>
    <w:rsid w:val="00411232"/>
    <w:rsid w:val="0041131D"/>
    <w:rsid w:val="004122AD"/>
    <w:rsid w:val="00412E2E"/>
    <w:rsid w:val="0041358B"/>
    <w:rsid w:val="00415814"/>
    <w:rsid w:val="00415A6A"/>
    <w:rsid w:val="0041632A"/>
    <w:rsid w:val="00417DDE"/>
    <w:rsid w:val="00417E79"/>
    <w:rsid w:val="00420658"/>
    <w:rsid w:val="0042103E"/>
    <w:rsid w:val="004213C1"/>
    <w:rsid w:val="00421A10"/>
    <w:rsid w:val="00422C1E"/>
    <w:rsid w:val="00423399"/>
    <w:rsid w:val="00423A93"/>
    <w:rsid w:val="00423EDF"/>
    <w:rsid w:val="00424709"/>
    <w:rsid w:val="004267A5"/>
    <w:rsid w:val="004269A1"/>
    <w:rsid w:val="00427402"/>
    <w:rsid w:val="00430148"/>
    <w:rsid w:val="00430F20"/>
    <w:rsid w:val="00431206"/>
    <w:rsid w:val="00432EC1"/>
    <w:rsid w:val="004338C6"/>
    <w:rsid w:val="00433A9E"/>
    <w:rsid w:val="00434C77"/>
    <w:rsid w:val="0043556F"/>
    <w:rsid w:val="00435762"/>
    <w:rsid w:val="0043593A"/>
    <w:rsid w:val="00436808"/>
    <w:rsid w:val="00436F27"/>
    <w:rsid w:val="00437853"/>
    <w:rsid w:val="004405B0"/>
    <w:rsid w:val="00442406"/>
    <w:rsid w:val="00442529"/>
    <w:rsid w:val="00443C88"/>
    <w:rsid w:val="0044464C"/>
    <w:rsid w:val="004475AA"/>
    <w:rsid w:val="00447AEF"/>
    <w:rsid w:val="004513F6"/>
    <w:rsid w:val="004516D0"/>
    <w:rsid w:val="004528F2"/>
    <w:rsid w:val="004557C5"/>
    <w:rsid w:val="00455FE5"/>
    <w:rsid w:val="00456BE6"/>
    <w:rsid w:val="00456FEF"/>
    <w:rsid w:val="004613AD"/>
    <w:rsid w:val="0046281C"/>
    <w:rsid w:val="00465733"/>
    <w:rsid w:val="00465C1D"/>
    <w:rsid w:val="00466597"/>
    <w:rsid w:val="00466D86"/>
    <w:rsid w:val="004678CF"/>
    <w:rsid w:val="00470581"/>
    <w:rsid w:val="004709EA"/>
    <w:rsid w:val="00470A29"/>
    <w:rsid w:val="00471086"/>
    <w:rsid w:val="0047125C"/>
    <w:rsid w:val="00471606"/>
    <w:rsid w:val="00471A11"/>
    <w:rsid w:val="00472F63"/>
    <w:rsid w:val="00473DF2"/>
    <w:rsid w:val="004757CC"/>
    <w:rsid w:val="00475863"/>
    <w:rsid w:val="00480889"/>
    <w:rsid w:val="00480DEE"/>
    <w:rsid w:val="0048153F"/>
    <w:rsid w:val="00481E04"/>
    <w:rsid w:val="00482202"/>
    <w:rsid w:val="00482449"/>
    <w:rsid w:val="00482567"/>
    <w:rsid w:val="00483F0B"/>
    <w:rsid w:val="00484938"/>
    <w:rsid w:val="00484C85"/>
    <w:rsid w:val="004858D2"/>
    <w:rsid w:val="00485DFE"/>
    <w:rsid w:val="004903AE"/>
    <w:rsid w:val="004905E7"/>
    <w:rsid w:val="00491C17"/>
    <w:rsid w:val="00491D65"/>
    <w:rsid w:val="0049432C"/>
    <w:rsid w:val="004953BF"/>
    <w:rsid w:val="0049541F"/>
    <w:rsid w:val="00496269"/>
    <w:rsid w:val="004969AC"/>
    <w:rsid w:val="00497625"/>
    <w:rsid w:val="004A058C"/>
    <w:rsid w:val="004A08EB"/>
    <w:rsid w:val="004A0C7A"/>
    <w:rsid w:val="004A2642"/>
    <w:rsid w:val="004A51BE"/>
    <w:rsid w:val="004A698D"/>
    <w:rsid w:val="004A7243"/>
    <w:rsid w:val="004A7748"/>
    <w:rsid w:val="004A7858"/>
    <w:rsid w:val="004B1C87"/>
    <w:rsid w:val="004B297B"/>
    <w:rsid w:val="004B5C0B"/>
    <w:rsid w:val="004B5F5D"/>
    <w:rsid w:val="004B69CE"/>
    <w:rsid w:val="004B6F88"/>
    <w:rsid w:val="004B78BE"/>
    <w:rsid w:val="004B7B16"/>
    <w:rsid w:val="004B7D52"/>
    <w:rsid w:val="004C0452"/>
    <w:rsid w:val="004C15BA"/>
    <w:rsid w:val="004C196A"/>
    <w:rsid w:val="004C271B"/>
    <w:rsid w:val="004C29BF"/>
    <w:rsid w:val="004C4723"/>
    <w:rsid w:val="004C4F40"/>
    <w:rsid w:val="004C6521"/>
    <w:rsid w:val="004C6BA1"/>
    <w:rsid w:val="004C6C88"/>
    <w:rsid w:val="004C719D"/>
    <w:rsid w:val="004D250C"/>
    <w:rsid w:val="004D2C0A"/>
    <w:rsid w:val="004D43E0"/>
    <w:rsid w:val="004D50BD"/>
    <w:rsid w:val="004D70B8"/>
    <w:rsid w:val="004D747A"/>
    <w:rsid w:val="004D77EA"/>
    <w:rsid w:val="004E02AB"/>
    <w:rsid w:val="004E370C"/>
    <w:rsid w:val="004E504E"/>
    <w:rsid w:val="004E5750"/>
    <w:rsid w:val="004E6FFE"/>
    <w:rsid w:val="004F0738"/>
    <w:rsid w:val="004F4847"/>
    <w:rsid w:val="004F4D0B"/>
    <w:rsid w:val="004F5149"/>
    <w:rsid w:val="004F74A6"/>
    <w:rsid w:val="004F78BB"/>
    <w:rsid w:val="004F7B30"/>
    <w:rsid w:val="00500C92"/>
    <w:rsid w:val="00502D23"/>
    <w:rsid w:val="00502D97"/>
    <w:rsid w:val="00503156"/>
    <w:rsid w:val="00503D92"/>
    <w:rsid w:val="00504BDD"/>
    <w:rsid w:val="00505535"/>
    <w:rsid w:val="00506F66"/>
    <w:rsid w:val="00507DAC"/>
    <w:rsid w:val="005105D2"/>
    <w:rsid w:val="00510835"/>
    <w:rsid w:val="0051101A"/>
    <w:rsid w:val="00511D0A"/>
    <w:rsid w:val="00513614"/>
    <w:rsid w:val="00513BC0"/>
    <w:rsid w:val="005142BE"/>
    <w:rsid w:val="0051467A"/>
    <w:rsid w:val="00514B24"/>
    <w:rsid w:val="00515614"/>
    <w:rsid w:val="00515E2D"/>
    <w:rsid w:val="00516DA7"/>
    <w:rsid w:val="0051787E"/>
    <w:rsid w:val="00520AB5"/>
    <w:rsid w:val="00521861"/>
    <w:rsid w:val="0052399F"/>
    <w:rsid w:val="00523EB7"/>
    <w:rsid w:val="005246B9"/>
    <w:rsid w:val="0052484B"/>
    <w:rsid w:val="00525966"/>
    <w:rsid w:val="005262C8"/>
    <w:rsid w:val="0052717A"/>
    <w:rsid w:val="00527743"/>
    <w:rsid w:val="005308EA"/>
    <w:rsid w:val="00530E86"/>
    <w:rsid w:val="00531FF4"/>
    <w:rsid w:val="0053244F"/>
    <w:rsid w:val="00533451"/>
    <w:rsid w:val="005339B9"/>
    <w:rsid w:val="005359D3"/>
    <w:rsid w:val="00535A2B"/>
    <w:rsid w:val="00536D87"/>
    <w:rsid w:val="00537710"/>
    <w:rsid w:val="00541C46"/>
    <w:rsid w:val="0054297B"/>
    <w:rsid w:val="00545157"/>
    <w:rsid w:val="005453F8"/>
    <w:rsid w:val="005509A8"/>
    <w:rsid w:val="0055139D"/>
    <w:rsid w:val="0055169C"/>
    <w:rsid w:val="0055194E"/>
    <w:rsid w:val="0055320C"/>
    <w:rsid w:val="0055385B"/>
    <w:rsid w:val="00554736"/>
    <w:rsid w:val="00554C5D"/>
    <w:rsid w:val="005563F6"/>
    <w:rsid w:val="0055698B"/>
    <w:rsid w:val="0055785E"/>
    <w:rsid w:val="005578EC"/>
    <w:rsid w:val="005579B4"/>
    <w:rsid w:val="0056145D"/>
    <w:rsid w:val="005637E9"/>
    <w:rsid w:val="00563FBE"/>
    <w:rsid w:val="00565489"/>
    <w:rsid w:val="00566106"/>
    <w:rsid w:val="00572776"/>
    <w:rsid w:val="00572CA1"/>
    <w:rsid w:val="0057329B"/>
    <w:rsid w:val="00575532"/>
    <w:rsid w:val="00575849"/>
    <w:rsid w:val="005763BB"/>
    <w:rsid w:val="00576B07"/>
    <w:rsid w:val="00577DE9"/>
    <w:rsid w:val="005808C7"/>
    <w:rsid w:val="0058130A"/>
    <w:rsid w:val="005841B2"/>
    <w:rsid w:val="005844BC"/>
    <w:rsid w:val="0058485B"/>
    <w:rsid w:val="00584D33"/>
    <w:rsid w:val="005865E6"/>
    <w:rsid w:val="00587D8D"/>
    <w:rsid w:val="00590528"/>
    <w:rsid w:val="005907D4"/>
    <w:rsid w:val="005924EB"/>
    <w:rsid w:val="00592F0D"/>
    <w:rsid w:val="00592FD6"/>
    <w:rsid w:val="005932AA"/>
    <w:rsid w:val="0059377C"/>
    <w:rsid w:val="00593A3E"/>
    <w:rsid w:val="005952E2"/>
    <w:rsid w:val="00596A77"/>
    <w:rsid w:val="00596E7D"/>
    <w:rsid w:val="005A0E9D"/>
    <w:rsid w:val="005A131F"/>
    <w:rsid w:val="005A246D"/>
    <w:rsid w:val="005A2499"/>
    <w:rsid w:val="005A28D5"/>
    <w:rsid w:val="005A2EC3"/>
    <w:rsid w:val="005A30BA"/>
    <w:rsid w:val="005A391E"/>
    <w:rsid w:val="005A4D06"/>
    <w:rsid w:val="005A723B"/>
    <w:rsid w:val="005A73AA"/>
    <w:rsid w:val="005B01D6"/>
    <w:rsid w:val="005B1C34"/>
    <w:rsid w:val="005B35C0"/>
    <w:rsid w:val="005B3B32"/>
    <w:rsid w:val="005B6614"/>
    <w:rsid w:val="005B6D96"/>
    <w:rsid w:val="005B748E"/>
    <w:rsid w:val="005C02EF"/>
    <w:rsid w:val="005C4463"/>
    <w:rsid w:val="005C557D"/>
    <w:rsid w:val="005C6B32"/>
    <w:rsid w:val="005C71E6"/>
    <w:rsid w:val="005D0960"/>
    <w:rsid w:val="005D14FB"/>
    <w:rsid w:val="005D1DB8"/>
    <w:rsid w:val="005D1EE9"/>
    <w:rsid w:val="005D3759"/>
    <w:rsid w:val="005D39D0"/>
    <w:rsid w:val="005D3C18"/>
    <w:rsid w:val="005D3ECC"/>
    <w:rsid w:val="005D4307"/>
    <w:rsid w:val="005D7222"/>
    <w:rsid w:val="005D747F"/>
    <w:rsid w:val="005D769E"/>
    <w:rsid w:val="005E00C0"/>
    <w:rsid w:val="005E0C1C"/>
    <w:rsid w:val="005E2BA9"/>
    <w:rsid w:val="005E4259"/>
    <w:rsid w:val="005E4BEC"/>
    <w:rsid w:val="005E5ECB"/>
    <w:rsid w:val="005E759E"/>
    <w:rsid w:val="005F0889"/>
    <w:rsid w:val="005F09E9"/>
    <w:rsid w:val="005F0A75"/>
    <w:rsid w:val="005F0EED"/>
    <w:rsid w:val="005F0F1F"/>
    <w:rsid w:val="005F2A83"/>
    <w:rsid w:val="005F2BA2"/>
    <w:rsid w:val="005F4B42"/>
    <w:rsid w:val="005F5B9A"/>
    <w:rsid w:val="005F60A3"/>
    <w:rsid w:val="005F6ED9"/>
    <w:rsid w:val="005F7A0F"/>
    <w:rsid w:val="005F7AD8"/>
    <w:rsid w:val="006032DF"/>
    <w:rsid w:val="006051A8"/>
    <w:rsid w:val="006051C9"/>
    <w:rsid w:val="00605F8A"/>
    <w:rsid w:val="006114D0"/>
    <w:rsid w:val="00613DEC"/>
    <w:rsid w:val="0061550F"/>
    <w:rsid w:val="00616C58"/>
    <w:rsid w:val="00617802"/>
    <w:rsid w:val="00620424"/>
    <w:rsid w:val="00620F37"/>
    <w:rsid w:val="00621BC7"/>
    <w:rsid w:val="00622E39"/>
    <w:rsid w:val="00623EB1"/>
    <w:rsid w:val="00624BF0"/>
    <w:rsid w:val="00625166"/>
    <w:rsid w:val="0063086A"/>
    <w:rsid w:val="006314EA"/>
    <w:rsid w:val="00631647"/>
    <w:rsid w:val="006320B9"/>
    <w:rsid w:val="00632E42"/>
    <w:rsid w:val="00634348"/>
    <w:rsid w:val="006352EA"/>
    <w:rsid w:val="00636412"/>
    <w:rsid w:val="006365E9"/>
    <w:rsid w:val="00636F1E"/>
    <w:rsid w:val="00637290"/>
    <w:rsid w:val="00637689"/>
    <w:rsid w:val="00637E2E"/>
    <w:rsid w:val="00640CF1"/>
    <w:rsid w:val="00640E35"/>
    <w:rsid w:val="006419B1"/>
    <w:rsid w:val="00641C04"/>
    <w:rsid w:val="00643255"/>
    <w:rsid w:val="00643638"/>
    <w:rsid w:val="00643AD5"/>
    <w:rsid w:val="006447F6"/>
    <w:rsid w:val="006478BB"/>
    <w:rsid w:val="006514FE"/>
    <w:rsid w:val="00652031"/>
    <w:rsid w:val="00653511"/>
    <w:rsid w:val="00654FA2"/>
    <w:rsid w:val="00655850"/>
    <w:rsid w:val="0065615E"/>
    <w:rsid w:val="00656881"/>
    <w:rsid w:val="00660998"/>
    <w:rsid w:val="00660C91"/>
    <w:rsid w:val="00661E36"/>
    <w:rsid w:val="00663277"/>
    <w:rsid w:val="00663278"/>
    <w:rsid w:val="00666DA5"/>
    <w:rsid w:val="006678F2"/>
    <w:rsid w:val="00670506"/>
    <w:rsid w:val="0067053C"/>
    <w:rsid w:val="00671E93"/>
    <w:rsid w:val="006732A9"/>
    <w:rsid w:val="00673621"/>
    <w:rsid w:val="00673684"/>
    <w:rsid w:val="00673CD6"/>
    <w:rsid w:val="006745B4"/>
    <w:rsid w:val="00674C64"/>
    <w:rsid w:val="00675328"/>
    <w:rsid w:val="0067634F"/>
    <w:rsid w:val="0068054F"/>
    <w:rsid w:val="0068215D"/>
    <w:rsid w:val="00683827"/>
    <w:rsid w:val="006844B6"/>
    <w:rsid w:val="00686194"/>
    <w:rsid w:val="006873B6"/>
    <w:rsid w:val="00687C84"/>
    <w:rsid w:val="00690BCC"/>
    <w:rsid w:val="0069147C"/>
    <w:rsid w:val="006918E7"/>
    <w:rsid w:val="00692517"/>
    <w:rsid w:val="006936A9"/>
    <w:rsid w:val="00694ACB"/>
    <w:rsid w:val="00695770"/>
    <w:rsid w:val="00696479"/>
    <w:rsid w:val="0069709F"/>
    <w:rsid w:val="0069725C"/>
    <w:rsid w:val="00697890"/>
    <w:rsid w:val="006A0F03"/>
    <w:rsid w:val="006A16C0"/>
    <w:rsid w:val="006A1B5E"/>
    <w:rsid w:val="006A21F9"/>
    <w:rsid w:val="006A5F0C"/>
    <w:rsid w:val="006A607A"/>
    <w:rsid w:val="006B1BC3"/>
    <w:rsid w:val="006B381B"/>
    <w:rsid w:val="006B3996"/>
    <w:rsid w:val="006B4723"/>
    <w:rsid w:val="006B61B1"/>
    <w:rsid w:val="006B67CB"/>
    <w:rsid w:val="006B7462"/>
    <w:rsid w:val="006C0A2B"/>
    <w:rsid w:val="006C2815"/>
    <w:rsid w:val="006C43AE"/>
    <w:rsid w:val="006C4429"/>
    <w:rsid w:val="006C45C5"/>
    <w:rsid w:val="006C5438"/>
    <w:rsid w:val="006C6C52"/>
    <w:rsid w:val="006C7734"/>
    <w:rsid w:val="006C7C7B"/>
    <w:rsid w:val="006D03ED"/>
    <w:rsid w:val="006D0DBC"/>
    <w:rsid w:val="006D13B7"/>
    <w:rsid w:val="006D4226"/>
    <w:rsid w:val="006D46B6"/>
    <w:rsid w:val="006D5E03"/>
    <w:rsid w:val="006D64F6"/>
    <w:rsid w:val="006D7D82"/>
    <w:rsid w:val="006E0F94"/>
    <w:rsid w:val="006E1072"/>
    <w:rsid w:val="006E11CE"/>
    <w:rsid w:val="006E6030"/>
    <w:rsid w:val="006E6159"/>
    <w:rsid w:val="006E74C8"/>
    <w:rsid w:val="006F052F"/>
    <w:rsid w:val="006F0BE5"/>
    <w:rsid w:val="006F232E"/>
    <w:rsid w:val="006F5F13"/>
    <w:rsid w:val="006F6375"/>
    <w:rsid w:val="00700B78"/>
    <w:rsid w:val="0070176F"/>
    <w:rsid w:val="00701818"/>
    <w:rsid w:val="00701F64"/>
    <w:rsid w:val="00702C78"/>
    <w:rsid w:val="00703667"/>
    <w:rsid w:val="00704F21"/>
    <w:rsid w:val="007055AC"/>
    <w:rsid w:val="00705E19"/>
    <w:rsid w:val="007061A1"/>
    <w:rsid w:val="00706D42"/>
    <w:rsid w:val="00707B36"/>
    <w:rsid w:val="00710403"/>
    <w:rsid w:val="0071158C"/>
    <w:rsid w:val="00711D2F"/>
    <w:rsid w:val="007126D1"/>
    <w:rsid w:val="00712BE8"/>
    <w:rsid w:val="00712D5E"/>
    <w:rsid w:val="00717388"/>
    <w:rsid w:val="00717955"/>
    <w:rsid w:val="00717D5C"/>
    <w:rsid w:val="00717E5C"/>
    <w:rsid w:val="00721549"/>
    <w:rsid w:val="00721941"/>
    <w:rsid w:val="00724AA1"/>
    <w:rsid w:val="00725668"/>
    <w:rsid w:val="00725E04"/>
    <w:rsid w:val="00732036"/>
    <w:rsid w:val="007320FE"/>
    <w:rsid w:val="0073259B"/>
    <w:rsid w:val="0073318E"/>
    <w:rsid w:val="00733862"/>
    <w:rsid w:val="0073565D"/>
    <w:rsid w:val="00736228"/>
    <w:rsid w:val="0073713D"/>
    <w:rsid w:val="00737B4D"/>
    <w:rsid w:val="007400E2"/>
    <w:rsid w:val="007406B1"/>
    <w:rsid w:val="00741CB5"/>
    <w:rsid w:val="00744F47"/>
    <w:rsid w:val="007450F9"/>
    <w:rsid w:val="007451D1"/>
    <w:rsid w:val="00745310"/>
    <w:rsid w:val="00747C47"/>
    <w:rsid w:val="00750948"/>
    <w:rsid w:val="007517BF"/>
    <w:rsid w:val="0075355E"/>
    <w:rsid w:val="00757988"/>
    <w:rsid w:val="00757B70"/>
    <w:rsid w:val="007611FB"/>
    <w:rsid w:val="00762124"/>
    <w:rsid w:val="00763769"/>
    <w:rsid w:val="007638E7"/>
    <w:rsid w:val="00763E92"/>
    <w:rsid w:val="00765784"/>
    <w:rsid w:val="00765AA4"/>
    <w:rsid w:val="00765F34"/>
    <w:rsid w:val="00766FDD"/>
    <w:rsid w:val="0076794D"/>
    <w:rsid w:val="00770000"/>
    <w:rsid w:val="007703C8"/>
    <w:rsid w:val="0077094D"/>
    <w:rsid w:val="00770DA4"/>
    <w:rsid w:val="007711DF"/>
    <w:rsid w:val="00772415"/>
    <w:rsid w:val="007734A5"/>
    <w:rsid w:val="007734B4"/>
    <w:rsid w:val="00773608"/>
    <w:rsid w:val="00773EC2"/>
    <w:rsid w:val="007749AC"/>
    <w:rsid w:val="00774EAC"/>
    <w:rsid w:val="00775D27"/>
    <w:rsid w:val="00775D6B"/>
    <w:rsid w:val="00776658"/>
    <w:rsid w:val="007771F3"/>
    <w:rsid w:val="007820AC"/>
    <w:rsid w:val="00782321"/>
    <w:rsid w:val="00783F06"/>
    <w:rsid w:val="0078420A"/>
    <w:rsid w:val="0078449D"/>
    <w:rsid w:val="007853BB"/>
    <w:rsid w:val="00785C53"/>
    <w:rsid w:val="00786A60"/>
    <w:rsid w:val="00787C84"/>
    <w:rsid w:val="0079033E"/>
    <w:rsid w:val="0079211B"/>
    <w:rsid w:val="00793876"/>
    <w:rsid w:val="00793AA7"/>
    <w:rsid w:val="0079408F"/>
    <w:rsid w:val="00794C81"/>
    <w:rsid w:val="00794F18"/>
    <w:rsid w:val="007963DD"/>
    <w:rsid w:val="00796613"/>
    <w:rsid w:val="0079683B"/>
    <w:rsid w:val="007A059D"/>
    <w:rsid w:val="007A1BFD"/>
    <w:rsid w:val="007A40AF"/>
    <w:rsid w:val="007A4334"/>
    <w:rsid w:val="007A4D89"/>
    <w:rsid w:val="007A68E8"/>
    <w:rsid w:val="007A70CD"/>
    <w:rsid w:val="007A76E8"/>
    <w:rsid w:val="007B046A"/>
    <w:rsid w:val="007B1609"/>
    <w:rsid w:val="007B6EF7"/>
    <w:rsid w:val="007B73F5"/>
    <w:rsid w:val="007C0CA2"/>
    <w:rsid w:val="007C101E"/>
    <w:rsid w:val="007C1311"/>
    <w:rsid w:val="007C170A"/>
    <w:rsid w:val="007C1ADD"/>
    <w:rsid w:val="007C1DBE"/>
    <w:rsid w:val="007C2E15"/>
    <w:rsid w:val="007C478F"/>
    <w:rsid w:val="007C4ECC"/>
    <w:rsid w:val="007C58F8"/>
    <w:rsid w:val="007C612F"/>
    <w:rsid w:val="007C62B3"/>
    <w:rsid w:val="007C6943"/>
    <w:rsid w:val="007D109A"/>
    <w:rsid w:val="007D1D70"/>
    <w:rsid w:val="007D210E"/>
    <w:rsid w:val="007D260E"/>
    <w:rsid w:val="007D2BE6"/>
    <w:rsid w:val="007D5379"/>
    <w:rsid w:val="007D5821"/>
    <w:rsid w:val="007D6C1A"/>
    <w:rsid w:val="007E0B33"/>
    <w:rsid w:val="007E2420"/>
    <w:rsid w:val="007E3AE2"/>
    <w:rsid w:val="007E4217"/>
    <w:rsid w:val="007E4856"/>
    <w:rsid w:val="007E5129"/>
    <w:rsid w:val="007E6D7A"/>
    <w:rsid w:val="007F24BB"/>
    <w:rsid w:val="007F2587"/>
    <w:rsid w:val="007F2A00"/>
    <w:rsid w:val="007F2E8F"/>
    <w:rsid w:val="007F502F"/>
    <w:rsid w:val="007F6011"/>
    <w:rsid w:val="007F6F73"/>
    <w:rsid w:val="007F6FEE"/>
    <w:rsid w:val="007F7980"/>
    <w:rsid w:val="007F7BAB"/>
    <w:rsid w:val="0080061E"/>
    <w:rsid w:val="00800C10"/>
    <w:rsid w:val="00801569"/>
    <w:rsid w:val="008020CB"/>
    <w:rsid w:val="00802508"/>
    <w:rsid w:val="00802FDA"/>
    <w:rsid w:val="00804632"/>
    <w:rsid w:val="00804B9A"/>
    <w:rsid w:val="00804D22"/>
    <w:rsid w:val="0080594B"/>
    <w:rsid w:val="00807631"/>
    <w:rsid w:val="0081339B"/>
    <w:rsid w:val="008147D7"/>
    <w:rsid w:val="0082029B"/>
    <w:rsid w:val="00820906"/>
    <w:rsid w:val="00821661"/>
    <w:rsid w:val="008221DD"/>
    <w:rsid w:val="00823EDD"/>
    <w:rsid w:val="0082457F"/>
    <w:rsid w:val="0082644E"/>
    <w:rsid w:val="008264A5"/>
    <w:rsid w:val="00826916"/>
    <w:rsid w:val="0082766E"/>
    <w:rsid w:val="00831D77"/>
    <w:rsid w:val="00834CF3"/>
    <w:rsid w:val="00835215"/>
    <w:rsid w:val="00835462"/>
    <w:rsid w:val="00837DBA"/>
    <w:rsid w:val="00840FC4"/>
    <w:rsid w:val="00841085"/>
    <w:rsid w:val="0084148D"/>
    <w:rsid w:val="00841928"/>
    <w:rsid w:val="00842021"/>
    <w:rsid w:val="0084452C"/>
    <w:rsid w:val="00845CEC"/>
    <w:rsid w:val="008478B7"/>
    <w:rsid w:val="00847AB0"/>
    <w:rsid w:val="0085401D"/>
    <w:rsid w:val="0085448E"/>
    <w:rsid w:val="00856031"/>
    <w:rsid w:val="00856A1D"/>
    <w:rsid w:val="00856A2B"/>
    <w:rsid w:val="00857009"/>
    <w:rsid w:val="0085757D"/>
    <w:rsid w:val="00860056"/>
    <w:rsid w:val="0086165B"/>
    <w:rsid w:val="00861936"/>
    <w:rsid w:val="008631E9"/>
    <w:rsid w:val="00863375"/>
    <w:rsid w:val="00863CBF"/>
    <w:rsid w:val="00863D08"/>
    <w:rsid w:val="00864E5C"/>
    <w:rsid w:val="00870458"/>
    <w:rsid w:val="00870A2E"/>
    <w:rsid w:val="00870DA1"/>
    <w:rsid w:val="00874424"/>
    <w:rsid w:val="00874658"/>
    <w:rsid w:val="00874B86"/>
    <w:rsid w:val="00876F7D"/>
    <w:rsid w:val="0087766B"/>
    <w:rsid w:val="008777FC"/>
    <w:rsid w:val="008805F6"/>
    <w:rsid w:val="00880788"/>
    <w:rsid w:val="00880F10"/>
    <w:rsid w:val="008810A4"/>
    <w:rsid w:val="00881960"/>
    <w:rsid w:val="00881E49"/>
    <w:rsid w:val="008832A4"/>
    <w:rsid w:val="0088428E"/>
    <w:rsid w:val="00885C4F"/>
    <w:rsid w:val="00885F3E"/>
    <w:rsid w:val="00886711"/>
    <w:rsid w:val="00890D88"/>
    <w:rsid w:val="00890F21"/>
    <w:rsid w:val="0089232C"/>
    <w:rsid w:val="00892FB6"/>
    <w:rsid w:val="00893681"/>
    <w:rsid w:val="0089636E"/>
    <w:rsid w:val="00897166"/>
    <w:rsid w:val="008A07A9"/>
    <w:rsid w:val="008A0C86"/>
    <w:rsid w:val="008A0DE3"/>
    <w:rsid w:val="008A0EB8"/>
    <w:rsid w:val="008A101F"/>
    <w:rsid w:val="008A3161"/>
    <w:rsid w:val="008A344B"/>
    <w:rsid w:val="008A4ABF"/>
    <w:rsid w:val="008A4F78"/>
    <w:rsid w:val="008A650F"/>
    <w:rsid w:val="008A71BA"/>
    <w:rsid w:val="008B0B49"/>
    <w:rsid w:val="008B0EA6"/>
    <w:rsid w:val="008B2A52"/>
    <w:rsid w:val="008B2F2C"/>
    <w:rsid w:val="008B2FB9"/>
    <w:rsid w:val="008B47D0"/>
    <w:rsid w:val="008B5FF1"/>
    <w:rsid w:val="008B637C"/>
    <w:rsid w:val="008B686D"/>
    <w:rsid w:val="008B7831"/>
    <w:rsid w:val="008C2BE2"/>
    <w:rsid w:val="008C2C58"/>
    <w:rsid w:val="008C4E45"/>
    <w:rsid w:val="008D00BA"/>
    <w:rsid w:val="008D0FDF"/>
    <w:rsid w:val="008D1167"/>
    <w:rsid w:val="008D1560"/>
    <w:rsid w:val="008D15C8"/>
    <w:rsid w:val="008D3491"/>
    <w:rsid w:val="008D3496"/>
    <w:rsid w:val="008D389D"/>
    <w:rsid w:val="008D3A42"/>
    <w:rsid w:val="008D49A8"/>
    <w:rsid w:val="008D6874"/>
    <w:rsid w:val="008D6C9F"/>
    <w:rsid w:val="008D72B2"/>
    <w:rsid w:val="008D72ED"/>
    <w:rsid w:val="008E3BAC"/>
    <w:rsid w:val="008E4368"/>
    <w:rsid w:val="008E5512"/>
    <w:rsid w:val="008E55E5"/>
    <w:rsid w:val="008E5C59"/>
    <w:rsid w:val="008E5EA0"/>
    <w:rsid w:val="008E6CAC"/>
    <w:rsid w:val="008E72DC"/>
    <w:rsid w:val="008F0230"/>
    <w:rsid w:val="008F031E"/>
    <w:rsid w:val="008F2C9F"/>
    <w:rsid w:val="008F380B"/>
    <w:rsid w:val="008F625A"/>
    <w:rsid w:val="008F72DD"/>
    <w:rsid w:val="00901189"/>
    <w:rsid w:val="00902F83"/>
    <w:rsid w:val="0090339E"/>
    <w:rsid w:val="00903424"/>
    <w:rsid w:val="00904139"/>
    <w:rsid w:val="009051CF"/>
    <w:rsid w:val="00905B24"/>
    <w:rsid w:val="00905F1D"/>
    <w:rsid w:val="00907148"/>
    <w:rsid w:val="00907607"/>
    <w:rsid w:val="00910D2C"/>
    <w:rsid w:val="00911C10"/>
    <w:rsid w:val="0091204D"/>
    <w:rsid w:val="00915190"/>
    <w:rsid w:val="00915B51"/>
    <w:rsid w:val="0091617D"/>
    <w:rsid w:val="00916400"/>
    <w:rsid w:val="0091737B"/>
    <w:rsid w:val="00917B43"/>
    <w:rsid w:val="00920952"/>
    <w:rsid w:val="009233A8"/>
    <w:rsid w:val="00926798"/>
    <w:rsid w:val="009300BB"/>
    <w:rsid w:val="009313DC"/>
    <w:rsid w:val="009316FB"/>
    <w:rsid w:val="00932485"/>
    <w:rsid w:val="00932C32"/>
    <w:rsid w:val="00932DAF"/>
    <w:rsid w:val="009359B5"/>
    <w:rsid w:val="0093789A"/>
    <w:rsid w:val="00941C57"/>
    <w:rsid w:val="00942858"/>
    <w:rsid w:val="00942FA3"/>
    <w:rsid w:val="00943B6D"/>
    <w:rsid w:val="00943CBD"/>
    <w:rsid w:val="0094418C"/>
    <w:rsid w:val="00944B95"/>
    <w:rsid w:val="00944C93"/>
    <w:rsid w:val="00944CF5"/>
    <w:rsid w:val="009475DC"/>
    <w:rsid w:val="00950312"/>
    <w:rsid w:val="00951B11"/>
    <w:rsid w:val="00952A44"/>
    <w:rsid w:val="00952F0C"/>
    <w:rsid w:val="00954D63"/>
    <w:rsid w:val="00954EF5"/>
    <w:rsid w:val="0095519C"/>
    <w:rsid w:val="00956B04"/>
    <w:rsid w:val="00957194"/>
    <w:rsid w:val="00961CF4"/>
    <w:rsid w:val="00963919"/>
    <w:rsid w:val="00965257"/>
    <w:rsid w:val="009672CF"/>
    <w:rsid w:val="009677A4"/>
    <w:rsid w:val="00967BCF"/>
    <w:rsid w:val="00967D90"/>
    <w:rsid w:val="00970AE4"/>
    <w:rsid w:val="00970CB5"/>
    <w:rsid w:val="00970DD8"/>
    <w:rsid w:val="00976AF0"/>
    <w:rsid w:val="00977026"/>
    <w:rsid w:val="00977090"/>
    <w:rsid w:val="009772D3"/>
    <w:rsid w:val="00980186"/>
    <w:rsid w:val="009817FF"/>
    <w:rsid w:val="00981C5F"/>
    <w:rsid w:val="009821FA"/>
    <w:rsid w:val="009844E5"/>
    <w:rsid w:val="00985448"/>
    <w:rsid w:val="009858AC"/>
    <w:rsid w:val="009901BB"/>
    <w:rsid w:val="00990581"/>
    <w:rsid w:val="00991804"/>
    <w:rsid w:val="0099260A"/>
    <w:rsid w:val="00993164"/>
    <w:rsid w:val="00993D21"/>
    <w:rsid w:val="009946EE"/>
    <w:rsid w:val="00994706"/>
    <w:rsid w:val="00994EC3"/>
    <w:rsid w:val="009950C9"/>
    <w:rsid w:val="00995D74"/>
    <w:rsid w:val="00996C1B"/>
    <w:rsid w:val="009A03C0"/>
    <w:rsid w:val="009A045F"/>
    <w:rsid w:val="009A20BB"/>
    <w:rsid w:val="009A2DB0"/>
    <w:rsid w:val="009A4E69"/>
    <w:rsid w:val="009A5A2E"/>
    <w:rsid w:val="009A6F2C"/>
    <w:rsid w:val="009A71C0"/>
    <w:rsid w:val="009B03E6"/>
    <w:rsid w:val="009B2431"/>
    <w:rsid w:val="009B2B16"/>
    <w:rsid w:val="009B2D3A"/>
    <w:rsid w:val="009B31C1"/>
    <w:rsid w:val="009B47ED"/>
    <w:rsid w:val="009B4AB2"/>
    <w:rsid w:val="009B4DD6"/>
    <w:rsid w:val="009B532E"/>
    <w:rsid w:val="009B590E"/>
    <w:rsid w:val="009B62A8"/>
    <w:rsid w:val="009C04AF"/>
    <w:rsid w:val="009C1516"/>
    <w:rsid w:val="009C1C7E"/>
    <w:rsid w:val="009C4F0D"/>
    <w:rsid w:val="009C7253"/>
    <w:rsid w:val="009C776C"/>
    <w:rsid w:val="009D0482"/>
    <w:rsid w:val="009D08E7"/>
    <w:rsid w:val="009D1226"/>
    <w:rsid w:val="009D39E2"/>
    <w:rsid w:val="009D42CE"/>
    <w:rsid w:val="009D4D61"/>
    <w:rsid w:val="009D4FD2"/>
    <w:rsid w:val="009D5718"/>
    <w:rsid w:val="009D6EC8"/>
    <w:rsid w:val="009E1B1C"/>
    <w:rsid w:val="009E1C9F"/>
    <w:rsid w:val="009E20E9"/>
    <w:rsid w:val="009E2D00"/>
    <w:rsid w:val="009E39AB"/>
    <w:rsid w:val="009E532B"/>
    <w:rsid w:val="009E6CFD"/>
    <w:rsid w:val="009E78A8"/>
    <w:rsid w:val="009E7E76"/>
    <w:rsid w:val="009F1C1B"/>
    <w:rsid w:val="009F225C"/>
    <w:rsid w:val="009F32CA"/>
    <w:rsid w:val="009F476E"/>
    <w:rsid w:val="009F7B29"/>
    <w:rsid w:val="00A022AC"/>
    <w:rsid w:val="00A0239C"/>
    <w:rsid w:val="00A0242D"/>
    <w:rsid w:val="00A028CD"/>
    <w:rsid w:val="00A02D32"/>
    <w:rsid w:val="00A03245"/>
    <w:rsid w:val="00A03A0D"/>
    <w:rsid w:val="00A03B9B"/>
    <w:rsid w:val="00A03F2D"/>
    <w:rsid w:val="00A04CD7"/>
    <w:rsid w:val="00A04DE3"/>
    <w:rsid w:val="00A05CA0"/>
    <w:rsid w:val="00A127DA"/>
    <w:rsid w:val="00A12958"/>
    <w:rsid w:val="00A12A91"/>
    <w:rsid w:val="00A12CCA"/>
    <w:rsid w:val="00A13B3D"/>
    <w:rsid w:val="00A13C5A"/>
    <w:rsid w:val="00A2119F"/>
    <w:rsid w:val="00A214AF"/>
    <w:rsid w:val="00A2199D"/>
    <w:rsid w:val="00A21D77"/>
    <w:rsid w:val="00A2294D"/>
    <w:rsid w:val="00A22C3C"/>
    <w:rsid w:val="00A23026"/>
    <w:rsid w:val="00A23E53"/>
    <w:rsid w:val="00A249D9"/>
    <w:rsid w:val="00A2742C"/>
    <w:rsid w:val="00A27F7A"/>
    <w:rsid w:val="00A30CD7"/>
    <w:rsid w:val="00A324A6"/>
    <w:rsid w:val="00A32DBA"/>
    <w:rsid w:val="00A33DA5"/>
    <w:rsid w:val="00A34A96"/>
    <w:rsid w:val="00A35ADC"/>
    <w:rsid w:val="00A36676"/>
    <w:rsid w:val="00A37A56"/>
    <w:rsid w:val="00A41674"/>
    <w:rsid w:val="00A421E4"/>
    <w:rsid w:val="00A4343D"/>
    <w:rsid w:val="00A46FCB"/>
    <w:rsid w:val="00A477C9"/>
    <w:rsid w:val="00A47EDE"/>
    <w:rsid w:val="00A51257"/>
    <w:rsid w:val="00A539E7"/>
    <w:rsid w:val="00A53BCB"/>
    <w:rsid w:val="00A5642C"/>
    <w:rsid w:val="00A56793"/>
    <w:rsid w:val="00A56C31"/>
    <w:rsid w:val="00A5782D"/>
    <w:rsid w:val="00A604C8"/>
    <w:rsid w:val="00A60994"/>
    <w:rsid w:val="00A61CBD"/>
    <w:rsid w:val="00A637D0"/>
    <w:rsid w:val="00A63914"/>
    <w:rsid w:val="00A63BA3"/>
    <w:rsid w:val="00A6462B"/>
    <w:rsid w:val="00A64FBB"/>
    <w:rsid w:val="00A6567F"/>
    <w:rsid w:val="00A65B51"/>
    <w:rsid w:val="00A667E6"/>
    <w:rsid w:val="00A66A80"/>
    <w:rsid w:val="00A67911"/>
    <w:rsid w:val="00A708DE"/>
    <w:rsid w:val="00A71149"/>
    <w:rsid w:val="00A760E5"/>
    <w:rsid w:val="00A770FC"/>
    <w:rsid w:val="00A7769E"/>
    <w:rsid w:val="00A81375"/>
    <w:rsid w:val="00A815E1"/>
    <w:rsid w:val="00A82242"/>
    <w:rsid w:val="00A836BB"/>
    <w:rsid w:val="00A8445B"/>
    <w:rsid w:val="00A8592A"/>
    <w:rsid w:val="00A86F4D"/>
    <w:rsid w:val="00A8798A"/>
    <w:rsid w:val="00A9117E"/>
    <w:rsid w:val="00A913F6"/>
    <w:rsid w:val="00A92753"/>
    <w:rsid w:val="00A95D17"/>
    <w:rsid w:val="00A962B8"/>
    <w:rsid w:val="00AA0288"/>
    <w:rsid w:val="00AA07F4"/>
    <w:rsid w:val="00AA0A75"/>
    <w:rsid w:val="00AA1C27"/>
    <w:rsid w:val="00AA2D38"/>
    <w:rsid w:val="00AA3669"/>
    <w:rsid w:val="00AA4860"/>
    <w:rsid w:val="00AA489E"/>
    <w:rsid w:val="00AA59D7"/>
    <w:rsid w:val="00AA5A28"/>
    <w:rsid w:val="00AA63A0"/>
    <w:rsid w:val="00AA6898"/>
    <w:rsid w:val="00AA6998"/>
    <w:rsid w:val="00AB0160"/>
    <w:rsid w:val="00AB34C6"/>
    <w:rsid w:val="00AB42CD"/>
    <w:rsid w:val="00AB449E"/>
    <w:rsid w:val="00AB491C"/>
    <w:rsid w:val="00AB6D9E"/>
    <w:rsid w:val="00AC0172"/>
    <w:rsid w:val="00AC0390"/>
    <w:rsid w:val="00AC0929"/>
    <w:rsid w:val="00AC0C1F"/>
    <w:rsid w:val="00AC1674"/>
    <w:rsid w:val="00AC28B6"/>
    <w:rsid w:val="00AC3122"/>
    <w:rsid w:val="00AC539F"/>
    <w:rsid w:val="00AC6AD2"/>
    <w:rsid w:val="00AD11E5"/>
    <w:rsid w:val="00AD12E3"/>
    <w:rsid w:val="00AD1CF2"/>
    <w:rsid w:val="00AD1F53"/>
    <w:rsid w:val="00AD2418"/>
    <w:rsid w:val="00AD28DF"/>
    <w:rsid w:val="00AD2CB9"/>
    <w:rsid w:val="00AD544F"/>
    <w:rsid w:val="00AD60D4"/>
    <w:rsid w:val="00AD68F1"/>
    <w:rsid w:val="00AD7783"/>
    <w:rsid w:val="00AE0A50"/>
    <w:rsid w:val="00AE0A6F"/>
    <w:rsid w:val="00AE1B7B"/>
    <w:rsid w:val="00AE2545"/>
    <w:rsid w:val="00AE2EBC"/>
    <w:rsid w:val="00AE313D"/>
    <w:rsid w:val="00AE416F"/>
    <w:rsid w:val="00AE4A68"/>
    <w:rsid w:val="00AE6463"/>
    <w:rsid w:val="00AE7042"/>
    <w:rsid w:val="00AE7AD5"/>
    <w:rsid w:val="00AF22D0"/>
    <w:rsid w:val="00AF3109"/>
    <w:rsid w:val="00AF3186"/>
    <w:rsid w:val="00AF31BD"/>
    <w:rsid w:val="00AF449E"/>
    <w:rsid w:val="00AF4ACA"/>
    <w:rsid w:val="00AF4C87"/>
    <w:rsid w:val="00AF506C"/>
    <w:rsid w:val="00AF64D0"/>
    <w:rsid w:val="00AF7E7A"/>
    <w:rsid w:val="00AF7F61"/>
    <w:rsid w:val="00B004E4"/>
    <w:rsid w:val="00B01484"/>
    <w:rsid w:val="00B01C97"/>
    <w:rsid w:val="00B02446"/>
    <w:rsid w:val="00B03466"/>
    <w:rsid w:val="00B044DD"/>
    <w:rsid w:val="00B07119"/>
    <w:rsid w:val="00B10222"/>
    <w:rsid w:val="00B106B8"/>
    <w:rsid w:val="00B11DBE"/>
    <w:rsid w:val="00B14FFC"/>
    <w:rsid w:val="00B16AC7"/>
    <w:rsid w:val="00B1754B"/>
    <w:rsid w:val="00B207C8"/>
    <w:rsid w:val="00B21340"/>
    <w:rsid w:val="00B21398"/>
    <w:rsid w:val="00B23288"/>
    <w:rsid w:val="00B23556"/>
    <w:rsid w:val="00B24DB8"/>
    <w:rsid w:val="00B24EEF"/>
    <w:rsid w:val="00B25505"/>
    <w:rsid w:val="00B256B7"/>
    <w:rsid w:val="00B25DE0"/>
    <w:rsid w:val="00B265A9"/>
    <w:rsid w:val="00B2786E"/>
    <w:rsid w:val="00B27D7F"/>
    <w:rsid w:val="00B30473"/>
    <w:rsid w:val="00B304EA"/>
    <w:rsid w:val="00B320F5"/>
    <w:rsid w:val="00B322D5"/>
    <w:rsid w:val="00B32EBC"/>
    <w:rsid w:val="00B32F71"/>
    <w:rsid w:val="00B34D63"/>
    <w:rsid w:val="00B36332"/>
    <w:rsid w:val="00B37185"/>
    <w:rsid w:val="00B41B15"/>
    <w:rsid w:val="00B42DE2"/>
    <w:rsid w:val="00B44C4B"/>
    <w:rsid w:val="00B46B12"/>
    <w:rsid w:val="00B50A35"/>
    <w:rsid w:val="00B51196"/>
    <w:rsid w:val="00B52E58"/>
    <w:rsid w:val="00B53739"/>
    <w:rsid w:val="00B53B35"/>
    <w:rsid w:val="00B543D0"/>
    <w:rsid w:val="00B5469C"/>
    <w:rsid w:val="00B547AC"/>
    <w:rsid w:val="00B56AF2"/>
    <w:rsid w:val="00B61584"/>
    <w:rsid w:val="00B61DDE"/>
    <w:rsid w:val="00B64130"/>
    <w:rsid w:val="00B64C0B"/>
    <w:rsid w:val="00B658C9"/>
    <w:rsid w:val="00B66088"/>
    <w:rsid w:val="00B660B9"/>
    <w:rsid w:val="00B66829"/>
    <w:rsid w:val="00B67265"/>
    <w:rsid w:val="00B708CA"/>
    <w:rsid w:val="00B74219"/>
    <w:rsid w:val="00B75476"/>
    <w:rsid w:val="00B75E56"/>
    <w:rsid w:val="00B761CB"/>
    <w:rsid w:val="00B77CD7"/>
    <w:rsid w:val="00B8073A"/>
    <w:rsid w:val="00B808FD"/>
    <w:rsid w:val="00B9046A"/>
    <w:rsid w:val="00B91138"/>
    <w:rsid w:val="00B914C8"/>
    <w:rsid w:val="00B92AD5"/>
    <w:rsid w:val="00B93CFE"/>
    <w:rsid w:val="00B94A26"/>
    <w:rsid w:val="00B963C3"/>
    <w:rsid w:val="00B968D7"/>
    <w:rsid w:val="00B972B5"/>
    <w:rsid w:val="00B974CF"/>
    <w:rsid w:val="00B97EE6"/>
    <w:rsid w:val="00BA00DF"/>
    <w:rsid w:val="00BA06CC"/>
    <w:rsid w:val="00BA17D0"/>
    <w:rsid w:val="00BA189C"/>
    <w:rsid w:val="00BA2BF0"/>
    <w:rsid w:val="00BA3EDA"/>
    <w:rsid w:val="00BA4B9B"/>
    <w:rsid w:val="00BA4BFA"/>
    <w:rsid w:val="00BA572B"/>
    <w:rsid w:val="00BA5EDE"/>
    <w:rsid w:val="00BA6931"/>
    <w:rsid w:val="00BA6CAF"/>
    <w:rsid w:val="00BB0E0B"/>
    <w:rsid w:val="00BB1ADC"/>
    <w:rsid w:val="00BB1C29"/>
    <w:rsid w:val="00BB34CC"/>
    <w:rsid w:val="00BB4772"/>
    <w:rsid w:val="00BB49A2"/>
    <w:rsid w:val="00BB7183"/>
    <w:rsid w:val="00BC0810"/>
    <w:rsid w:val="00BC08E2"/>
    <w:rsid w:val="00BC0EE6"/>
    <w:rsid w:val="00BC17F1"/>
    <w:rsid w:val="00BC265C"/>
    <w:rsid w:val="00BC3819"/>
    <w:rsid w:val="00BC3866"/>
    <w:rsid w:val="00BC53EC"/>
    <w:rsid w:val="00BC572A"/>
    <w:rsid w:val="00BC7BB4"/>
    <w:rsid w:val="00BD0C2C"/>
    <w:rsid w:val="00BD1F9C"/>
    <w:rsid w:val="00BD49BE"/>
    <w:rsid w:val="00BD6099"/>
    <w:rsid w:val="00BD67BA"/>
    <w:rsid w:val="00BD6A73"/>
    <w:rsid w:val="00BE1237"/>
    <w:rsid w:val="00BE314A"/>
    <w:rsid w:val="00BE3BF6"/>
    <w:rsid w:val="00BE5146"/>
    <w:rsid w:val="00BE57C3"/>
    <w:rsid w:val="00BE7F52"/>
    <w:rsid w:val="00BF19B5"/>
    <w:rsid w:val="00BF1FCF"/>
    <w:rsid w:val="00BF275D"/>
    <w:rsid w:val="00BF30E3"/>
    <w:rsid w:val="00BF31F1"/>
    <w:rsid w:val="00BF345B"/>
    <w:rsid w:val="00BF35E1"/>
    <w:rsid w:val="00BF39A8"/>
    <w:rsid w:val="00BF49F6"/>
    <w:rsid w:val="00BF726F"/>
    <w:rsid w:val="00BF7A47"/>
    <w:rsid w:val="00BF7C73"/>
    <w:rsid w:val="00BF7E8F"/>
    <w:rsid w:val="00C00078"/>
    <w:rsid w:val="00C01D31"/>
    <w:rsid w:val="00C026A2"/>
    <w:rsid w:val="00C02F80"/>
    <w:rsid w:val="00C036EC"/>
    <w:rsid w:val="00C03BF2"/>
    <w:rsid w:val="00C03EE7"/>
    <w:rsid w:val="00C06F43"/>
    <w:rsid w:val="00C11338"/>
    <w:rsid w:val="00C11806"/>
    <w:rsid w:val="00C11F1B"/>
    <w:rsid w:val="00C13E98"/>
    <w:rsid w:val="00C13F6C"/>
    <w:rsid w:val="00C14956"/>
    <w:rsid w:val="00C15019"/>
    <w:rsid w:val="00C17258"/>
    <w:rsid w:val="00C212B3"/>
    <w:rsid w:val="00C21EB1"/>
    <w:rsid w:val="00C2209D"/>
    <w:rsid w:val="00C226DF"/>
    <w:rsid w:val="00C227A5"/>
    <w:rsid w:val="00C24017"/>
    <w:rsid w:val="00C262D6"/>
    <w:rsid w:val="00C30A5E"/>
    <w:rsid w:val="00C40B29"/>
    <w:rsid w:val="00C42094"/>
    <w:rsid w:val="00C43346"/>
    <w:rsid w:val="00C43607"/>
    <w:rsid w:val="00C438F5"/>
    <w:rsid w:val="00C43EE1"/>
    <w:rsid w:val="00C44256"/>
    <w:rsid w:val="00C51198"/>
    <w:rsid w:val="00C54A6D"/>
    <w:rsid w:val="00C55A41"/>
    <w:rsid w:val="00C57220"/>
    <w:rsid w:val="00C60165"/>
    <w:rsid w:val="00C60A78"/>
    <w:rsid w:val="00C618F9"/>
    <w:rsid w:val="00C61A99"/>
    <w:rsid w:val="00C625E0"/>
    <w:rsid w:val="00C6319A"/>
    <w:rsid w:val="00C633C5"/>
    <w:rsid w:val="00C644DC"/>
    <w:rsid w:val="00C644EC"/>
    <w:rsid w:val="00C6499D"/>
    <w:rsid w:val="00C67CEF"/>
    <w:rsid w:val="00C7106E"/>
    <w:rsid w:val="00C72BA5"/>
    <w:rsid w:val="00C72D82"/>
    <w:rsid w:val="00C733B6"/>
    <w:rsid w:val="00C736F3"/>
    <w:rsid w:val="00C75839"/>
    <w:rsid w:val="00C8088A"/>
    <w:rsid w:val="00C82408"/>
    <w:rsid w:val="00C82505"/>
    <w:rsid w:val="00C82862"/>
    <w:rsid w:val="00C82BC4"/>
    <w:rsid w:val="00C82C06"/>
    <w:rsid w:val="00C835AF"/>
    <w:rsid w:val="00C86737"/>
    <w:rsid w:val="00C87562"/>
    <w:rsid w:val="00C91D65"/>
    <w:rsid w:val="00C92AD3"/>
    <w:rsid w:val="00C93EB0"/>
    <w:rsid w:val="00C949DA"/>
    <w:rsid w:val="00C95224"/>
    <w:rsid w:val="00C95CA4"/>
    <w:rsid w:val="00C95D88"/>
    <w:rsid w:val="00C96D2B"/>
    <w:rsid w:val="00C97527"/>
    <w:rsid w:val="00C97DD1"/>
    <w:rsid w:val="00CA26E8"/>
    <w:rsid w:val="00CA4614"/>
    <w:rsid w:val="00CA4A6F"/>
    <w:rsid w:val="00CA59D1"/>
    <w:rsid w:val="00CA68D7"/>
    <w:rsid w:val="00CA6E5C"/>
    <w:rsid w:val="00CA702C"/>
    <w:rsid w:val="00CA72CC"/>
    <w:rsid w:val="00CA7DDE"/>
    <w:rsid w:val="00CB0136"/>
    <w:rsid w:val="00CB0B63"/>
    <w:rsid w:val="00CB130B"/>
    <w:rsid w:val="00CB1BF8"/>
    <w:rsid w:val="00CB2802"/>
    <w:rsid w:val="00CB472D"/>
    <w:rsid w:val="00CB59D0"/>
    <w:rsid w:val="00CB5E02"/>
    <w:rsid w:val="00CB7C04"/>
    <w:rsid w:val="00CC0371"/>
    <w:rsid w:val="00CC0B15"/>
    <w:rsid w:val="00CC327A"/>
    <w:rsid w:val="00CC3357"/>
    <w:rsid w:val="00CC649D"/>
    <w:rsid w:val="00CC6810"/>
    <w:rsid w:val="00CC7AF4"/>
    <w:rsid w:val="00CC7D04"/>
    <w:rsid w:val="00CD0138"/>
    <w:rsid w:val="00CD2E1A"/>
    <w:rsid w:val="00CD3750"/>
    <w:rsid w:val="00CD465F"/>
    <w:rsid w:val="00CD643F"/>
    <w:rsid w:val="00CD6B18"/>
    <w:rsid w:val="00CD6C4E"/>
    <w:rsid w:val="00CD7390"/>
    <w:rsid w:val="00CD7586"/>
    <w:rsid w:val="00CD7EFA"/>
    <w:rsid w:val="00CE15C5"/>
    <w:rsid w:val="00CE5ACD"/>
    <w:rsid w:val="00CE72D2"/>
    <w:rsid w:val="00CE7531"/>
    <w:rsid w:val="00CF04A2"/>
    <w:rsid w:val="00CF0C9D"/>
    <w:rsid w:val="00CF15B9"/>
    <w:rsid w:val="00CF38F2"/>
    <w:rsid w:val="00CF43A5"/>
    <w:rsid w:val="00CF5A45"/>
    <w:rsid w:val="00CF5DA4"/>
    <w:rsid w:val="00CF6BD7"/>
    <w:rsid w:val="00D00815"/>
    <w:rsid w:val="00D02B6F"/>
    <w:rsid w:val="00D02BB0"/>
    <w:rsid w:val="00D03729"/>
    <w:rsid w:val="00D03BB7"/>
    <w:rsid w:val="00D05A75"/>
    <w:rsid w:val="00D05BD2"/>
    <w:rsid w:val="00D065FD"/>
    <w:rsid w:val="00D07F56"/>
    <w:rsid w:val="00D07FE3"/>
    <w:rsid w:val="00D12009"/>
    <w:rsid w:val="00D13C89"/>
    <w:rsid w:val="00D13FE1"/>
    <w:rsid w:val="00D14107"/>
    <w:rsid w:val="00D14E95"/>
    <w:rsid w:val="00D16FE4"/>
    <w:rsid w:val="00D2001D"/>
    <w:rsid w:val="00D21972"/>
    <w:rsid w:val="00D21B75"/>
    <w:rsid w:val="00D22E24"/>
    <w:rsid w:val="00D24A29"/>
    <w:rsid w:val="00D274FC"/>
    <w:rsid w:val="00D27923"/>
    <w:rsid w:val="00D30920"/>
    <w:rsid w:val="00D35AFA"/>
    <w:rsid w:val="00D4018E"/>
    <w:rsid w:val="00D41D6C"/>
    <w:rsid w:val="00D42C78"/>
    <w:rsid w:val="00D448BA"/>
    <w:rsid w:val="00D451DA"/>
    <w:rsid w:val="00D454CE"/>
    <w:rsid w:val="00D4724B"/>
    <w:rsid w:val="00D47B7A"/>
    <w:rsid w:val="00D47BE6"/>
    <w:rsid w:val="00D508EA"/>
    <w:rsid w:val="00D510E7"/>
    <w:rsid w:val="00D51362"/>
    <w:rsid w:val="00D51834"/>
    <w:rsid w:val="00D52E1C"/>
    <w:rsid w:val="00D53D0B"/>
    <w:rsid w:val="00D5553D"/>
    <w:rsid w:val="00D566CA"/>
    <w:rsid w:val="00D56F00"/>
    <w:rsid w:val="00D574DA"/>
    <w:rsid w:val="00D608AD"/>
    <w:rsid w:val="00D62F53"/>
    <w:rsid w:val="00D63653"/>
    <w:rsid w:val="00D63EF9"/>
    <w:rsid w:val="00D642FA"/>
    <w:rsid w:val="00D65841"/>
    <w:rsid w:val="00D71021"/>
    <w:rsid w:val="00D713CD"/>
    <w:rsid w:val="00D72041"/>
    <w:rsid w:val="00D72953"/>
    <w:rsid w:val="00D72DB5"/>
    <w:rsid w:val="00D7457C"/>
    <w:rsid w:val="00D752F3"/>
    <w:rsid w:val="00D77405"/>
    <w:rsid w:val="00D8070E"/>
    <w:rsid w:val="00D82574"/>
    <w:rsid w:val="00D8284A"/>
    <w:rsid w:val="00D83F6A"/>
    <w:rsid w:val="00D843FF"/>
    <w:rsid w:val="00D91DDF"/>
    <w:rsid w:val="00D92FAF"/>
    <w:rsid w:val="00D9410B"/>
    <w:rsid w:val="00D95386"/>
    <w:rsid w:val="00D96EEE"/>
    <w:rsid w:val="00D97295"/>
    <w:rsid w:val="00D97BED"/>
    <w:rsid w:val="00DA4041"/>
    <w:rsid w:val="00DA4095"/>
    <w:rsid w:val="00DA6741"/>
    <w:rsid w:val="00DA6907"/>
    <w:rsid w:val="00DA6D2B"/>
    <w:rsid w:val="00DA6FA6"/>
    <w:rsid w:val="00DB12F8"/>
    <w:rsid w:val="00DB1D87"/>
    <w:rsid w:val="00DB4315"/>
    <w:rsid w:val="00DB4F8F"/>
    <w:rsid w:val="00DB6451"/>
    <w:rsid w:val="00DC02FE"/>
    <w:rsid w:val="00DC0E80"/>
    <w:rsid w:val="00DC15C6"/>
    <w:rsid w:val="00DC1608"/>
    <w:rsid w:val="00DC3515"/>
    <w:rsid w:val="00DD5473"/>
    <w:rsid w:val="00DD58EC"/>
    <w:rsid w:val="00DD5FF2"/>
    <w:rsid w:val="00DD6DA3"/>
    <w:rsid w:val="00DD79BA"/>
    <w:rsid w:val="00DE07A3"/>
    <w:rsid w:val="00DE24ED"/>
    <w:rsid w:val="00DE2AB4"/>
    <w:rsid w:val="00DE4D45"/>
    <w:rsid w:val="00DE58DE"/>
    <w:rsid w:val="00DE6FE5"/>
    <w:rsid w:val="00DE787A"/>
    <w:rsid w:val="00DE7BBA"/>
    <w:rsid w:val="00DF02A6"/>
    <w:rsid w:val="00DF093D"/>
    <w:rsid w:val="00DF2E8E"/>
    <w:rsid w:val="00DF4F01"/>
    <w:rsid w:val="00DF5890"/>
    <w:rsid w:val="00DF597C"/>
    <w:rsid w:val="00DF6519"/>
    <w:rsid w:val="00E0114C"/>
    <w:rsid w:val="00E0224C"/>
    <w:rsid w:val="00E0239A"/>
    <w:rsid w:val="00E02CDB"/>
    <w:rsid w:val="00E03DE6"/>
    <w:rsid w:val="00E058F2"/>
    <w:rsid w:val="00E0771B"/>
    <w:rsid w:val="00E079D7"/>
    <w:rsid w:val="00E07A7D"/>
    <w:rsid w:val="00E11A2B"/>
    <w:rsid w:val="00E11AA0"/>
    <w:rsid w:val="00E12050"/>
    <w:rsid w:val="00E1396A"/>
    <w:rsid w:val="00E14718"/>
    <w:rsid w:val="00E15CC4"/>
    <w:rsid w:val="00E15D27"/>
    <w:rsid w:val="00E1702A"/>
    <w:rsid w:val="00E17CA9"/>
    <w:rsid w:val="00E215E8"/>
    <w:rsid w:val="00E22169"/>
    <w:rsid w:val="00E24C07"/>
    <w:rsid w:val="00E24FC3"/>
    <w:rsid w:val="00E25DDD"/>
    <w:rsid w:val="00E26CA7"/>
    <w:rsid w:val="00E277A1"/>
    <w:rsid w:val="00E32496"/>
    <w:rsid w:val="00E33A2D"/>
    <w:rsid w:val="00E33E1B"/>
    <w:rsid w:val="00E36237"/>
    <w:rsid w:val="00E3698C"/>
    <w:rsid w:val="00E40CD6"/>
    <w:rsid w:val="00E41CAB"/>
    <w:rsid w:val="00E44030"/>
    <w:rsid w:val="00E45B3E"/>
    <w:rsid w:val="00E45DB2"/>
    <w:rsid w:val="00E45E63"/>
    <w:rsid w:val="00E46535"/>
    <w:rsid w:val="00E501E3"/>
    <w:rsid w:val="00E50856"/>
    <w:rsid w:val="00E5295D"/>
    <w:rsid w:val="00E535AB"/>
    <w:rsid w:val="00E5384E"/>
    <w:rsid w:val="00E57D3C"/>
    <w:rsid w:val="00E61ED6"/>
    <w:rsid w:val="00E67523"/>
    <w:rsid w:val="00E67551"/>
    <w:rsid w:val="00E679F5"/>
    <w:rsid w:val="00E67C76"/>
    <w:rsid w:val="00E708D8"/>
    <w:rsid w:val="00E710F7"/>
    <w:rsid w:val="00E71822"/>
    <w:rsid w:val="00E72BA6"/>
    <w:rsid w:val="00E73A49"/>
    <w:rsid w:val="00E8036A"/>
    <w:rsid w:val="00E8134F"/>
    <w:rsid w:val="00E81627"/>
    <w:rsid w:val="00E8228F"/>
    <w:rsid w:val="00E8285B"/>
    <w:rsid w:val="00E831FC"/>
    <w:rsid w:val="00E84171"/>
    <w:rsid w:val="00E85551"/>
    <w:rsid w:val="00E85DCD"/>
    <w:rsid w:val="00E8745B"/>
    <w:rsid w:val="00E90703"/>
    <w:rsid w:val="00E9113C"/>
    <w:rsid w:val="00E9190D"/>
    <w:rsid w:val="00E92266"/>
    <w:rsid w:val="00E927DE"/>
    <w:rsid w:val="00E92BB5"/>
    <w:rsid w:val="00E94E64"/>
    <w:rsid w:val="00E952A0"/>
    <w:rsid w:val="00E9614E"/>
    <w:rsid w:val="00E97190"/>
    <w:rsid w:val="00E9732D"/>
    <w:rsid w:val="00E976AF"/>
    <w:rsid w:val="00EA1465"/>
    <w:rsid w:val="00EA187B"/>
    <w:rsid w:val="00EA2F9C"/>
    <w:rsid w:val="00EA30A2"/>
    <w:rsid w:val="00EA3474"/>
    <w:rsid w:val="00EA347C"/>
    <w:rsid w:val="00EA37E9"/>
    <w:rsid w:val="00EA4AD0"/>
    <w:rsid w:val="00EA4E9B"/>
    <w:rsid w:val="00EA669E"/>
    <w:rsid w:val="00EA7006"/>
    <w:rsid w:val="00EA748C"/>
    <w:rsid w:val="00EB01C9"/>
    <w:rsid w:val="00EB01E8"/>
    <w:rsid w:val="00EB247F"/>
    <w:rsid w:val="00EB2548"/>
    <w:rsid w:val="00EB5C92"/>
    <w:rsid w:val="00EB5DC7"/>
    <w:rsid w:val="00EB6259"/>
    <w:rsid w:val="00EB6CA0"/>
    <w:rsid w:val="00EC13B0"/>
    <w:rsid w:val="00EC30A8"/>
    <w:rsid w:val="00EC4658"/>
    <w:rsid w:val="00EC477D"/>
    <w:rsid w:val="00EC4808"/>
    <w:rsid w:val="00EC4FA5"/>
    <w:rsid w:val="00EC5168"/>
    <w:rsid w:val="00EC5969"/>
    <w:rsid w:val="00EC5F9B"/>
    <w:rsid w:val="00EC5FB8"/>
    <w:rsid w:val="00EC6E2F"/>
    <w:rsid w:val="00EC7822"/>
    <w:rsid w:val="00EC7D16"/>
    <w:rsid w:val="00ED00A0"/>
    <w:rsid w:val="00ED0366"/>
    <w:rsid w:val="00ED0E51"/>
    <w:rsid w:val="00ED2859"/>
    <w:rsid w:val="00ED3D08"/>
    <w:rsid w:val="00ED4B56"/>
    <w:rsid w:val="00ED4CFB"/>
    <w:rsid w:val="00ED4F81"/>
    <w:rsid w:val="00ED5411"/>
    <w:rsid w:val="00ED6ACC"/>
    <w:rsid w:val="00EE006E"/>
    <w:rsid w:val="00EE074B"/>
    <w:rsid w:val="00EE09A7"/>
    <w:rsid w:val="00EE108C"/>
    <w:rsid w:val="00EE4691"/>
    <w:rsid w:val="00EE49CD"/>
    <w:rsid w:val="00EE62B3"/>
    <w:rsid w:val="00EE674C"/>
    <w:rsid w:val="00EE7852"/>
    <w:rsid w:val="00EF0361"/>
    <w:rsid w:val="00EF0A02"/>
    <w:rsid w:val="00EF0E3D"/>
    <w:rsid w:val="00EF2F41"/>
    <w:rsid w:val="00EF3485"/>
    <w:rsid w:val="00EF3DE7"/>
    <w:rsid w:val="00EF49E2"/>
    <w:rsid w:val="00EF68BC"/>
    <w:rsid w:val="00EF6D9C"/>
    <w:rsid w:val="00EF72D0"/>
    <w:rsid w:val="00EF7608"/>
    <w:rsid w:val="00EF7779"/>
    <w:rsid w:val="00EF7C4E"/>
    <w:rsid w:val="00F002E6"/>
    <w:rsid w:val="00F00366"/>
    <w:rsid w:val="00F004A3"/>
    <w:rsid w:val="00F01691"/>
    <w:rsid w:val="00F016F5"/>
    <w:rsid w:val="00F02544"/>
    <w:rsid w:val="00F0286D"/>
    <w:rsid w:val="00F02BB9"/>
    <w:rsid w:val="00F03975"/>
    <w:rsid w:val="00F03B32"/>
    <w:rsid w:val="00F03B41"/>
    <w:rsid w:val="00F0619D"/>
    <w:rsid w:val="00F06733"/>
    <w:rsid w:val="00F06EDA"/>
    <w:rsid w:val="00F07420"/>
    <w:rsid w:val="00F0793B"/>
    <w:rsid w:val="00F10CC1"/>
    <w:rsid w:val="00F11187"/>
    <w:rsid w:val="00F1323C"/>
    <w:rsid w:val="00F13A9E"/>
    <w:rsid w:val="00F15E7C"/>
    <w:rsid w:val="00F168FB"/>
    <w:rsid w:val="00F16E86"/>
    <w:rsid w:val="00F2036E"/>
    <w:rsid w:val="00F20C4A"/>
    <w:rsid w:val="00F2170E"/>
    <w:rsid w:val="00F24F81"/>
    <w:rsid w:val="00F26225"/>
    <w:rsid w:val="00F26C2D"/>
    <w:rsid w:val="00F30AE8"/>
    <w:rsid w:val="00F31004"/>
    <w:rsid w:val="00F311C6"/>
    <w:rsid w:val="00F342B0"/>
    <w:rsid w:val="00F3461C"/>
    <w:rsid w:val="00F34FAF"/>
    <w:rsid w:val="00F35496"/>
    <w:rsid w:val="00F361C1"/>
    <w:rsid w:val="00F367C2"/>
    <w:rsid w:val="00F36D17"/>
    <w:rsid w:val="00F37865"/>
    <w:rsid w:val="00F400DB"/>
    <w:rsid w:val="00F40183"/>
    <w:rsid w:val="00F40418"/>
    <w:rsid w:val="00F40958"/>
    <w:rsid w:val="00F40E23"/>
    <w:rsid w:val="00F41F48"/>
    <w:rsid w:val="00F42870"/>
    <w:rsid w:val="00F42E9F"/>
    <w:rsid w:val="00F433E4"/>
    <w:rsid w:val="00F441A8"/>
    <w:rsid w:val="00F450B8"/>
    <w:rsid w:val="00F4543A"/>
    <w:rsid w:val="00F4615E"/>
    <w:rsid w:val="00F5012F"/>
    <w:rsid w:val="00F509D2"/>
    <w:rsid w:val="00F50A39"/>
    <w:rsid w:val="00F50E06"/>
    <w:rsid w:val="00F50FBD"/>
    <w:rsid w:val="00F51171"/>
    <w:rsid w:val="00F52169"/>
    <w:rsid w:val="00F5250C"/>
    <w:rsid w:val="00F53681"/>
    <w:rsid w:val="00F53CAD"/>
    <w:rsid w:val="00F5723D"/>
    <w:rsid w:val="00F5727C"/>
    <w:rsid w:val="00F63A71"/>
    <w:rsid w:val="00F642F5"/>
    <w:rsid w:val="00F649E4"/>
    <w:rsid w:val="00F66819"/>
    <w:rsid w:val="00F66C91"/>
    <w:rsid w:val="00F70898"/>
    <w:rsid w:val="00F70BAD"/>
    <w:rsid w:val="00F716AE"/>
    <w:rsid w:val="00F71EA6"/>
    <w:rsid w:val="00F71F69"/>
    <w:rsid w:val="00F72667"/>
    <w:rsid w:val="00F73395"/>
    <w:rsid w:val="00F74AB5"/>
    <w:rsid w:val="00F750FC"/>
    <w:rsid w:val="00F7520C"/>
    <w:rsid w:val="00F75756"/>
    <w:rsid w:val="00F75787"/>
    <w:rsid w:val="00F75B16"/>
    <w:rsid w:val="00F75D09"/>
    <w:rsid w:val="00F76544"/>
    <w:rsid w:val="00F76FD0"/>
    <w:rsid w:val="00F806AF"/>
    <w:rsid w:val="00F80931"/>
    <w:rsid w:val="00F80C68"/>
    <w:rsid w:val="00F83BDB"/>
    <w:rsid w:val="00F8481A"/>
    <w:rsid w:val="00F84B91"/>
    <w:rsid w:val="00F8509C"/>
    <w:rsid w:val="00F854B9"/>
    <w:rsid w:val="00F90199"/>
    <w:rsid w:val="00F92D1A"/>
    <w:rsid w:val="00F93455"/>
    <w:rsid w:val="00F93F21"/>
    <w:rsid w:val="00F94B81"/>
    <w:rsid w:val="00F955D1"/>
    <w:rsid w:val="00F9595E"/>
    <w:rsid w:val="00F96628"/>
    <w:rsid w:val="00F966B8"/>
    <w:rsid w:val="00F969CA"/>
    <w:rsid w:val="00F97283"/>
    <w:rsid w:val="00F97712"/>
    <w:rsid w:val="00F97F7E"/>
    <w:rsid w:val="00FA04D7"/>
    <w:rsid w:val="00FA0BB6"/>
    <w:rsid w:val="00FA13E5"/>
    <w:rsid w:val="00FA192E"/>
    <w:rsid w:val="00FA2383"/>
    <w:rsid w:val="00FA2834"/>
    <w:rsid w:val="00FA561E"/>
    <w:rsid w:val="00FA661F"/>
    <w:rsid w:val="00FA69D1"/>
    <w:rsid w:val="00FA76CB"/>
    <w:rsid w:val="00FA7746"/>
    <w:rsid w:val="00FB0939"/>
    <w:rsid w:val="00FB11CF"/>
    <w:rsid w:val="00FB203E"/>
    <w:rsid w:val="00FB27FA"/>
    <w:rsid w:val="00FB2FCD"/>
    <w:rsid w:val="00FB4D29"/>
    <w:rsid w:val="00FB5A12"/>
    <w:rsid w:val="00FB60FC"/>
    <w:rsid w:val="00FC196E"/>
    <w:rsid w:val="00FC2733"/>
    <w:rsid w:val="00FC2D5B"/>
    <w:rsid w:val="00FC348B"/>
    <w:rsid w:val="00FC48B3"/>
    <w:rsid w:val="00FC4FD8"/>
    <w:rsid w:val="00FC59ED"/>
    <w:rsid w:val="00FC68D8"/>
    <w:rsid w:val="00FD07CA"/>
    <w:rsid w:val="00FD38BC"/>
    <w:rsid w:val="00FD69F1"/>
    <w:rsid w:val="00FD6BAD"/>
    <w:rsid w:val="00FD6EB5"/>
    <w:rsid w:val="00FD7BC2"/>
    <w:rsid w:val="00FE0246"/>
    <w:rsid w:val="00FE090C"/>
    <w:rsid w:val="00FE0D5C"/>
    <w:rsid w:val="00FE1824"/>
    <w:rsid w:val="00FE1CED"/>
    <w:rsid w:val="00FE30D8"/>
    <w:rsid w:val="00FE538E"/>
    <w:rsid w:val="00FE5D9F"/>
    <w:rsid w:val="00FE6484"/>
    <w:rsid w:val="00FE74E3"/>
    <w:rsid w:val="00FE76B8"/>
    <w:rsid w:val="00FE7736"/>
    <w:rsid w:val="00FF1A5D"/>
    <w:rsid w:val="00FF1CDF"/>
    <w:rsid w:val="00FF1DC9"/>
    <w:rsid w:val="00FF2472"/>
    <w:rsid w:val="00FF4CE0"/>
    <w:rsid w:val="00FF5D2E"/>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uiPriority w:val="99"/>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4A698D"/>
    <w:rPr>
      <w:sz w:val="20"/>
      <w:szCs w:val="20"/>
    </w:rPr>
  </w:style>
  <w:style w:type="character" w:styleId="FootnoteReference">
    <w:name w:val="footnote reference"/>
    <w:basedOn w:val="DefaultParagraphFont"/>
    <w:uiPriority w:val="99"/>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uiPriority w:val="99"/>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styleId="ListParagraph">
    <w:name w:val="List Paragraph"/>
    <w:basedOn w:val="Normal"/>
    <w:uiPriority w:val="34"/>
    <w:qFormat/>
    <w:rsid w:val="00EC5969"/>
    <w:pPr>
      <w:ind w:left="720"/>
      <w:contextualSpacing/>
    </w:pPr>
  </w:style>
  <w:style w:type="character" w:customStyle="1" w:styleId="T11">
    <w:name w:val="T11"/>
    <w:hidden/>
    <w:rsid w:val="00845CEC"/>
    <w:rPr>
      <w:b/>
    </w:rPr>
  </w:style>
  <w:style w:type="character" w:styleId="Strong">
    <w:name w:val="Strong"/>
    <w:basedOn w:val="DefaultParagraphFont"/>
    <w:uiPriority w:val="22"/>
    <w:qFormat/>
    <w:rsid w:val="00584D33"/>
    <w:rPr>
      <w:b/>
      <w:bCs/>
    </w:rPr>
  </w:style>
  <w:style w:type="paragraph" w:styleId="TOCHeading">
    <w:name w:val="TOC Heading"/>
    <w:basedOn w:val="Heading1"/>
    <w:next w:val="Normal"/>
    <w:uiPriority w:val="39"/>
    <w:semiHidden/>
    <w:unhideWhenUsed/>
    <w:qFormat/>
    <w:rsid w:val="00890D88"/>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480DEE"/>
    <w:pPr>
      <w:suppressLineNumbers/>
      <w:tabs>
        <w:tab w:val="right" w:leader="dot" w:pos="8990"/>
      </w:tabs>
      <w:spacing w:line="360" w:lineRule="auto"/>
      <w:jc w:val="left"/>
    </w:pPr>
  </w:style>
  <w:style w:type="paragraph" w:styleId="TOC2">
    <w:name w:val="toc 2"/>
    <w:basedOn w:val="Normal"/>
    <w:next w:val="Normal"/>
    <w:autoRedefine/>
    <w:uiPriority w:val="39"/>
    <w:unhideWhenUsed/>
    <w:rsid w:val="00890D88"/>
    <w:pPr>
      <w:spacing w:after="100"/>
      <w:ind w:left="240"/>
    </w:pPr>
  </w:style>
  <w:style w:type="character" w:styleId="Hyperlink">
    <w:name w:val="Hyperlink"/>
    <w:basedOn w:val="DefaultParagraphFont"/>
    <w:uiPriority w:val="99"/>
    <w:unhideWhenUsed/>
    <w:rsid w:val="00890D88"/>
    <w:rPr>
      <w:color w:val="0000FF" w:themeColor="hyperlink"/>
      <w:u w:val="single"/>
    </w:rPr>
  </w:style>
  <w:style w:type="table" w:styleId="LightList">
    <w:name w:val="Light List"/>
    <w:basedOn w:val="TableNormal"/>
    <w:uiPriority w:val="61"/>
    <w:rsid w:val="00F025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4528F2"/>
    <w:rPr>
      <w:sz w:val="20"/>
      <w:szCs w:val="20"/>
    </w:rPr>
  </w:style>
  <w:style w:type="character" w:customStyle="1" w:styleId="EndnoteTextChar">
    <w:name w:val="Endnote Text Char"/>
    <w:basedOn w:val="DefaultParagraphFont"/>
    <w:link w:val="EndnoteText"/>
    <w:uiPriority w:val="99"/>
    <w:semiHidden/>
    <w:rsid w:val="004528F2"/>
  </w:style>
  <w:style w:type="character" w:styleId="EndnoteReference">
    <w:name w:val="endnote reference"/>
    <w:basedOn w:val="DefaultParagraphFont"/>
    <w:uiPriority w:val="99"/>
    <w:semiHidden/>
    <w:unhideWhenUsed/>
    <w:rsid w:val="004528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Heading2"/>
    <w:next w:val="Normal"/>
    <w:qFormat/>
    <w:rsid w:val="003965CB"/>
    <w:pPr>
      <w:outlineLvl w:val="0"/>
    </w:pPr>
    <w:rPr>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qFormat/>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F75787"/>
    <w:rPr>
      <w:sz w:val="16"/>
      <w:szCs w:val="16"/>
    </w:rPr>
  </w:style>
  <w:style w:type="paragraph" w:styleId="CommentText">
    <w:name w:val="annotation text"/>
    <w:basedOn w:val="Normal"/>
    <w:link w:val="CommentTextChar"/>
    <w:uiPriority w:val="99"/>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uiPriority w:val="99"/>
    <w:semiHidden/>
    <w:rsid w:val="004A698D"/>
    <w:rPr>
      <w:sz w:val="20"/>
      <w:szCs w:val="20"/>
    </w:rPr>
  </w:style>
  <w:style w:type="character" w:styleId="FootnoteReference">
    <w:name w:val="footnote reference"/>
    <w:basedOn w:val="DefaultParagraphFont"/>
    <w:uiPriority w:val="99"/>
    <w:semiHidden/>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nhideWhenUsed/>
    <w:rsid w:val="000F44A0"/>
    <w:pPr>
      <w:spacing w:before="100" w:beforeAutospacing="1" w:after="100" w:afterAutospacing="1"/>
      <w:jc w:val="left"/>
    </w:pPr>
  </w:style>
  <w:style w:type="paragraph" w:styleId="BodyTextIndent">
    <w:name w:val="Body Text Indent"/>
    <w:basedOn w:val="Normal"/>
    <w:link w:val="BodyTextIndentChar"/>
    <w:uiPriority w:val="99"/>
    <w:semiHidden/>
    <w:unhideWhenUsed/>
    <w:rsid w:val="0014281F"/>
    <w:pPr>
      <w:spacing w:after="120"/>
      <w:ind w:left="360"/>
    </w:pPr>
  </w:style>
  <w:style w:type="character" w:customStyle="1" w:styleId="BodyTextIndentChar">
    <w:name w:val="Body Text Indent Char"/>
    <w:basedOn w:val="DefaultParagraphFont"/>
    <w:link w:val="BodyTextIndent"/>
    <w:uiPriority w:val="99"/>
    <w:semiHidden/>
    <w:rsid w:val="0014281F"/>
    <w:rPr>
      <w:sz w:val="24"/>
      <w:szCs w:val="24"/>
    </w:rPr>
  </w:style>
  <w:style w:type="paragraph" w:styleId="BodyTextIndent2">
    <w:name w:val="Body Text Indent 2"/>
    <w:basedOn w:val="Normal"/>
    <w:link w:val="BodyTextIndent2Char"/>
    <w:uiPriority w:val="99"/>
    <w:unhideWhenUsed/>
    <w:rsid w:val="00967BCF"/>
    <w:pPr>
      <w:spacing w:after="120" w:line="480" w:lineRule="auto"/>
      <w:ind w:left="360"/>
    </w:pPr>
  </w:style>
  <w:style w:type="character" w:customStyle="1" w:styleId="BodyTextIndent2Char">
    <w:name w:val="Body Text Indent 2 Char"/>
    <w:basedOn w:val="DefaultParagraphFont"/>
    <w:link w:val="BodyTextIndent2"/>
    <w:uiPriority w:val="99"/>
    <w:rsid w:val="00967BCF"/>
    <w:rPr>
      <w:sz w:val="24"/>
      <w:szCs w:val="24"/>
    </w:rPr>
  </w:style>
  <w:style w:type="character" w:customStyle="1" w:styleId="QuestionChar1">
    <w:name w:val="Question Char1"/>
    <w:basedOn w:val="DefaultParagraphFont"/>
    <w:rsid w:val="00967BCF"/>
    <w:rPr>
      <w:b/>
      <w:bCs/>
      <w:sz w:val="24"/>
      <w:szCs w:val="24"/>
      <w:lang w:val="en-US" w:eastAsia="en-US" w:bidi="ar-SA"/>
    </w:rPr>
  </w:style>
  <w:style w:type="paragraph" w:customStyle="1" w:styleId="AutoNumBodyCharCharCharChar">
    <w:name w:val="AutoNum Body Char Char Char Char"/>
    <w:basedOn w:val="Normal"/>
    <w:link w:val="AutoNumBodyCharCharCharCharChar"/>
    <w:autoRedefine/>
    <w:qFormat/>
    <w:rsid w:val="00BB1C29"/>
    <w:pPr>
      <w:widowControl w:val="0"/>
      <w:ind w:left="1440"/>
      <w:jc w:val="left"/>
    </w:pPr>
    <w:rPr>
      <w:color w:val="000000"/>
    </w:rPr>
  </w:style>
  <w:style w:type="character" w:customStyle="1" w:styleId="AutoNumBodyCharCharCharCharChar">
    <w:name w:val="AutoNum Body Char Char Char Char Char"/>
    <w:basedOn w:val="DefaultParagraphFont"/>
    <w:link w:val="AutoNumBodyCharCharCharChar"/>
    <w:rsid w:val="00BB1C29"/>
    <w:rPr>
      <w:color w:val="000000"/>
      <w:sz w:val="24"/>
      <w:szCs w:val="24"/>
    </w:rPr>
  </w:style>
  <w:style w:type="character" w:customStyle="1" w:styleId="FooterChar">
    <w:name w:val="Footer Char"/>
    <w:basedOn w:val="DefaultParagraphFont"/>
    <w:link w:val="Footer"/>
    <w:uiPriority w:val="99"/>
    <w:rsid w:val="00DD5473"/>
    <w:rPr>
      <w:sz w:val="24"/>
      <w:szCs w:val="24"/>
    </w:rPr>
  </w:style>
  <w:style w:type="character" w:customStyle="1" w:styleId="CommentTextChar">
    <w:name w:val="Comment Text Char"/>
    <w:basedOn w:val="DefaultParagraphFont"/>
    <w:link w:val="CommentText"/>
    <w:uiPriority w:val="99"/>
    <w:semiHidden/>
    <w:rsid w:val="009E1B1C"/>
  </w:style>
  <w:style w:type="paragraph" w:styleId="ListParagraph">
    <w:name w:val="List Paragraph"/>
    <w:basedOn w:val="Normal"/>
    <w:uiPriority w:val="34"/>
    <w:qFormat/>
    <w:rsid w:val="00EC5969"/>
    <w:pPr>
      <w:ind w:left="720"/>
      <w:contextualSpacing/>
    </w:pPr>
  </w:style>
  <w:style w:type="character" w:customStyle="1" w:styleId="T11">
    <w:name w:val="T11"/>
    <w:hidden/>
    <w:rsid w:val="00845CEC"/>
    <w:rPr>
      <w:b/>
    </w:rPr>
  </w:style>
  <w:style w:type="character" w:styleId="Strong">
    <w:name w:val="Strong"/>
    <w:basedOn w:val="DefaultParagraphFont"/>
    <w:uiPriority w:val="22"/>
    <w:qFormat/>
    <w:rsid w:val="00584D33"/>
    <w:rPr>
      <w:b/>
      <w:bCs/>
    </w:rPr>
  </w:style>
  <w:style w:type="paragraph" w:styleId="TOCHeading">
    <w:name w:val="TOC Heading"/>
    <w:basedOn w:val="Heading1"/>
    <w:next w:val="Normal"/>
    <w:uiPriority w:val="39"/>
    <w:semiHidden/>
    <w:unhideWhenUsed/>
    <w:qFormat/>
    <w:rsid w:val="00890D88"/>
    <w:pPr>
      <w:keepLines/>
      <w:spacing w:before="480" w:line="276" w:lineRule="auto"/>
      <w:jc w:val="left"/>
      <w:outlineLvl w:val="9"/>
    </w:pPr>
    <w:rPr>
      <w:rFonts w:asciiTheme="majorHAnsi" w:eastAsiaTheme="majorEastAsia" w:hAnsiTheme="majorHAnsi" w:cstheme="majorBidi"/>
      <w:iCs w:val="0"/>
      <w:caps w:val="0"/>
      <w:color w:val="365F91" w:themeColor="accent1" w:themeShade="BF"/>
      <w:sz w:val="28"/>
      <w:lang w:eastAsia="ja-JP"/>
    </w:rPr>
  </w:style>
  <w:style w:type="paragraph" w:styleId="TOC1">
    <w:name w:val="toc 1"/>
    <w:basedOn w:val="Normal"/>
    <w:next w:val="Normal"/>
    <w:autoRedefine/>
    <w:uiPriority w:val="39"/>
    <w:unhideWhenUsed/>
    <w:rsid w:val="00480DEE"/>
    <w:pPr>
      <w:suppressLineNumbers/>
      <w:tabs>
        <w:tab w:val="right" w:leader="dot" w:pos="8990"/>
      </w:tabs>
      <w:spacing w:line="360" w:lineRule="auto"/>
      <w:jc w:val="left"/>
    </w:pPr>
  </w:style>
  <w:style w:type="paragraph" w:styleId="TOC2">
    <w:name w:val="toc 2"/>
    <w:basedOn w:val="Normal"/>
    <w:next w:val="Normal"/>
    <w:autoRedefine/>
    <w:uiPriority w:val="39"/>
    <w:unhideWhenUsed/>
    <w:rsid w:val="00890D88"/>
    <w:pPr>
      <w:spacing w:after="100"/>
      <w:ind w:left="240"/>
    </w:pPr>
  </w:style>
  <w:style w:type="character" w:styleId="Hyperlink">
    <w:name w:val="Hyperlink"/>
    <w:basedOn w:val="DefaultParagraphFont"/>
    <w:uiPriority w:val="99"/>
    <w:unhideWhenUsed/>
    <w:rsid w:val="00890D88"/>
    <w:rPr>
      <w:color w:val="0000FF" w:themeColor="hyperlink"/>
      <w:u w:val="single"/>
    </w:rPr>
  </w:style>
  <w:style w:type="table" w:styleId="LightList">
    <w:name w:val="Light List"/>
    <w:basedOn w:val="TableNormal"/>
    <w:uiPriority w:val="61"/>
    <w:rsid w:val="00F025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4528F2"/>
    <w:rPr>
      <w:sz w:val="20"/>
      <w:szCs w:val="20"/>
    </w:rPr>
  </w:style>
  <w:style w:type="character" w:customStyle="1" w:styleId="EndnoteTextChar">
    <w:name w:val="Endnote Text Char"/>
    <w:basedOn w:val="DefaultParagraphFont"/>
    <w:link w:val="EndnoteText"/>
    <w:uiPriority w:val="99"/>
    <w:semiHidden/>
    <w:rsid w:val="004528F2"/>
  </w:style>
  <w:style w:type="character" w:styleId="EndnoteReference">
    <w:name w:val="endnote reference"/>
    <w:basedOn w:val="DefaultParagraphFont"/>
    <w:uiPriority w:val="99"/>
    <w:semiHidden/>
    <w:unhideWhenUsed/>
    <w:rsid w:val="00452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834877055">
      <w:bodyDiv w:val="1"/>
      <w:marLeft w:val="0"/>
      <w:marRight w:val="0"/>
      <w:marTop w:val="0"/>
      <w:marBottom w:val="0"/>
      <w:divBdr>
        <w:top w:val="none" w:sz="0" w:space="0" w:color="auto"/>
        <w:left w:val="none" w:sz="0" w:space="0" w:color="auto"/>
        <w:bottom w:val="none" w:sz="0" w:space="0" w:color="auto"/>
        <w:right w:val="none" w:sz="0" w:space="0" w:color="auto"/>
      </w:divBdr>
    </w:div>
    <w:div w:id="865172140">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41983945">
      <w:bodyDiv w:val="1"/>
      <w:marLeft w:val="0"/>
      <w:marRight w:val="0"/>
      <w:marTop w:val="0"/>
      <w:marBottom w:val="0"/>
      <w:divBdr>
        <w:top w:val="none" w:sz="0" w:space="0" w:color="auto"/>
        <w:left w:val="none" w:sz="0" w:space="0" w:color="auto"/>
        <w:bottom w:val="none" w:sz="0" w:space="0" w:color="auto"/>
        <w:right w:val="none" w:sz="0" w:space="0" w:color="auto"/>
      </w:divBdr>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CBF19-C603-4EB8-B81B-6D3AAE22AC13}"/>
</file>

<file path=customXml/itemProps2.xml><?xml version="1.0" encoding="utf-8"?>
<ds:datastoreItem xmlns:ds="http://schemas.openxmlformats.org/officeDocument/2006/customXml" ds:itemID="{8BFC944F-9C59-445D-AC12-D4A13CA3E63A}"/>
</file>

<file path=customXml/itemProps3.xml><?xml version="1.0" encoding="utf-8"?>
<ds:datastoreItem xmlns:ds="http://schemas.openxmlformats.org/officeDocument/2006/customXml" ds:itemID="{E648AB20-C928-48AB-91C5-4F3F8C4FDB8C}"/>
</file>

<file path=customXml/itemProps4.xml><?xml version="1.0" encoding="utf-8"?>
<ds:datastoreItem xmlns:ds="http://schemas.openxmlformats.org/officeDocument/2006/customXml" ds:itemID="{740F3F26-13D1-43A1-9816-BCFB8F6D02E2}"/>
</file>

<file path=docProps/app.xml><?xml version="1.0" encoding="utf-8"?>
<Properties xmlns="http://schemas.openxmlformats.org/officeDocument/2006/extended-properties" xmlns:vt="http://schemas.openxmlformats.org/officeDocument/2006/docPropsVTypes">
  <Template>Normal.dotm</Template>
  <TotalTime>0</TotalTime>
  <Pages>28</Pages>
  <Words>5898</Words>
  <Characters>35006</Characters>
  <Application>Microsoft Office Word</Application>
  <DocSecurity>0</DocSecurity>
  <Lines>291</Lines>
  <Paragraphs>81</Paragraphs>
  <ScaleCrop>false</ScaleCrop>
  <Company/>
  <LinksUpToDate>false</LinksUpToDate>
  <CharactersWithSpaces>40823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2014-11-14T20:44:00Z</dcterms:created>
  <dcterms:modified xsi:type="dcterms:W3CDTF">2014-11-14T20:44:00Z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0x0101006E56B4D1795A2E4DB2F0B01679ED314A00F7932BF0E43BA441AC308742D5F08A91</vt:lpwstr>
  </property>
  <property fmtid="{D5CDD505-2E9C-101B-9397-08002B2CF9AE}" pid="4" name="_docset_NoMedatataSyncRequired">
    <vt:lpwstr>False</vt:lpwstr>
  </property>
</Properties>
</file>