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79D03B-E76F-44F9-8DCB-E323DB98A043}"/>
</file>

<file path=customXml/itemProps2.xml><?xml version="1.0" encoding="utf-8"?>
<ds:datastoreItem xmlns:ds="http://schemas.openxmlformats.org/officeDocument/2006/customXml" ds:itemID="{53BA87C0-75B0-467B-A09C-5041F3F77BE1}"/>
</file>

<file path=customXml/itemProps3.xml><?xml version="1.0" encoding="utf-8"?>
<ds:datastoreItem xmlns:ds="http://schemas.openxmlformats.org/officeDocument/2006/customXml" ds:itemID="{A81D6814-304E-4A96-980F-AC378095CC99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8F5DA996-8C6C-4E8E-B91F-BD9FC2C94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