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72" w:rsidRPr="00D7559F" w:rsidRDefault="001D2172" w:rsidP="00645BF5">
      <w:pPr>
        <w:spacing w:line="240" w:lineRule="auto"/>
        <w:jc w:val="center"/>
        <w:rPr>
          <w:b/>
          <w:bCs/>
        </w:rPr>
      </w:pPr>
      <w:bookmarkStart w:id="0" w:name="_GoBack"/>
      <w:bookmarkEnd w:id="0"/>
      <w:r w:rsidRPr="00D7559F">
        <w:rPr>
          <w:b/>
          <w:bCs/>
        </w:rPr>
        <w:t xml:space="preserve">BEFORE THE WASHINGTON </w:t>
      </w:r>
    </w:p>
    <w:p w:rsidR="001D2172" w:rsidRPr="00D7559F" w:rsidRDefault="001D2172" w:rsidP="00645BF5">
      <w:pPr>
        <w:spacing w:line="240" w:lineRule="auto"/>
        <w:jc w:val="center"/>
        <w:rPr>
          <w:b/>
          <w:bCs/>
        </w:rPr>
      </w:pPr>
      <w:r w:rsidRPr="00D7559F">
        <w:rPr>
          <w:b/>
          <w:bCs/>
        </w:rPr>
        <w:t xml:space="preserve">UTILITIES AND TRANSPORTATION COMMISSION </w:t>
      </w:r>
    </w:p>
    <w:p w:rsidR="001D2172" w:rsidRPr="00D7559F" w:rsidRDefault="001D2172" w:rsidP="00645BF5">
      <w:pPr>
        <w:spacing w:line="240" w:lineRule="auto"/>
        <w:jc w:val="center"/>
      </w:pPr>
    </w:p>
    <w:p w:rsidR="001D2172" w:rsidRPr="00D7559F" w:rsidRDefault="001D2172" w:rsidP="00645BF5">
      <w:pPr>
        <w:spacing w:line="240" w:lineRule="auto"/>
        <w:jc w:val="center"/>
      </w:pPr>
    </w:p>
    <w:tbl>
      <w:tblPr>
        <w:tblW w:w="9090" w:type="dxa"/>
        <w:tblLayout w:type="fixed"/>
        <w:tblCellMar>
          <w:left w:w="0" w:type="dxa"/>
          <w:right w:w="0" w:type="dxa"/>
        </w:tblCellMar>
        <w:tblLook w:val="0000" w:firstRow="0" w:lastRow="0" w:firstColumn="0" w:lastColumn="0" w:noHBand="0" w:noVBand="0"/>
      </w:tblPr>
      <w:tblGrid>
        <w:gridCol w:w="4508"/>
        <w:gridCol w:w="310"/>
        <w:gridCol w:w="4272"/>
      </w:tblGrid>
      <w:tr w:rsidR="001D2172" w:rsidRPr="00D7559F" w:rsidTr="00F00EBD">
        <w:trPr>
          <w:trHeight w:val="1593"/>
        </w:trPr>
        <w:tc>
          <w:tcPr>
            <w:tcW w:w="4508" w:type="dxa"/>
            <w:tcBorders>
              <w:bottom w:val="single" w:sz="4" w:space="0" w:color="auto"/>
            </w:tcBorders>
          </w:tcPr>
          <w:p w:rsidR="001D2172" w:rsidRPr="00D7559F" w:rsidRDefault="001D2172" w:rsidP="00645BF5">
            <w:pPr>
              <w:tabs>
                <w:tab w:val="left" w:pos="2160"/>
              </w:tabs>
              <w:spacing w:line="240" w:lineRule="auto"/>
              <w:jc w:val="left"/>
              <w:rPr>
                <w:bCs/>
              </w:rPr>
            </w:pPr>
            <w:r w:rsidRPr="00D7559F">
              <w:rPr>
                <w:bCs/>
              </w:rPr>
              <w:t>WASHINGTON UTILITIES AND TRANSPORTATION COMMISSION,</w:t>
            </w:r>
          </w:p>
          <w:p w:rsidR="001D2172" w:rsidRPr="00D7559F" w:rsidRDefault="001D2172" w:rsidP="00645BF5">
            <w:pPr>
              <w:tabs>
                <w:tab w:val="left" w:pos="2160"/>
              </w:tabs>
              <w:spacing w:line="240" w:lineRule="auto"/>
              <w:jc w:val="left"/>
              <w:rPr>
                <w:bCs/>
              </w:rPr>
            </w:pPr>
          </w:p>
          <w:p w:rsidR="001D2172" w:rsidRPr="00D7559F" w:rsidRDefault="001D2172" w:rsidP="00645BF5">
            <w:pPr>
              <w:tabs>
                <w:tab w:val="left" w:pos="2160"/>
              </w:tabs>
              <w:spacing w:line="240" w:lineRule="auto"/>
              <w:jc w:val="left"/>
              <w:rPr>
                <w:bCs/>
              </w:rPr>
            </w:pPr>
            <w:r w:rsidRPr="00D7559F">
              <w:rPr>
                <w:bCs/>
              </w:rPr>
              <w:tab/>
              <w:t xml:space="preserve">             Complainant,</w:t>
            </w:r>
          </w:p>
          <w:p w:rsidR="001D2172" w:rsidRPr="00D7559F" w:rsidRDefault="001D2172" w:rsidP="00645BF5">
            <w:pPr>
              <w:tabs>
                <w:tab w:val="left" w:pos="2160"/>
              </w:tabs>
              <w:spacing w:line="240" w:lineRule="auto"/>
              <w:jc w:val="left"/>
              <w:rPr>
                <w:bCs/>
              </w:rPr>
            </w:pPr>
          </w:p>
          <w:p w:rsidR="001D2172" w:rsidRPr="00D7559F" w:rsidRDefault="001D2172" w:rsidP="00645BF5">
            <w:pPr>
              <w:spacing w:line="240" w:lineRule="auto"/>
              <w:jc w:val="left"/>
              <w:rPr>
                <w:bCs/>
              </w:rPr>
            </w:pPr>
            <w:proofErr w:type="gramStart"/>
            <w:r w:rsidRPr="00D7559F">
              <w:rPr>
                <w:bCs/>
              </w:rPr>
              <w:t>v</w:t>
            </w:r>
            <w:proofErr w:type="gramEnd"/>
            <w:r w:rsidRPr="00D7559F">
              <w:rPr>
                <w:bCs/>
              </w:rPr>
              <w:t>.</w:t>
            </w:r>
          </w:p>
          <w:p w:rsidR="001D2172" w:rsidRPr="00D7559F" w:rsidRDefault="001D2172" w:rsidP="00645BF5">
            <w:pPr>
              <w:tabs>
                <w:tab w:val="left" w:pos="2160"/>
              </w:tabs>
              <w:spacing w:line="240" w:lineRule="auto"/>
              <w:jc w:val="left"/>
              <w:rPr>
                <w:bCs/>
              </w:rPr>
            </w:pPr>
          </w:p>
          <w:p w:rsidR="001D2172" w:rsidRPr="00D7559F" w:rsidRDefault="001D2172" w:rsidP="00645BF5">
            <w:pPr>
              <w:tabs>
                <w:tab w:val="left" w:pos="2160"/>
              </w:tabs>
              <w:spacing w:line="240" w:lineRule="auto"/>
              <w:jc w:val="left"/>
              <w:rPr>
                <w:bCs/>
              </w:rPr>
            </w:pPr>
            <w:r w:rsidRPr="00D7559F">
              <w:rPr>
                <w:bCs/>
              </w:rPr>
              <w:t xml:space="preserve">PACIFIC POWER &amp; LIGHT COMPANY, </w:t>
            </w:r>
          </w:p>
          <w:p w:rsidR="001D2172" w:rsidRPr="00D7559F" w:rsidRDefault="001D2172" w:rsidP="00645BF5">
            <w:pPr>
              <w:tabs>
                <w:tab w:val="left" w:pos="2160"/>
              </w:tabs>
              <w:spacing w:line="240" w:lineRule="auto"/>
              <w:jc w:val="left"/>
              <w:rPr>
                <w:bCs/>
              </w:rPr>
            </w:pPr>
          </w:p>
          <w:p w:rsidR="001D2172" w:rsidRPr="00D7559F" w:rsidRDefault="001D2172" w:rsidP="00645BF5">
            <w:pPr>
              <w:tabs>
                <w:tab w:val="left" w:pos="1456"/>
              </w:tabs>
              <w:autoSpaceDE w:val="0"/>
              <w:autoSpaceDN w:val="0"/>
              <w:spacing w:line="240" w:lineRule="auto"/>
              <w:jc w:val="left"/>
              <w:rPr>
                <w:color w:val="000000"/>
              </w:rPr>
            </w:pPr>
            <w:r w:rsidRPr="00D7559F">
              <w:rPr>
                <w:bCs/>
              </w:rPr>
              <w:tab/>
              <w:t xml:space="preserve">                          Respondent.</w:t>
            </w:r>
          </w:p>
        </w:tc>
        <w:tc>
          <w:tcPr>
            <w:tcW w:w="310" w:type="dxa"/>
          </w:tcPr>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p w:rsidR="001D2172" w:rsidRPr="00D7559F" w:rsidRDefault="001D2172" w:rsidP="00645BF5">
            <w:pPr>
              <w:pStyle w:val="SingleSpacing"/>
              <w:spacing w:line="240" w:lineRule="auto"/>
              <w:rPr>
                <w:szCs w:val="24"/>
              </w:rPr>
            </w:pPr>
            <w:r w:rsidRPr="00D7559F">
              <w:rPr>
                <w:szCs w:val="24"/>
              </w:rPr>
              <w:t>)</w:t>
            </w:r>
          </w:p>
        </w:tc>
        <w:tc>
          <w:tcPr>
            <w:tcW w:w="4272" w:type="dxa"/>
            <w:shd w:val="clear" w:color="auto" w:fill="auto"/>
          </w:tcPr>
          <w:p w:rsidR="001D2172" w:rsidRPr="00D7559F" w:rsidRDefault="001D2172" w:rsidP="00645BF5">
            <w:pPr>
              <w:pStyle w:val="SingleSpacing"/>
              <w:spacing w:line="240" w:lineRule="auto"/>
              <w:ind w:left="492" w:hanging="90"/>
              <w:rPr>
                <w:b/>
                <w:szCs w:val="24"/>
              </w:rPr>
            </w:pPr>
            <w:bookmarkStart w:id="1" w:name="CaseNumber"/>
            <w:bookmarkEnd w:id="1"/>
            <w:r w:rsidRPr="00D7559F">
              <w:rPr>
                <w:b/>
                <w:szCs w:val="24"/>
              </w:rPr>
              <w:t>DOCKET</w:t>
            </w:r>
            <w:r w:rsidR="00645BF5" w:rsidRPr="00D7559F">
              <w:rPr>
                <w:b/>
                <w:szCs w:val="24"/>
              </w:rPr>
              <w:t xml:space="preserve"> </w:t>
            </w:r>
            <w:r w:rsidRPr="00D7559F">
              <w:rPr>
                <w:b/>
                <w:szCs w:val="24"/>
              </w:rPr>
              <w:t>UE-144160</w:t>
            </w:r>
          </w:p>
          <w:p w:rsidR="001D2172" w:rsidRPr="00D7559F" w:rsidRDefault="001D2172" w:rsidP="00645BF5">
            <w:pPr>
              <w:pStyle w:val="SingleSpacing"/>
              <w:spacing w:line="240" w:lineRule="auto"/>
              <w:rPr>
                <w:szCs w:val="24"/>
              </w:rPr>
            </w:pPr>
          </w:p>
          <w:p w:rsidR="001D2172" w:rsidRPr="00D7559F" w:rsidRDefault="001D2172" w:rsidP="00645BF5">
            <w:pPr>
              <w:pStyle w:val="BodyText2"/>
              <w:spacing w:line="240" w:lineRule="auto"/>
              <w:ind w:left="410"/>
              <w:rPr>
                <w:bCs/>
              </w:rPr>
            </w:pPr>
          </w:p>
          <w:p w:rsidR="001D2172" w:rsidRPr="00D7559F" w:rsidRDefault="001D2172" w:rsidP="00645BF5">
            <w:pPr>
              <w:pStyle w:val="BodyText2"/>
              <w:spacing w:line="240" w:lineRule="auto"/>
              <w:ind w:left="403"/>
              <w:jc w:val="left"/>
              <w:rPr>
                <w:bCs/>
                <w:caps/>
              </w:rPr>
            </w:pPr>
            <w:r w:rsidRPr="00D7559F">
              <w:rPr>
                <w:caps/>
              </w:rPr>
              <w:t xml:space="preserve">Declaration of Brian S. Dickman </w:t>
            </w:r>
          </w:p>
        </w:tc>
      </w:tr>
    </w:tbl>
    <w:p w:rsidR="001D2172" w:rsidRPr="00D7559F" w:rsidRDefault="001D2172" w:rsidP="00645BF5">
      <w:pPr>
        <w:pStyle w:val="Heading2"/>
        <w:spacing w:line="240" w:lineRule="auto"/>
      </w:pPr>
    </w:p>
    <w:p w:rsidR="001D2172" w:rsidRPr="00D7559F" w:rsidRDefault="001D2172" w:rsidP="001D2172">
      <w:pPr>
        <w:pStyle w:val="Heading2"/>
        <w:rPr>
          <w:b w:val="0"/>
        </w:rPr>
      </w:pPr>
      <w:r w:rsidRPr="00D7559F">
        <w:rPr>
          <w:b w:val="0"/>
        </w:rPr>
        <w:t>Brian S. Dickman declares:</w:t>
      </w:r>
    </w:p>
    <w:p w:rsidR="001D2172" w:rsidRPr="00D7559F" w:rsidRDefault="001D2172" w:rsidP="000D498D">
      <w:pPr>
        <w:pStyle w:val="ListParagraph"/>
        <w:numPr>
          <w:ilvl w:val="0"/>
          <w:numId w:val="9"/>
        </w:numPr>
        <w:spacing w:line="480" w:lineRule="auto"/>
        <w:ind w:left="0" w:firstLine="720"/>
        <w:contextualSpacing w:val="0"/>
        <w:jc w:val="left"/>
      </w:pPr>
      <w:r w:rsidRPr="00D7559F">
        <w:t>My name is Brian S. Dickman.  My title is Director, Net Power Costs and Load Forecasting at PacifiCorp.  My business address is 825 NE Multnomah Street, Suite 600, Portland, Oregon 97232.</w:t>
      </w:r>
      <w:r w:rsidR="004E6B7E" w:rsidRPr="00D7559F">
        <w:t xml:space="preserve"> </w:t>
      </w:r>
    </w:p>
    <w:p w:rsidR="001D2172" w:rsidRPr="00D7559F" w:rsidRDefault="001D2172" w:rsidP="000D498D">
      <w:pPr>
        <w:pStyle w:val="ListParagraph"/>
        <w:numPr>
          <w:ilvl w:val="0"/>
          <w:numId w:val="9"/>
        </w:numPr>
        <w:spacing w:line="480" w:lineRule="auto"/>
        <w:ind w:left="0" w:firstLine="720"/>
        <w:contextualSpacing w:val="0"/>
        <w:jc w:val="left"/>
      </w:pPr>
      <w:r w:rsidRPr="00D7559F">
        <w:t>I am over the age of twenty-one, have personal knowledge of the facts set forth herein, and am competent to testify to those facts.</w:t>
      </w:r>
    </w:p>
    <w:p w:rsidR="001D2172" w:rsidRPr="00D7559F" w:rsidRDefault="001D2172" w:rsidP="000D498D">
      <w:pPr>
        <w:pStyle w:val="ListParagraph"/>
        <w:numPr>
          <w:ilvl w:val="0"/>
          <w:numId w:val="9"/>
        </w:numPr>
        <w:spacing w:line="480" w:lineRule="auto"/>
        <w:ind w:left="0" w:firstLine="720"/>
        <w:contextualSpacing w:val="0"/>
        <w:jc w:val="left"/>
        <w:rPr>
          <w:i/>
        </w:rPr>
      </w:pPr>
      <w:r w:rsidRPr="00D7559F">
        <w:t>The purpose of this declaration is to support the Schedule 37 Avoided Cost Update</w:t>
      </w:r>
      <w:r w:rsidR="00C83248" w:rsidRPr="00D7559F">
        <w:t xml:space="preserve"> (Advice 14-08)</w:t>
      </w:r>
      <w:r w:rsidRPr="00D7559F">
        <w:t xml:space="preserve"> filed by Pacific Power &amp; Light Company</w:t>
      </w:r>
      <w:r w:rsidR="00645BF5" w:rsidRPr="00D7559F">
        <w:t>, a division of PacifiCorp</w:t>
      </w:r>
      <w:r w:rsidRPr="00D7559F">
        <w:t xml:space="preserve"> (</w:t>
      </w:r>
      <w:r w:rsidR="00645BF5" w:rsidRPr="00D7559F">
        <w:t xml:space="preserve">Pacific Power </w:t>
      </w:r>
      <w:r w:rsidRPr="00D7559F">
        <w:t>or Company)</w:t>
      </w:r>
      <w:r w:rsidR="00645BF5" w:rsidRPr="00D7559F">
        <w:t>,</w:t>
      </w:r>
      <w:r w:rsidRPr="00D7559F">
        <w:t xml:space="preserve"> in this docket on December 29, 2014.  Specifically, my declaration discusses </w:t>
      </w:r>
      <w:r w:rsidR="00374535" w:rsidRPr="00D7559F">
        <w:t xml:space="preserve">the Company’s update to Schedule 37 rates and two proposed changes to the method for calculating published avoided costs in Schedule 37.  </w:t>
      </w:r>
    </w:p>
    <w:p w:rsidR="001D2172" w:rsidRPr="00D7559F" w:rsidRDefault="001D2172" w:rsidP="000D498D">
      <w:pPr>
        <w:pStyle w:val="ListParagraph"/>
        <w:spacing w:line="480" w:lineRule="auto"/>
        <w:contextualSpacing w:val="0"/>
        <w:jc w:val="left"/>
        <w:rPr>
          <w:b/>
          <w:i/>
        </w:rPr>
      </w:pPr>
      <w:r w:rsidRPr="00D7559F">
        <w:rPr>
          <w:b/>
          <w:i/>
        </w:rPr>
        <w:t>Background</w:t>
      </w:r>
    </w:p>
    <w:p w:rsidR="00C83248" w:rsidRPr="00D7559F" w:rsidRDefault="001D2172" w:rsidP="000D498D">
      <w:pPr>
        <w:pStyle w:val="ListParagraph"/>
        <w:numPr>
          <w:ilvl w:val="0"/>
          <w:numId w:val="9"/>
        </w:numPr>
        <w:spacing w:line="480" w:lineRule="auto"/>
        <w:ind w:left="0" w:firstLine="720"/>
        <w:contextualSpacing w:val="0"/>
        <w:jc w:val="left"/>
        <w:rPr>
          <w:i/>
        </w:rPr>
      </w:pPr>
      <w:r w:rsidRPr="00D7559F">
        <w:t>The Company’s</w:t>
      </w:r>
      <w:r w:rsidR="00276196" w:rsidRPr="00D7559F">
        <w:t xml:space="preserve"> standard avoided cost </w:t>
      </w:r>
      <w:r w:rsidR="007D6B89" w:rsidRPr="00D7559F">
        <w:t xml:space="preserve">prices </w:t>
      </w:r>
      <w:r w:rsidR="00276196" w:rsidRPr="00D7559F">
        <w:t xml:space="preserve">(Schedule 37) are applicable to </w:t>
      </w:r>
      <w:r w:rsidR="00645BF5" w:rsidRPr="00D7559F">
        <w:t>qualified facility (</w:t>
      </w:r>
      <w:r w:rsidR="00276196" w:rsidRPr="00D7559F">
        <w:t>QF</w:t>
      </w:r>
      <w:r w:rsidR="00645BF5" w:rsidRPr="00D7559F">
        <w:t>)</w:t>
      </w:r>
      <w:r w:rsidR="00276196" w:rsidRPr="00D7559F">
        <w:t xml:space="preserve"> projects up to 2 </w:t>
      </w:r>
      <w:r w:rsidR="00645BF5" w:rsidRPr="00D7559F">
        <w:t xml:space="preserve">megawatts </w:t>
      </w:r>
      <w:r w:rsidR="00276196" w:rsidRPr="00D7559F">
        <w:t>and are offered as fixed prices over a five-</w:t>
      </w:r>
      <w:r w:rsidR="00276196" w:rsidRPr="00D7559F">
        <w:lastRenderedPageBreak/>
        <w:t>year term.</w:t>
      </w:r>
      <w:r w:rsidR="00916263" w:rsidRPr="00A956B6">
        <w:rPr>
          <w:rStyle w:val="FootnoteReference"/>
          <w:rFonts w:ascii="Times New Roman" w:hAnsi="Times New Roman"/>
          <w:sz w:val="24"/>
        </w:rPr>
        <w:footnoteReference w:id="1"/>
      </w:r>
      <w:r w:rsidR="00276196" w:rsidRPr="00D7559F">
        <w:t xml:space="preserve">  On December 29, 2014, the Company filed Advice 14-08 to update the published Schedule 37 </w:t>
      </w:r>
      <w:r w:rsidR="007D6B89" w:rsidRPr="00D7559F">
        <w:t xml:space="preserve">prices </w:t>
      </w:r>
      <w:r w:rsidR="00276196" w:rsidRPr="00D7559F">
        <w:t xml:space="preserve">to reflect updated resource requirements and other inputs to the avoided cost calculation, including wholesale prices for natural gas and electricity.  In its filing, </w:t>
      </w:r>
      <w:r w:rsidR="00FF6267" w:rsidRPr="00D7559F">
        <w:t>the Company made two changes to Schedule 37</w:t>
      </w:r>
      <w:r w:rsidR="00C83248" w:rsidRPr="00D7559F">
        <w:t xml:space="preserve">.  First, the Company </w:t>
      </w:r>
      <w:r w:rsidR="008A0FF6" w:rsidRPr="00D7559F">
        <w:t>include</w:t>
      </w:r>
      <w:r w:rsidR="00C83248" w:rsidRPr="00D7559F">
        <w:t>d</w:t>
      </w:r>
      <w:r w:rsidR="008A0FF6" w:rsidRPr="00D7559F">
        <w:t xml:space="preserve"> a charge </w:t>
      </w:r>
      <w:r w:rsidR="00C83248" w:rsidRPr="00D7559F">
        <w:t xml:space="preserve">to reflect the costs associated with </w:t>
      </w:r>
      <w:r w:rsidR="00FF6267" w:rsidRPr="00D7559F">
        <w:t>integrat</w:t>
      </w:r>
      <w:r w:rsidR="00C83248" w:rsidRPr="00D7559F">
        <w:t>ing</w:t>
      </w:r>
      <w:r w:rsidR="008A0FF6" w:rsidRPr="00D7559F">
        <w:t xml:space="preserve"> </w:t>
      </w:r>
      <w:r w:rsidR="00FF6267" w:rsidRPr="00D7559F">
        <w:t>intermittent QF generation</w:t>
      </w:r>
      <w:r w:rsidR="00C83248" w:rsidRPr="00D7559F">
        <w:t xml:space="preserve">.  Second, the Company </w:t>
      </w:r>
      <w:r w:rsidR="00FF6267" w:rsidRPr="00D7559F">
        <w:t>eliminate</w:t>
      </w:r>
      <w:r w:rsidR="00C83248" w:rsidRPr="00D7559F">
        <w:t>d</w:t>
      </w:r>
      <w:r w:rsidR="00FF6267" w:rsidRPr="00D7559F">
        <w:t xml:space="preserve"> </w:t>
      </w:r>
      <w:r w:rsidR="00B04D72" w:rsidRPr="00D7559F">
        <w:t>payments for</w:t>
      </w:r>
      <w:r w:rsidR="008A0FF6" w:rsidRPr="00D7559F">
        <w:t xml:space="preserve"> capacity</w:t>
      </w:r>
      <w:r w:rsidR="00FF6267" w:rsidRPr="00D7559F">
        <w:t xml:space="preserve"> </w:t>
      </w:r>
      <w:r w:rsidR="00B04D72" w:rsidRPr="00D7559F">
        <w:t>b</w:t>
      </w:r>
      <w:r w:rsidR="008A0FF6" w:rsidRPr="00D7559F">
        <w:t>ased on the</w:t>
      </w:r>
      <w:r w:rsidR="00FF6267" w:rsidRPr="00D7559F">
        <w:t xml:space="preserve"> costs </w:t>
      </w:r>
      <w:r w:rsidR="008A0FF6" w:rsidRPr="00D7559F">
        <w:t>of</w:t>
      </w:r>
      <w:r w:rsidR="00FF6267" w:rsidRPr="00D7559F">
        <w:t xml:space="preserve"> simple cycle combustion turbine (SCCT)</w:t>
      </w:r>
      <w:r w:rsidR="008A0FF6" w:rsidRPr="00D7559F">
        <w:t xml:space="preserve"> </w:t>
      </w:r>
      <w:r w:rsidR="00B24626" w:rsidRPr="00D7559F">
        <w:t xml:space="preserve">consistent with the </w:t>
      </w:r>
      <w:r w:rsidR="008A0FF6" w:rsidRPr="00D7559F">
        <w:t xml:space="preserve">resource </w:t>
      </w:r>
      <w:r w:rsidR="00FF6267" w:rsidRPr="00D7559F">
        <w:t>sufficiency period</w:t>
      </w:r>
      <w:r w:rsidR="00B24626" w:rsidRPr="00D7559F">
        <w:t xml:space="preserve"> identified in the Company’s 2013 Integrated Resource Plan (IRP) Update</w:t>
      </w:r>
      <w:r w:rsidR="00FF6267" w:rsidRPr="00D7559F">
        <w:t xml:space="preserve">.  </w:t>
      </w:r>
      <w:r w:rsidR="008A0FF6" w:rsidRPr="00D7559F">
        <w:t xml:space="preserve">Following an open meeting on February 12, 2015, the </w:t>
      </w:r>
      <w:r w:rsidR="00645BF5" w:rsidRPr="00D7559F">
        <w:t>Washington Utilities and Transportation Commission (</w:t>
      </w:r>
      <w:r w:rsidR="008A0FF6" w:rsidRPr="00D7559F">
        <w:t>Commission</w:t>
      </w:r>
      <w:r w:rsidR="00645BF5" w:rsidRPr="00D7559F">
        <w:t>)</w:t>
      </w:r>
      <w:r w:rsidR="008A0FF6" w:rsidRPr="00D7559F">
        <w:t xml:space="preserve"> suspended </w:t>
      </w:r>
      <w:r w:rsidR="00645BF5" w:rsidRPr="00D7559F">
        <w:t xml:space="preserve">the Company’s </w:t>
      </w:r>
      <w:r w:rsidR="008A0FF6" w:rsidRPr="00D7559F">
        <w:t xml:space="preserve">tariff revisions and opened an investigation into the proposed integration charge and other aspects of </w:t>
      </w:r>
      <w:r w:rsidR="00645BF5" w:rsidRPr="00D7559F">
        <w:t xml:space="preserve">the </w:t>
      </w:r>
      <w:r w:rsidR="008A0FF6" w:rsidRPr="00D7559F">
        <w:t>filing.</w:t>
      </w:r>
      <w:r w:rsidR="00645BF5" w:rsidRPr="00A956B6">
        <w:rPr>
          <w:rStyle w:val="FootnoteReference"/>
          <w:rFonts w:ascii="Times New Roman" w:hAnsi="Times New Roman"/>
          <w:sz w:val="24"/>
        </w:rPr>
        <w:footnoteReference w:id="2"/>
      </w:r>
      <w:r w:rsidR="008A0FF6" w:rsidRPr="00D7559F">
        <w:t xml:space="preserve">  </w:t>
      </w:r>
    </w:p>
    <w:p w:rsidR="00C83248" w:rsidRPr="00D7559F" w:rsidRDefault="00FF6267" w:rsidP="000D498D">
      <w:pPr>
        <w:pStyle w:val="ListParagraph"/>
        <w:numPr>
          <w:ilvl w:val="0"/>
          <w:numId w:val="9"/>
        </w:numPr>
        <w:spacing w:line="480" w:lineRule="auto"/>
        <w:ind w:left="0" w:firstLine="720"/>
        <w:contextualSpacing w:val="0"/>
        <w:jc w:val="left"/>
      </w:pPr>
      <w:r w:rsidRPr="00D7559F">
        <w:t>After discussions with</w:t>
      </w:r>
      <w:r w:rsidR="008A0FF6" w:rsidRPr="00D7559F">
        <w:t xml:space="preserve"> </w:t>
      </w:r>
      <w:r w:rsidR="00645BF5" w:rsidRPr="00D7559F">
        <w:t>Commission</w:t>
      </w:r>
      <w:r w:rsidRPr="00D7559F">
        <w:t xml:space="preserve"> staff and the Renewable Energy Coalition, the Company filed </w:t>
      </w:r>
      <w:r w:rsidR="008A0FF6" w:rsidRPr="00D7559F">
        <w:t xml:space="preserve">a letter notice with the Commission </w:t>
      </w:r>
      <w:r w:rsidR="00374535" w:rsidRPr="00D7559F">
        <w:t xml:space="preserve">to </w:t>
      </w:r>
      <w:r w:rsidR="008A0FF6" w:rsidRPr="00D7559F">
        <w:t xml:space="preserve">withdraw </w:t>
      </w:r>
      <w:r w:rsidR="00C83248" w:rsidRPr="00D7559F">
        <w:t>the</w:t>
      </w:r>
      <w:r w:rsidR="008A0FF6" w:rsidRPr="00D7559F">
        <w:t xml:space="preserve"> proposed</w:t>
      </w:r>
      <w:r w:rsidR="00C83248" w:rsidRPr="00D7559F">
        <w:t xml:space="preserve"> variable generation</w:t>
      </w:r>
      <w:r w:rsidR="008A0FF6" w:rsidRPr="00D7559F">
        <w:t xml:space="preserve"> integration charges</w:t>
      </w:r>
      <w:r w:rsidR="00C83248" w:rsidRPr="00D7559F">
        <w:t xml:space="preserve"> included in Advice 14-08</w:t>
      </w:r>
      <w:r w:rsidR="008A0FF6" w:rsidRPr="00D7559F">
        <w:t xml:space="preserve">. </w:t>
      </w:r>
      <w:r w:rsidR="00645BF5" w:rsidRPr="00D7559F">
        <w:t xml:space="preserve"> </w:t>
      </w:r>
      <w:r w:rsidR="008A0FF6" w:rsidRPr="00D7559F">
        <w:t xml:space="preserve">As a result, Term and Condition No. 8 from the Company’s proposed Tariff Sheet </w:t>
      </w:r>
      <w:r w:rsidR="00645BF5" w:rsidRPr="00D7559F">
        <w:t xml:space="preserve">No. </w:t>
      </w:r>
      <w:r w:rsidR="008A0FF6" w:rsidRPr="00D7559F">
        <w:t>37.2 will no longer apply.  The Company, however, reserve</w:t>
      </w:r>
      <w:r w:rsidR="00C83248" w:rsidRPr="00D7559F">
        <w:t>d</w:t>
      </w:r>
      <w:r w:rsidR="008A0FF6" w:rsidRPr="00D7559F">
        <w:t xml:space="preserve"> the right to </w:t>
      </w:r>
      <w:r w:rsidR="00C83248" w:rsidRPr="00D7559F">
        <w:t>include</w:t>
      </w:r>
      <w:r w:rsidR="008A0FF6" w:rsidRPr="00D7559F">
        <w:t xml:space="preserve"> </w:t>
      </w:r>
      <w:r w:rsidR="00C83248" w:rsidRPr="00D7559F">
        <w:t xml:space="preserve">variable generation </w:t>
      </w:r>
      <w:r w:rsidR="008A0FF6" w:rsidRPr="00D7559F">
        <w:t xml:space="preserve">integration charges in its avoided costs prices at a later date in a different docket.  Upon final resolution of the issues in this docket, or at such time as the Commission orders, </w:t>
      </w:r>
      <w:r w:rsidR="00645BF5" w:rsidRPr="00D7559F">
        <w:t xml:space="preserve">the Company </w:t>
      </w:r>
      <w:r w:rsidR="008A0FF6" w:rsidRPr="00D7559F">
        <w:t>will revise its proposed Schedule 37 tariff sheets to reflect the withdrawal of the integration charges.</w:t>
      </w:r>
    </w:p>
    <w:p w:rsidR="00C83248" w:rsidRPr="00D7559F" w:rsidRDefault="008A0FF6" w:rsidP="00C83248">
      <w:pPr>
        <w:pStyle w:val="ListParagraph"/>
        <w:numPr>
          <w:ilvl w:val="0"/>
          <w:numId w:val="9"/>
        </w:numPr>
        <w:spacing w:line="480" w:lineRule="auto"/>
        <w:ind w:left="0" w:firstLine="720"/>
        <w:contextualSpacing w:val="0"/>
        <w:jc w:val="left"/>
      </w:pPr>
      <w:r w:rsidRPr="00D7559F">
        <w:t xml:space="preserve">The Company continues to support </w:t>
      </w:r>
      <w:r w:rsidR="00C83248" w:rsidRPr="00D7559F">
        <w:t>eliminating</w:t>
      </w:r>
      <w:r w:rsidRPr="00D7559F">
        <w:t xml:space="preserve"> SCCT costs </w:t>
      </w:r>
      <w:r w:rsidR="00C83248" w:rsidRPr="00D7559F">
        <w:t xml:space="preserve">in Schedule 37 prices </w:t>
      </w:r>
      <w:r w:rsidRPr="00D7559F">
        <w:t>during the resource sufficiency period</w:t>
      </w:r>
      <w:r w:rsidR="00B24626" w:rsidRPr="00D7559F">
        <w:t xml:space="preserve"> as identified in the 2013 IRP Update</w:t>
      </w:r>
      <w:r w:rsidRPr="00D7559F">
        <w:t xml:space="preserve">.  In order </w:t>
      </w:r>
      <w:r w:rsidRPr="00D7559F">
        <w:lastRenderedPageBreak/>
        <w:t xml:space="preserve">to maintain the ratepayer indifference objective mandated by </w:t>
      </w:r>
      <w:r w:rsidR="00645BF5" w:rsidRPr="00D7559F">
        <w:t>the Public Utility Regulatory Policies Act of 1978 (</w:t>
      </w:r>
      <w:r w:rsidRPr="00D7559F">
        <w:t>PURPA</w:t>
      </w:r>
      <w:r w:rsidR="00645BF5" w:rsidRPr="00D7559F">
        <w:t>)</w:t>
      </w:r>
      <w:r w:rsidRPr="00D7559F">
        <w:t xml:space="preserve">, deferred capacity costs must be included in avoided costs in a manner consistent with the Company’s resource procurement plans identified in </w:t>
      </w:r>
      <w:r w:rsidR="00B24626" w:rsidRPr="00D7559F">
        <w:t xml:space="preserve">its </w:t>
      </w:r>
      <w:r w:rsidRPr="00D7559F">
        <w:t>IRP.</w:t>
      </w:r>
      <w:r w:rsidR="00BE7870" w:rsidRPr="00D7559F">
        <w:t xml:space="preserve"> </w:t>
      </w:r>
      <w:r w:rsidR="00645BF5" w:rsidRPr="00D7559F">
        <w:t xml:space="preserve"> </w:t>
      </w:r>
      <w:r w:rsidR="00BE7870" w:rsidRPr="00D7559F">
        <w:t>Specifically, the fixed costs of a displaced generating unit should only be included in avoided costs to the extent and when such generating unit can actually be avoided by the Company.</w:t>
      </w:r>
      <w:r w:rsidRPr="00D7559F">
        <w:t xml:space="preserve">  </w:t>
      </w:r>
      <w:r w:rsidR="005971BC" w:rsidRPr="00D7559F">
        <w:t>Without the proposed change to the Schedule 37 method, retail customers will pay prices for QFs that are higher than the avoided cost of energy and capacity from other sources.</w:t>
      </w:r>
    </w:p>
    <w:p w:rsidR="00C83248" w:rsidRPr="00D7559F" w:rsidRDefault="00C83248" w:rsidP="00C83248">
      <w:pPr>
        <w:pStyle w:val="Heading2"/>
        <w:ind w:firstLine="720"/>
        <w:jc w:val="left"/>
        <w:rPr>
          <w:i/>
        </w:rPr>
      </w:pPr>
      <w:r w:rsidRPr="00D7559F">
        <w:rPr>
          <w:i/>
        </w:rPr>
        <w:t>Avoided Cost Calculation</w:t>
      </w:r>
    </w:p>
    <w:p w:rsidR="00A54AF5" w:rsidRPr="00D7559F" w:rsidRDefault="00B04D72" w:rsidP="00C83248">
      <w:pPr>
        <w:pStyle w:val="ListParagraph"/>
        <w:numPr>
          <w:ilvl w:val="0"/>
          <w:numId w:val="9"/>
        </w:numPr>
        <w:spacing w:line="480" w:lineRule="auto"/>
        <w:ind w:left="0" w:firstLine="720"/>
        <w:contextualSpacing w:val="0"/>
        <w:jc w:val="left"/>
      </w:pPr>
      <w:r w:rsidRPr="00D7559F">
        <w:t>Schedule 37 a</w:t>
      </w:r>
      <w:r w:rsidR="008A0FF6" w:rsidRPr="00D7559F">
        <w:t>voided cost calculations a</w:t>
      </w:r>
      <w:r w:rsidR="00C83248" w:rsidRPr="00D7559F">
        <w:t>re separated into two periods: 1</w:t>
      </w:r>
      <w:r w:rsidR="008A0FF6" w:rsidRPr="00D7559F">
        <w:t xml:space="preserve">) resource </w:t>
      </w:r>
      <w:r w:rsidR="00BE7870" w:rsidRPr="00D7559F">
        <w:t>deficiency</w:t>
      </w:r>
      <w:r w:rsidR="00C83248" w:rsidRPr="00D7559F">
        <w:t>, and 2</w:t>
      </w:r>
      <w:r w:rsidR="008A0FF6" w:rsidRPr="00D7559F">
        <w:t xml:space="preserve">) resource </w:t>
      </w:r>
      <w:r w:rsidR="00BE7870" w:rsidRPr="00D7559F">
        <w:t>sufficiency</w:t>
      </w:r>
      <w:r w:rsidR="008A0FF6" w:rsidRPr="00D7559F">
        <w:t xml:space="preserve">. </w:t>
      </w:r>
      <w:r w:rsidR="00C83248" w:rsidRPr="00D7559F">
        <w:t xml:space="preserve"> </w:t>
      </w:r>
      <w:r w:rsidR="00FE6105" w:rsidRPr="00D7559F">
        <w:t xml:space="preserve">In the </w:t>
      </w:r>
      <w:r w:rsidR="00645BF5" w:rsidRPr="00D7559F">
        <w:t xml:space="preserve">Company’s tariff </w:t>
      </w:r>
      <w:r w:rsidR="00FE6105" w:rsidRPr="00D7559F">
        <w:t>filing</w:t>
      </w:r>
      <w:r w:rsidR="00C83248" w:rsidRPr="00D7559F">
        <w:t>,</w:t>
      </w:r>
      <w:r w:rsidR="00FE6105" w:rsidRPr="00D7559F">
        <w:t xml:space="preserve"> the Company </w:t>
      </w:r>
      <w:r w:rsidR="0044197E" w:rsidRPr="00D7559F">
        <w:t>relied on its</w:t>
      </w:r>
      <w:r w:rsidR="00FE6105" w:rsidRPr="00D7559F">
        <w:t xml:space="preserve"> 2013 IRP Update</w:t>
      </w:r>
      <w:r w:rsidR="0044197E" w:rsidRPr="00D7559F">
        <w:t xml:space="preserve"> to demarcate </w:t>
      </w:r>
      <w:r w:rsidR="00FE6105" w:rsidRPr="00D7559F">
        <w:t>the deficiency period</w:t>
      </w:r>
      <w:r w:rsidR="0044197E" w:rsidRPr="00D7559F">
        <w:t>, which</w:t>
      </w:r>
      <w:r w:rsidR="00FE6105" w:rsidRPr="00D7559F">
        <w:t xml:space="preserve"> begins coincident with the next major thermal resource acquisition in 202</w:t>
      </w:r>
      <w:r w:rsidR="00BE7870" w:rsidRPr="00D7559F">
        <w:t>7</w:t>
      </w:r>
      <w:r w:rsidR="00FE6105" w:rsidRPr="00D7559F">
        <w:t>.</w:t>
      </w:r>
      <w:r w:rsidR="00C83248" w:rsidRPr="00A956B6">
        <w:rPr>
          <w:rStyle w:val="FootnoteReference"/>
          <w:rFonts w:ascii="Times New Roman" w:hAnsi="Times New Roman"/>
          <w:sz w:val="24"/>
        </w:rPr>
        <w:footnoteReference w:id="3"/>
      </w:r>
      <w:r w:rsidR="00FE6105" w:rsidRPr="00D7559F">
        <w:t xml:space="preserve">   </w:t>
      </w:r>
      <w:r w:rsidR="001002D3" w:rsidRPr="00D7559F">
        <w:t xml:space="preserve">Identifying the periods of resource deficiency and sufficiency </w:t>
      </w:r>
      <w:r w:rsidR="00C52EDB" w:rsidRPr="00D7559F">
        <w:t xml:space="preserve">properly </w:t>
      </w:r>
      <w:r w:rsidR="001002D3" w:rsidRPr="00D7559F">
        <w:t xml:space="preserve">matches the avoided cost calculation with the Company’s resource planning process.  </w:t>
      </w:r>
      <w:r w:rsidR="00600A2D" w:rsidRPr="00D7559F">
        <w:t xml:space="preserve">If the Company becomes resource deficient, </w:t>
      </w:r>
      <w:r w:rsidR="00600A2D" w:rsidRPr="00D7559F">
        <w:rPr>
          <w:i/>
        </w:rPr>
        <w:t>i.e.</w:t>
      </w:r>
      <w:r w:rsidR="00600A2D" w:rsidRPr="00D7559F">
        <w:t xml:space="preserve"> a new base load thermal generator is needed, the avoided costs are set equal to the fixed and variable costs of a combined cycle combustion turbine (CCCT) from the IRP. </w:t>
      </w:r>
    </w:p>
    <w:p w:rsidR="00A54AF5" w:rsidRPr="00D7559F" w:rsidRDefault="0044197E" w:rsidP="00B37D55">
      <w:pPr>
        <w:pStyle w:val="ListParagraph"/>
        <w:numPr>
          <w:ilvl w:val="0"/>
          <w:numId w:val="9"/>
        </w:numPr>
        <w:spacing w:line="480" w:lineRule="auto"/>
        <w:ind w:left="0" w:firstLine="720"/>
        <w:contextualSpacing w:val="0"/>
        <w:jc w:val="left"/>
      </w:pPr>
      <w:r w:rsidRPr="00D7559F">
        <w:t>For</w:t>
      </w:r>
      <w:r w:rsidR="00FE6105" w:rsidRPr="00D7559F">
        <w:t xml:space="preserve"> current </w:t>
      </w:r>
      <w:r w:rsidR="007D6B89" w:rsidRPr="00D7559F">
        <w:t>prices</w:t>
      </w:r>
      <w:r w:rsidR="00B37D55" w:rsidRPr="00D7559F">
        <w:t>,</w:t>
      </w:r>
      <w:r w:rsidR="00FE6105" w:rsidRPr="00D7559F">
        <w:t xml:space="preserve"> the deficiency period did not occur until 2024</w:t>
      </w:r>
      <w:r w:rsidR="005A5484" w:rsidRPr="00D7559F">
        <w:t xml:space="preserve"> and</w:t>
      </w:r>
      <w:r w:rsidR="00FE6105" w:rsidRPr="00D7559F">
        <w:t>, therefore</w:t>
      </w:r>
      <w:r w:rsidR="005A5484" w:rsidRPr="00D7559F">
        <w:t>,</w:t>
      </w:r>
      <w:r w:rsidR="00FE6105" w:rsidRPr="00D7559F">
        <w:t xml:space="preserve"> </w:t>
      </w:r>
      <w:r w:rsidR="005A5484" w:rsidRPr="00D7559F">
        <w:t xml:space="preserve">the effective </w:t>
      </w:r>
      <w:r w:rsidR="007D6B89" w:rsidRPr="00D7559F">
        <w:t xml:space="preserve">prices </w:t>
      </w:r>
      <w:r w:rsidR="005A5484" w:rsidRPr="00D7559F">
        <w:t xml:space="preserve">reflect </w:t>
      </w:r>
      <w:r w:rsidR="00FE6105" w:rsidRPr="00D7559F">
        <w:t>only sufficiency period avoided costs.</w:t>
      </w:r>
      <w:r w:rsidR="005A5484" w:rsidRPr="00D7559F">
        <w:t xml:space="preserve">  Similarly, </w:t>
      </w:r>
      <w:r w:rsidRPr="00D7559F">
        <w:t xml:space="preserve">in </w:t>
      </w:r>
      <w:r w:rsidR="00A0474D" w:rsidRPr="00D7559F">
        <w:t>the analysis supporting the Company’s proposed prices,</w:t>
      </w:r>
      <w:r w:rsidRPr="00D7559F">
        <w:t xml:space="preserve"> </w:t>
      </w:r>
      <w:r w:rsidR="005A5484" w:rsidRPr="00D7559F">
        <w:t xml:space="preserve">the Company is not resource deficient until 2027, </w:t>
      </w:r>
      <w:r w:rsidR="00A0474D" w:rsidRPr="00D7559F">
        <w:t xml:space="preserve">which is </w:t>
      </w:r>
      <w:r w:rsidR="005A5484" w:rsidRPr="00D7559F">
        <w:t>beyond the published price horizon.</w:t>
      </w:r>
      <w:r w:rsidR="005A5484" w:rsidRPr="00A956B6">
        <w:rPr>
          <w:rStyle w:val="FootnoteReference"/>
          <w:rFonts w:ascii="Times New Roman" w:hAnsi="Times New Roman"/>
          <w:sz w:val="24"/>
        </w:rPr>
        <w:footnoteReference w:id="4"/>
      </w:r>
      <w:r w:rsidR="005A5484" w:rsidRPr="00D7559F">
        <w:t xml:space="preserve"> </w:t>
      </w:r>
      <w:r w:rsidR="00A0474D" w:rsidRPr="00D7559F">
        <w:t xml:space="preserve"> </w:t>
      </w:r>
      <w:r w:rsidR="00B37D55" w:rsidRPr="00D7559F">
        <w:t>Therefore, a</w:t>
      </w:r>
      <w:r w:rsidRPr="00D7559F">
        <w:t xml:space="preserve">voided cost </w:t>
      </w:r>
      <w:r w:rsidR="007D6B89" w:rsidRPr="00D7559F">
        <w:t xml:space="preserve">prices </w:t>
      </w:r>
      <w:r w:rsidRPr="00D7559F">
        <w:t xml:space="preserve">for a QF that are determined and fixed for periods prior to 2027 </w:t>
      </w:r>
      <w:r w:rsidR="00600A2D" w:rsidRPr="00D7559F">
        <w:t xml:space="preserve">fall entirely within the period of </w:t>
      </w:r>
      <w:r w:rsidR="00600A2D" w:rsidRPr="00D7559F">
        <w:lastRenderedPageBreak/>
        <w:t>resource sufficiency.</w:t>
      </w:r>
    </w:p>
    <w:p w:rsidR="00BB4E43" w:rsidRPr="00D7559F" w:rsidRDefault="008A0FF6" w:rsidP="00B37D55">
      <w:pPr>
        <w:pStyle w:val="ListParagraph"/>
        <w:numPr>
          <w:ilvl w:val="0"/>
          <w:numId w:val="9"/>
        </w:numPr>
        <w:spacing w:line="480" w:lineRule="auto"/>
        <w:ind w:left="0" w:firstLine="720"/>
        <w:contextualSpacing w:val="0"/>
        <w:jc w:val="left"/>
      </w:pPr>
      <w:r w:rsidRPr="00D7559F">
        <w:t xml:space="preserve">Avoided costs </w:t>
      </w:r>
      <w:r w:rsidR="00916263" w:rsidRPr="00D7559F">
        <w:t xml:space="preserve">during the sufficiency period </w:t>
      </w:r>
      <w:r w:rsidRPr="00D7559F">
        <w:t xml:space="preserve">are based on </w:t>
      </w:r>
      <w:r w:rsidR="0023280B" w:rsidRPr="00D7559F">
        <w:t xml:space="preserve">the Company’s Generation and Regulation Initiative Decision </w:t>
      </w:r>
      <w:r w:rsidR="0023280B">
        <w:t xml:space="preserve">model (GRID) using </w:t>
      </w:r>
      <w:r w:rsidR="00916263" w:rsidRPr="00D7559F">
        <w:t xml:space="preserve">two </w:t>
      </w:r>
      <w:r w:rsidRPr="00D7559F">
        <w:t xml:space="preserve">runs </w:t>
      </w:r>
      <w:r w:rsidR="00916263" w:rsidRPr="00D7559F">
        <w:t xml:space="preserve">simulating </w:t>
      </w:r>
      <w:r w:rsidR="00600A2D" w:rsidRPr="00D7559F">
        <w:t xml:space="preserve">the </w:t>
      </w:r>
      <w:r w:rsidR="00916263" w:rsidRPr="00D7559F">
        <w:t>dispatch</w:t>
      </w:r>
      <w:r w:rsidR="00600A2D" w:rsidRPr="00D7559F">
        <w:t xml:space="preserve"> of resources in the Company’s west control area</w:t>
      </w:r>
      <w:r w:rsidR="005971BC" w:rsidRPr="00D7559F">
        <w:t xml:space="preserve">: one </w:t>
      </w:r>
      <w:r w:rsidR="00600A2D" w:rsidRPr="00D7559F">
        <w:t xml:space="preserve">scenario </w:t>
      </w:r>
      <w:r w:rsidRPr="00D7559F">
        <w:t>without any new resources and one with an additional generic 50 average megawatt resource included at zero cost.</w:t>
      </w:r>
      <w:r w:rsidR="00A0474D" w:rsidRPr="00D7559F">
        <w:t xml:space="preserve"> </w:t>
      </w:r>
      <w:r w:rsidRPr="00D7559F">
        <w:t xml:space="preserve"> </w:t>
      </w:r>
      <w:r w:rsidR="005971BC" w:rsidRPr="00D7559F">
        <w:t xml:space="preserve">The difference in net power costs between the two runs is the avoided cost.  </w:t>
      </w:r>
      <w:r w:rsidR="00647336" w:rsidRPr="00D7559F">
        <w:t xml:space="preserve">Including zero-cost energy in the GRID model causes a </w:t>
      </w:r>
      <w:proofErr w:type="spellStart"/>
      <w:r w:rsidR="00647336" w:rsidRPr="00D7559F">
        <w:t>redispatch</w:t>
      </w:r>
      <w:proofErr w:type="spellEnd"/>
      <w:r w:rsidR="00647336" w:rsidRPr="00D7559F">
        <w:t xml:space="preserve"> of the system as the highest incremental cost resources are displaced to accommodate the additional energy.  Avoided costs result from a combination of reduced wholesale market purchases (or increased market sales in some hours) and reduced generation from the Company’s </w:t>
      </w:r>
      <w:proofErr w:type="spellStart"/>
      <w:r w:rsidR="00647336" w:rsidRPr="00D7559F">
        <w:t>dispatchable</w:t>
      </w:r>
      <w:proofErr w:type="spellEnd"/>
      <w:r w:rsidR="00647336" w:rsidRPr="00D7559F">
        <w:t xml:space="preserve"> thermal units.  </w:t>
      </w:r>
    </w:p>
    <w:p w:rsidR="00BB4E43" w:rsidRPr="00D7559F" w:rsidRDefault="00B04D72" w:rsidP="00B37D55">
      <w:pPr>
        <w:pStyle w:val="ListParagraph"/>
        <w:numPr>
          <w:ilvl w:val="0"/>
          <w:numId w:val="9"/>
        </w:numPr>
        <w:spacing w:line="480" w:lineRule="auto"/>
        <w:ind w:left="0" w:firstLine="720"/>
        <w:contextualSpacing w:val="0"/>
        <w:jc w:val="left"/>
      </w:pPr>
      <w:r w:rsidRPr="00D7559F">
        <w:t>In the past, c</w:t>
      </w:r>
      <w:r w:rsidR="008A0FF6" w:rsidRPr="00D7559F">
        <w:t xml:space="preserve">apacity payments have </w:t>
      </w:r>
      <w:r w:rsidRPr="00D7559F">
        <w:t xml:space="preserve">also </w:t>
      </w:r>
      <w:r w:rsidR="008A0FF6" w:rsidRPr="00D7559F">
        <w:t xml:space="preserve">been </w:t>
      </w:r>
      <w:r w:rsidR="00916263" w:rsidRPr="00D7559F">
        <w:t xml:space="preserve">included during the sufficiency period </w:t>
      </w:r>
      <w:r w:rsidR="008A0FF6" w:rsidRPr="00D7559F">
        <w:t xml:space="preserve">based on the fixed costs of a SCCT for three months each year (i.e. one-fourth of the </w:t>
      </w:r>
      <w:r w:rsidR="00001E2C" w:rsidRPr="00D7559F">
        <w:t>fixed</w:t>
      </w:r>
      <w:r w:rsidR="008A0FF6" w:rsidRPr="00D7559F">
        <w:t xml:space="preserve"> cost of an SCCT</w:t>
      </w:r>
      <w:r w:rsidR="00916263" w:rsidRPr="00D7559F">
        <w:t xml:space="preserve"> was included </w:t>
      </w:r>
      <w:r w:rsidR="00001E2C" w:rsidRPr="00D7559F">
        <w:t>as a capacity payment annually</w:t>
      </w:r>
      <w:r w:rsidR="008A0FF6" w:rsidRPr="00D7559F">
        <w:t>)</w:t>
      </w:r>
      <w:r w:rsidR="00916263" w:rsidRPr="00D7559F">
        <w:t>, implying that the Company would incur such costs to meet capacity needs during periods of peak load</w:t>
      </w:r>
      <w:r w:rsidR="00600A2D" w:rsidRPr="00D7559F">
        <w:t xml:space="preserve"> absent the QF generation</w:t>
      </w:r>
      <w:r w:rsidR="008A0FF6" w:rsidRPr="00D7559F">
        <w:t>.</w:t>
      </w:r>
      <w:r w:rsidR="00916263" w:rsidRPr="00D7559F">
        <w:t xml:space="preserve">  However, as demonstrated in the Company’s </w:t>
      </w:r>
      <w:r w:rsidR="007D6B89" w:rsidRPr="00D7559F">
        <w:t xml:space="preserve">2013 </w:t>
      </w:r>
      <w:r w:rsidR="00916263" w:rsidRPr="00D7559F">
        <w:t>IRP</w:t>
      </w:r>
      <w:r w:rsidR="007D6B89" w:rsidRPr="00D7559F">
        <w:t xml:space="preserve"> </w:t>
      </w:r>
      <w:r w:rsidR="00AA5BD3" w:rsidRPr="00D7559F">
        <w:t>U</w:t>
      </w:r>
      <w:r w:rsidR="007D6B89" w:rsidRPr="00D7559F">
        <w:t>pdate</w:t>
      </w:r>
      <w:r w:rsidR="00916263" w:rsidRPr="00D7559F">
        <w:t xml:space="preserve">, </w:t>
      </w:r>
      <w:r w:rsidR="007D6B89" w:rsidRPr="00D7559F">
        <w:t>the Company does not need</w:t>
      </w:r>
      <w:r w:rsidR="00916263" w:rsidRPr="00D7559F">
        <w:t xml:space="preserve"> to acquire </w:t>
      </w:r>
      <w:r w:rsidR="0023280B">
        <w:t xml:space="preserve">a </w:t>
      </w:r>
      <w:r w:rsidR="005971BC" w:rsidRPr="00D7559F">
        <w:t xml:space="preserve">thermal </w:t>
      </w:r>
      <w:r w:rsidR="00916263" w:rsidRPr="00D7559F">
        <w:t>generating resource until 2027 at the earliest</w:t>
      </w:r>
      <w:r w:rsidR="00BB4E43" w:rsidRPr="00D7559F">
        <w:t xml:space="preserve">; therefore, QFs receiving </w:t>
      </w:r>
      <w:r w:rsidR="009437DA" w:rsidRPr="00D7559F">
        <w:t xml:space="preserve">the proposed </w:t>
      </w:r>
      <w:r w:rsidR="00BB4E43" w:rsidRPr="00D7559F">
        <w:t xml:space="preserve">Schedule 37 pricing </w:t>
      </w:r>
      <w:r w:rsidR="009437DA" w:rsidRPr="00D7559F">
        <w:t xml:space="preserve">will </w:t>
      </w:r>
      <w:r w:rsidR="00BB4E43" w:rsidRPr="00D7559F">
        <w:t xml:space="preserve">not </w:t>
      </w:r>
      <w:r w:rsidR="00AA5BD3" w:rsidRPr="00D7559F">
        <w:t xml:space="preserve">be </w:t>
      </w:r>
      <w:r w:rsidR="00BB4E43" w:rsidRPr="00D7559F">
        <w:t>avoiding SCCT capacity costs</w:t>
      </w:r>
      <w:r w:rsidR="00916263" w:rsidRPr="00D7559F">
        <w:t>.</w:t>
      </w:r>
      <w:r w:rsidR="00126548" w:rsidRPr="00A956B6">
        <w:rPr>
          <w:rStyle w:val="FootnoteReference"/>
          <w:rFonts w:ascii="Times New Roman" w:hAnsi="Times New Roman"/>
          <w:sz w:val="24"/>
        </w:rPr>
        <w:footnoteReference w:id="5"/>
      </w:r>
      <w:r w:rsidR="00916263" w:rsidRPr="00D7559F">
        <w:t xml:space="preserve">  </w:t>
      </w:r>
    </w:p>
    <w:p w:rsidR="00BB4E43" w:rsidRPr="00D7559F" w:rsidRDefault="00BB4E43" w:rsidP="009437DA">
      <w:pPr>
        <w:pStyle w:val="Heading2"/>
        <w:ind w:firstLine="720"/>
        <w:jc w:val="left"/>
        <w:rPr>
          <w:i/>
        </w:rPr>
      </w:pPr>
      <w:r w:rsidRPr="00D7559F">
        <w:rPr>
          <w:i/>
        </w:rPr>
        <w:t>Avoidable Capacity Costs</w:t>
      </w:r>
    </w:p>
    <w:p w:rsidR="00BB4E43" w:rsidRPr="00D7559F" w:rsidRDefault="00126548" w:rsidP="009437DA">
      <w:pPr>
        <w:pStyle w:val="ListParagraph"/>
        <w:numPr>
          <w:ilvl w:val="0"/>
          <w:numId w:val="9"/>
        </w:numPr>
        <w:spacing w:line="480" w:lineRule="auto"/>
        <w:ind w:left="0" w:firstLine="720"/>
        <w:contextualSpacing w:val="0"/>
        <w:jc w:val="left"/>
      </w:pPr>
      <w:r w:rsidRPr="00D7559F">
        <w:t>Before</w:t>
      </w:r>
      <w:r w:rsidR="00001E2C" w:rsidRPr="00D7559F">
        <w:t xml:space="preserve"> 2027</w:t>
      </w:r>
      <w:r w:rsidR="00916263" w:rsidRPr="00D7559F">
        <w:t xml:space="preserve">, </w:t>
      </w:r>
      <w:r w:rsidR="00001E2C" w:rsidRPr="00D7559F">
        <w:t>the Company</w:t>
      </w:r>
      <w:r w:rsidR="00916263" w:rsidRPr="00D7559F">
        <w:t xml:space="preserve"> relies on front office transactions (FOTs), </w:t>
      </w:r>
      <w:r w:rsidRPr="00D7559F">
        <w:t xml:space="preserve">which are representative of </w:t>
      </w:r>
      <w:r w:rsidR="005971BC" w:rsidRPr="00D7559F">
        <w:t>short</w:t>
      </w:r>
      <w:r w:rsidR="00AA5BD3" w:rsidRPr="00D7559F">
        <w:t>-</w:t>
      </w:r>
      <w:r w:rsidR="005971BC" w:rsidRPr="00D7559F">
        <w:t xml:space="preserve">term </w:t>
      </w:r>
      <w:r w:rsidR="00916263" w:rsidRPr="00D7559F">
        <w:t xml:space="preserve">wholesale market purchases, </w:t>
      </w:r>
      <w:r w:rsidR="00BC31EC" w:rsidRPr="00D7559F">
        <w:t>to balance the Company’s capacity needs</w:t>
      </w:r>
      <w:r w:rsidR="00916263" w:rsidRPr="00D7559F">
        <w:t xml:space="preserve">.  </w:t>
      </w:r>
      <w:r w:rsidR="00F71968" w:rsidRPr="00D7559F">
        <w:t>During the resource sufficiency period, s</w:t>
      </w:r>
      <w:r w:rsidR="00394EBC" w:rsidRPr="00D7559F">
        <w:t xml:space="preserve">hort-term firm market purchases </w:t>
      </w:r>
      <w:r w:rsidR="00394EBC" w:rsidRPr="00D7559F">
        <w:lastRenderedPageBreak/>
        <w:t xml:space="preserve">contribute to meeting PacifiCorp’s firm obligation inclusive of a 13 percent planning reserve margin, which ensures the Company has sufficient capacity to maintain reliability at a reasonable cost. </w:t>
      </w:r>
      <w:r w:rsidR="00944E6F" w:rsidRPr="00D7559F">
        <w:t xml:space="preserve"> </w:t>
      </w:r>
      <w:r w:rsidR="00EB3BD2" w:rsidRPr="00D7559F">
        <w:t>For example, i</w:t>
      </w:r>
      <w:r w:rsidR="00394EBC" w:rsidRPr="00D7559F">
        <w:t xml:space="preserve">n the 2013 IRP Update </w:t>
      </w:r>
      <w:r w:rsidR="00F71968" w:rsidRPr="00D7559F">
        <w:t>FOTs</w:t>
      </w:r>
      <w:r w:rsidR="00394EBC" w:rsidRPr="00D7559F">
        <w:t xml:space="preserve"> rise to over 1,400 megawatts in 202</w:t>
      </w:r>
      <w:r w:rsidR="00944E6F" w:rsidRPr="00D7559F">
        <w:t>6</w:t>
      </w:r>
      <w:r w:rsidR="00394EBC" w:rsidRPr="00D7559F">
        <w:t xml:space="preserve">, the last year before a new major thermal resource is added.  </w:t>
      </w:r>
      <w:r w:rsidR="009437DA" w:rsidRPr="00D7559F">
        <w:t>Including SCCT</w:t>
      </w:r>
      <w:r w:rsidR="00EB3BD2" w:rsidRPr="00D7559F">
        <w:t xml:space="preserve"> costs in Schedule 37 is </w:t>
      </w:r>
      <w:r w:rsidR="009437DA" w:rsidRPr="00D7559F">
        <w:t>in</w:t>
      </w:r>
      <w:r w:rsidR="00EB3BD2" w:rsidRPr="00D7559F">
        <w:t xml:space="preserve">consistent with the Company’s resource </w:t>
      </w:r>
      <w:r w:rsidRPr="00D7559F">
        <w:t>needs</w:t>
      </w:r>
      <w:r w:rsidR="00EB3BD2" w:rsidRPr="00D7559F">
        <w:t xml:space="preserve"> and does not represent costs that can actually be deferred by the addition of a QF with a fixed</w:t>
      </w:r>
      <w:r w:rsidR="009437DA" w:rsidRPr="00D7559F">
        <w:t>-</w:t>
      </w:r>
      <w:r w:rsidR="00EB3BD2" w:rsidRPr="00D7559F">
        <w:t xml:space="preserve">price contract lasting five years.  </w:t>
      </w:r>
    </w:p>
    <w:p w:rsidR="00F71968" w:rsidRPr="00D7559F" w:rsidRDefault="00F71968" w:rsidP="009437DA">
      <w:pPr>
        <w:pStyle w:val="ListParagraph"/>
        <w:numPr>
          <w:ilvl w:val="0"/>
          <w:numId w:val="9"/>
        </w:numPr>
        <w:spacing w:line="480" w:lineRule="auto"/>
        <w:ind w:left="0" w:firstLine="720"/>
        <w:contextualSpacing w:val="0"/>
        <w:jc w:val="left"/>
      </w:pPr>
      <w:r w:rsidRPr="00D7559F">
        <w:t xml:space="preserve">Using the </w:t>
      </w:r>
      <w:r w:rsidR="00A0474D" w:rsidRPr="00D7559F">
        <w:t xml:space="preserve">Company’s </w:t>
      </w:r>
      <w:r w:rsidR="00A44775">
        <w:t>GRID</w:t>
      </w:r>
      <w:r w:rsidRPr="00D7559F">
        <w:t xml:space="preserve"> model to calculate sufficiency period avoided costs captures the impact of QF generation displacing short-term market transactions.  The following table provides the results of the GRID run used in the Company’s filing, and shows that the modeled avoided costs during the sufficiency period are based on approximately 99 percent market transactions and approximately 1 percent reduced thermal generation.    </w:t>
      </w:r>
    </w:p>
    <w:p w:rsidR="00F71968" w:rsidRPr="00D7559F" w:rsidRDefault="00F71968" w:rsidP="00F71968">
      <w:pPr>
        <w:spacing w:line="480" w:lineRule="auto"/>
        <w:jc w:val="center"/>
      </w:pPr>
      <w:r w:rsidRPr="00A956B6">
        <w:rPr>
          <w:noProof/>
        </w:rPr>
        <w:drawing>
          <wp:inline distT="0" distB="0" distL="0" distR="0" wp14:anchorId="3D61CB5E" wp14:editId="6BC3A0D3">
            <wp:extent cx="5943600" cy="11329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32973"/>
                    </a:xfrm>
                    <a:prstGeom prst="rect">
                      <a:avLst/>
                    </a:prstGeom>
                    <a:noFill/>
                    <a:ln>
                      <a:noFill/>
                    </a:ln>
                  </pic:spPr>
                </pic:pic>
              </a:graphicData>
            </a:graphic>
          </wp:inline>
        </w:drawing>
      </w:r>
    </w:p>
    <w:p w:rsidR="004F621E" w:rsidRPr="00D7559F" w:rsidRDefault="004F621E" w:rsidP="009437DA">
      <w:pPr>
        <w:spacing w:line="480" w:lineRule="auto"/>
        <w:jc w:val="left"/>
      </w:pPr>
      <w:r w:rsidRPr="00D7559F">
        <w:t>Including displacement of market transactions during the sufficiency period treats firm market purchases as the avoided capacity resource, which is consistent with the use of firm market purchases in meeting the Company’s capacity needs in its IRP.</w:t>
      </w:r>
    </w:p>
    <w:p w:rsidR="009437DA" w:rsidRPr="00D7559F" w:rsidRDefault="001E46D5" w:rsidP="009437DA">
      <w:pPr>
        <w:pStyle w:val="ListParagraph"/>
        <w:numPr>
          <w:ilvl w:val="0"/>
          <w:numId w:val="9"/>
        </w:numPr>
        <w:spacing w:line="480" w:lineRule="auto"/>
        <w:ind w:left="0" w:firstLine="720"/>
        <w:jc w:val="left"/>
      </w:pPr>
      <w:r w:rsidRPr="00D7559F">
        <w:t xml:space="preserve">Other states served by the Company have recently addressed, or are currently reviewing, the calculation of the Company’s sufficiency period avoided cost </w:t>
      </w:r>
      <w:r w:rsidR="007D6B89" w:rsidRPr="00D7559F">
        <w:t>prices</w:t>
      </w:r>
      <w:r w:rsidRPr="00D7559F">
        <w:t xml:space="preserve">.  </w:t>
      </w:r>
      <w:r w:rsidR="001B4743">
        <w:t>On May </w:t>
      </w:r>
      <w:r w:rsidR="00791401" w:rsidRPr="00D7559F">
        <w:t xml:space="preserve">12, 2015, the Wyoming Public Service Commission approved updated Schedule 37 prices including the same change to eliminate </w:t>
      </w:r>
      <w:r w:rsidR="001423BD" w:rsidRPr="00D7559F">
        <w:t xml:space="preserve">the payment of SCCT fixed costs during the </w:t>
      </w:r>
      <w:r w:rsidR="001423BD" w:rsidRPr="00D7559F">
        <w:lastRenderedPageBreak/>
        <w:t>sufficiency period as</w:t>
      </w:r>
      <w:r w:rsidR="00791401" w:rsidRPr="00D7559F">
        <w:t xml:space="preserve"> proposed by the Company in Advice 14-08</w:t>
      </w:r>
      <w:r w:rsidR="001423BD" w:rsidRPr="00D7559F">
        <w:t>.</w:t>
      </w:r>
      <w:r w:rsidR="009437DA" w:rsidRPr="00A956B6">
        <w:rPr>
          <w:rStyle w:val="FootnoteReference"/>
          <w:rFonts w:ascii="Times New Roman" w:hAnsi="Times New Roman"/>
          <w:sz w:val="24"/>
        </w:rPr>
        <w:footnoteReference w:id="6"/>
      </w:r>
      <w:r w:rsidR="001423BD" w:rsidRPr="00D7559F">
        <w:t xml:space="preserve">  </w:t>
      </w:r>
    </w:p>
    <w:p w:rsidR="00AA5BD3" w:rsidRPr="00D7559F" w:rsidRDefault="001423BD" w:rsidP="009437DA">
      <w:pPr>
        <w:pStyle w:val="ListParagraph"/>
        <w:numPr>
          <w:ilvl w:val="0"/>
          <w:numId w:val="9"/>
        </w:numPr>
        <w:spacing w:line="480" w:lineRule="auto"/>
        <w:ind w:left="0" w:firstLine="720"/>
        <w:jc w:val="left"/>
      </w:pPr>
      <w:r w:rsidRPr="00D7559F">
        <w:t xml:space="preserve">In Utah the Company proposed to eliminate SCCT costs from the sufficiency period in its May 7, 2014 filing to update Schedule 37 </w:t>
      </w:r>
      <w:r w:rsidR="007D6B89" w:rsidRPr="00D7559F">
        <w:t>prices</w:t>
      </w:r>
      <w:r w:rsidRPr="00D7559F">
        <w:t xml:space="preserve">.  The </w:t>
      </w:r>
      <w:r w:rsidR="00A0474D" w:rsidRPr="00D7559F">
        <w:t xml:space="preserve">Utah Public Service </w:t>
      </w:r>
      <w:r w:rsidRPr="00D7559F">
        <w:t xml:space="preserve">Commission initially adopted the Company’s proposal, but reversed its decision </w:t>
      </w:r>
      <w:r w:rsidR="0023280B">
        <w:t>and directed the Company to provide additional evidence supporting the change in its next Schedule 37 update</w:t>
      </w:r>
      <w:r w:rsidRPr="00D7559F">
        <w:t>.</w:t>
      </w:r>
      <w:r w:rsidR="00A337D6" w:rsidRPr="00A956B6">
        <w:rPr>
          <w:rStyle w:val="FootnoteReference"/>
          <w:rFonts w:ascii="Times New Roman" w:hAnsi="Times New Roman"/>
          <w:sz w:val="24"/>
        </w:rPr>
        <w:t xml:space="preserve"> </w:t>
      </w:r>
      <w:r w:rsidR="00A337D6" w:rsidRPr="0023280B">
        <w:rPr>
          <w:rStyle w:val="FootnoteReference"/>
          <w:rFonts w:ascii="Times New Roman" w:hAnsi="Times New Roman"/>
          <w:sz w:val="24"/>
        </w:rPr>
        <w:footnoteReference w:id="7"/>
      </w:r>
      <w:r w:rsidRPr="00D7559F">
        <w:t xml:space="preserve">  </w:t>
      </w:r>
      <w:r w:rsidR="006275BF" w:rsidRPr="00D7559F">
        <w:t xml:space="preserve">The Company made its next filing </w:t>
      </w:r>
      <w:r w:rsidR="009437DA" w:rsidRPr="00D7559F">
        <w:t xml:space="preserve">on </w:t>
      </w:r>
      <w:r w:rsidR="006275BF" w:rsidRPr="00D7559F">
        <w:t xml:space="preserve">April 30, 2015, again supporting the elimination of SCCT costs in the sufficiency period.  That filing is currently under review by the Utah Public Service Commission. </w:t>
      </w:r>
    </w:p>
    <w:p w:rsidR="00812C15" w:rsidRPr="00D7559F" w:rsidRDefault="006275BF" w:rsidP="009437DA">
      <w:pPr>
        <w:pStyle w:val="ListParagraph"/>
        <w:numPr>
          <w:ilvl w:val="0"/>
          <w:numId w:val="9"/>
        </w:numPr>
        <w:spacing w:line="480" w:lineRule="auto"/>
        <w:ind w:left="0" w:firstLine="720"/>
        <w:jc w:val="left"/>
      </w:pPr>
      <w:r w:rsidRPr="00D7559F">
        <w:t xml:space="preserve">In Oregon, </w:t>
      </w:r>
      <w:r w:rsidR="00AA5BD3" w:rsidRPr="00D7559F">
        <w:t>Schedule 37 prices</w:t>
      </w:r>
      <w:r w:rsidRPr="00D7559F">
        <w:t xml:space="preserve"> are set equal to </w:t>
      </w:r>
      <w:r w:rsidR="00AA5BD3" w:rsidRPr="00D7559F">
        <w:t xml:space="preserve">projected </w:t>
      </w:r>
      <w:r w:rsidRPr="00D7559F">
        <w:t>wholesale market prices during the sufficiency period</w:t>
      </w:r>
      <w:r w:rsidR="00AA5BD3" w:rsidRPr="00D7559F">
        <w:t xml:space="preserve"> with no additional imputation of SCCT fixed costs.</w:t>
      </w:r>
      <w:r w:rsidR="00A44775">
        <w:rPr>
          <w:rStyle w:val="FootnoteReference"/>
        </w:rPr>
        <w:footnoteReference w:id="8"/>
      </w:r>
      <w:r w:rsidR="00AA5BD3" w:rsidRPr="00D7559F">
        <w:t xml:space="preserve">  The determination of sufficiency period avoided cost prices </w:t>
      </w:r>
      <w:r w:rsidRPr="00D7559F">
        <w:t>is currently under review by the Public Utilit</w:t>
      </w:r>
      <w:r w:rsidR="00AA5BD3" w:rsidRPr="00D7559F">
        <w:t>y</w:t>
      </w:r>
      <w:r w:rsidRPr="00D7559F">
        <w:t xml:space="preserve"> Commission of Oregon in docket UM 1610. </w:t>
      </w:r>
      <w:r w:rsidR="001423BD" w:rsidRPr="00D7559F">
        <w:t xml:space="preserve">  </w:t>
      </w:r>
      <w:r w:rsidR="00791401" w:rsidRPr="00D7559F">
        <w:t xml:space="preserve">  </w:t>
      </w:r>
      <w:r w:rsidR="001E46D5" w:rsidRPr="00D7559F">
        <w:t xml:space="preserve"> </w:t>
      </w:r>
    </w:p>
    <w:p w:rsidR="00BB4E43" w:rsidRPr="00D7559F" w:rsidRDefault="00BB4E43" w:rsidP="00126548">
      <w:pPr>
        <w:pStyle w:val="Heading2"/>
        <w:ind w:firstLine="720"/>
        <w:jc w:val="left"/>
        <w:rPr>
          <w:i/>
        </w:rPr>
      </w:pPr>
      <w:r w:rsidRPr="00D7559F">
        <w:rPr>
          <w:i/>
        </w:rPr>
        <w:t>Alternative Rate Design</w:t>
      </w:r>
    </w:p>
    <w:p w:rsidR="00F71968" w:rsidRPr="00D7559F" w:rsidRDefault="00F71968" w:rsidP="009437DA">
      <w:pPr>
        <w:pStyle w:val="ListParagraph"/>
        <w:numPr>
          <w:ilvl w:val="0"/>
          <w:numId w:val="9"/>
        </w:numPr>
        <w:spacing w:line="480" w:lineRule="auto"/>
        <w:ind w:left="0" w:firstLine="720"/>
        <w:jc w:val="left"/>
      </w:pPr>
      <w:r w:rsidRPr="00D7559F">
        <w:t xml:space="preserve">The Company’s proposed </w:t>
      </w:r>
      <w:r w:rsidR="00AA5BD3" w:rsidRPr="00D7559F">
        <w:t xml:space="preserve">Washington </w:t>
      </w:r>
      <w:r w:rsidRPr="00D7559F">
        <w:t xml:space="preserve">Schedule 37 </w:t>
      </w:r>
      <w:r w:rsidR="007D6B89" w:rsidRPr="00D7559F">
        <w:t xml:space="preserve">prices </w:t>
      </w:r>
      <w:r w:rsidRPr="00D7559F">
        <w:t xml:space="preserve">are equal to the avoided costs from the GRID model, including the displacement of wholesale market transactions, expressed as a flat $/MWh rate.  The </w:t>
      </w:r>
      <w:r w:rsidR="004F621E" w:rsidRPr="00D7559F">
        <w:t xml:space="preserve">previously included capacity payment based on a SCCT is set to $0.  While the result of the proposed tariff structure is that a QF will get paid a fixed price for all energy generated regardless of the time of generation, the price is an annual average that includes periods of higher avoided costs (i.e. during periods of peak demand) and lower avoided costs.  As an alternative to a flat price, to better reflect the </w:t>
      </w:r>
      <w:r w:rsidR="004F621E" w:rsidRPr="00D7559F">
        <w:lastRenderedPageBreak/>
        <w:t xml:space="preserve">value of QF generation during on- and off-peak periods, the Company is willing to </w:t>
      </w:r>
      <w:r w:rsidR="00812C15" w:rsidRPr="00D7559F">
        <w:t xml:space="preserve">revise its proposed Schedule 37 </w:t>
      </w:r>
      <w:r w:rsidR="007D6B89" w:rsidRPr="00D7559F">
        <w:t xml:space="preserve">prices </w:t>
      </w:r>
      <w:r w:rsidR="00812C15" w:rsidRPr="00D7559F">
        <w:t xml:space="preserve">to </w:t>
      </w:r>
      <w:r w:rsidR="004F621E" w:rsidRPr="00D7559F">
        <w:t xml:space="preserve">differentiate the energy payment into on- and off-peak periods, with prices during on-peak periods set higher to reflect the increased value of QF generation.  </w:t>
      </w:r>
      <w:r w:rsidR="00BE7870" w:rsidRPr="00D7559F">
        <w:t xml:space="preserve">Basing the on- and off- peak differential on the spread between on- and off-peak Mid-Columbia market prices produces results shown in the table below, which are also compared to the Company’s initial filing (excluding integration costs).  </w:t>
      </w:r>
    </w:p>
    <w:p w:rsidR="008A0FF6" w:rsidRPr="00D7559F" w:rsidRDefault="005D3993" w:rsidP="005D3993">
      <w:pPr>
        <w:spacing w:line="480" w:lineRule="auto"/>
      </w:pPr>
      <w:r w:rsidRPr="00A956B6">
        <w:rPr>
          <w:noProof/>
        </w:rPr>
        <w:drawing>
          <wp:inline distT="0" distB="0" distL="0" distR="0" wp14:anchorId="241ED484" wp14:editId="4DCB8220">
            <wp:extent cx="5943600" cy="223879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38791"/>
                    </a:xfrm>
                    <a:prstGeom prst="rect">
                      <a:avLst/>
                    </a:prstGeom>
                    <a:noFill/>
                    <a:ln>
                      <a:noFill/>
                    </a:ln>
                  </pic:spPr>
                </pic:pic>
              </a:graphicData>
            </a:graphic>
          </wp:inline>
        </w:drawing>
      </w:r>
    </w:p>
    <w:p w:rsidR="00EB3BD2" w:rsidRPr="00D7559F" w:rsidRDefault="00EB3BD2" w:rsidP="00EB3BD2">
      <w:pPr>
        <w:pStyle w:val="Heading2"/>
        <w:rPr>
          <w:i/>
        </w:rPr>
      </w:pPr>
      <w:r w:rsidRPr="00D7559F">
        <w:rPr>
          <w:i/>
        </w:rPr>
        <w:t>Conclusion</w:t>
      </w:r>
    </w:p>
    <w:p w:rsidR="00D77EAF" w:rsidRPr="00D7559F" w:rsidRDefault="00D77EAF" w:rsidP="00BB4E43">
      <w:pPr>
        <w:pStyle w:val="ListParagraph"/>
        <w:numPr>
          <w:ilvl w:val="0"/>
          <w:numId w:val="9"/>
        </w:numPr>
        <w:spacing w:line="480" w:lineRule="auto"/>
        <w:ind w:left="0" w:firstLine="720"/>
        <w:jc w:val="left"/>
      </w:pPr>
      <w:r w:rsidRPr="00D7559F">
        <w:t xml:space="preserve">In order to </w:t>
      </w:r>
      <w:r w:rsidR="00EB3BD2" w:rsidRPr="00D7559F">
        <w:t>meet</w:t>
      </w:r>
      <w:r w:rsidRPr="00D7559F">
        <w:t xml:space="preserve"> the </w:t>
      </w:r>
      <w:r w:rsidR="00EB3BD2" w:rsidRPr="00D7559F">
        <w:t xml:space="preserve">objective of </w:t>
      </w:r>
      <w:r w:rsidRPr="00D7559F">
        <w:t xml:space="preserve">ratepayer indifference, deferred capacity costs must be included in avoided costs in a manner consistent with the Company’s resource procurement plans identified in the IRP or IRP </w:t>
      </w:r>
      <w:r w:rsidR="00EB3BD2" w:rsidRPr="00D7559F">
        <w:t>U</w:t>
      </w:r>
      <w:r w:rsidRPr="00D7559F">
        <w:t xml:space="preserve">pdate.  The Company’s </w:t>
      </w:r>
      <w:r w:rsidR="00EB3BD2" w:rsidRPr="00D7559F">
        <w:t xml:space="preserve">filing is based on its </w:t>
      </w:r>
      <w:r w:rsidRPr="00D7559F">
        <w:t>2013 IRP Update</w:t>
      </w:r>
      <w:r w:rsidR="00EB3BD2" w:rsidRPr="00D7559F">
        <w:t xml:space="preserve"> which </w:t>
      </w:r>
      <w:r w:rsidRPr="00D7559F">
        <w:t xml:space="preserve">indicates that the next avoidable thermal resource will not be procured until 2027, and that the Company will rely on </w:t>
      </w:r>
      <w:r w:rsidR="00812C15" w:rsidRPr="00D7559F">
        <w:t xml:space="preserve">short-term </w:t>
      </w:r>
      <w:r w:rsidRPr="00D7559F">
        <w:t xml:space="preserve">wholesale market transactions to </w:t>
      </w:r>
      <w:r w:rsidR="002E5E94" w:rsidRPr="00D7559F">
        <w:t>balance</w:t>
      </w:r>
      <w:r w:rsidRPr="00D7559F">
        <w:t xml:space="preserve"> its </w:t>
      </w:r>
      <w:r w:rsidR="002E5E94" w:rsidRPr="00D7559F">
        <w:t>capacity</w:t>
      </w:r>
      <w:r w:rsidRPr="00D7559F">
        <w:t xml:space="preserve"> needs prior to that time.</w:t>
      </w:r>
      <w:r w:rsidR="00EB3BD2" w:rsidRPr="00D7559F">
        <w:t xml:space="preserve">  </w:t>
      </w:r>
      <w:r w:rsidRPr="00D7559F">
        <w:t xml:space="preserve">Schedule 37 avoided costs should not include the capacity costs of a SCCT </w:t>
      </w:r>
      <w:r w:rsidR="002E5E94" w:rsidRPr="00D7559F">
        <w:t xml:space="preserve">assumed to be avoided </w:t>
      </w:r>
      <w:r w:rsidR="00EB3BD2" w:rsidRPr="00D7559F">
        <w:t xml:space="preserve">during the sufficiency period </w:t>
      </w:r>
      <w:r w:rsidR="002E5E94" w:rsidRPr="00D7559F">
        <w:t xml:space="preserve">when the Company cannot actually </w:t>
      </w:r>
      <w:r w:rsidRPr="00D7559F">
        <w:t xml:space="preserve">avoid such costs.  </w:t>
      </w:r>
      <w:r w:rsidR="002E5E94" w:rsidRPr="00D7559F">
        <w:t xml:space="preserve">Assuming the Company can avoid a SCCT, and including such costs in Schedule 37, is not consistent with the Company’s resource procurement plans and does not represent costs that can actually be </w:t>
      </w:r>
      <w:r w:rsidR="002E5E94" w:rsidRPr="00D7559F">
        <w:lastRenderedPageBreak/>
        <w:t>deferred by the addition of a QF with a fixed price contract lasting five years.</w:t>
      </w:r>
    </w:p>
    <w:p w:rsidR="00BB4E43" w:rsidRPr="00D7559F" w:rsidRDefault="00BB4E43" w:rsidP="009437DA">
      <w:pPr>
        <w:spacing w:line="480" w:lineRule="auto"/>
        <w:jc w:val="left"/>
      </w:pPr>
    </w:p>
    <w:p w:rsidR="00BB4E43" w:rsidRPr="00D7559F" w:rsidRDefault="00BB4E43" w:rsidP="009437DA">
      <w:pPr>
        <w:spacing w:line="480" w:lineRule="auto"/>
        <w:ind w:firstLine="720"/>
        <w:jc w:val="left"/>
      </w:pPr>
      <w:r w:rsidRPr="00D7559F">
        <w:t xml:space="preserve">I declare under the penalty of perjury under the laws of the State of Washington that the foregoing is true and correct.  </w:t>
      </w:r>
      <w:proofErr w:type="gramStart"/>
      <w:r w:rsidRPr="00D7559F">
        <w:t xml:space="preserve">Signed at </w:t>
      </w:r>
      <w:r w:rsidR="00C1485B">
        <w:t>Salt Lake City, Utah</w:t>
      </w:r>
      <w:r w:rsidRPr="00D7559F">
        <w:t xml:space="preserve"> on June </w:t>
      </w:r>
      <w:r w:rsidR="0023280B">
        <w:t>12</w:t>
      </w:r>
      <w:r w:rsidR="0023280B" w:rsidRPr="00D7559F">
        <w:t xml:space="preserve">, </w:t>
      </w:r>
      <w:r w:rsidRPr="00D7559F">
        <w:t>2015.</w:t>
      </w:r>
      <w:proofErr w:type="gramEnd"/>
    </w:p>
    <w:p w:rsidR="00BB4E43" w:rsidRPr="00D7559F" w:rsidRDefault="00BB4E43" w:rsidP="009437DA">
      <w:pPr>
        <w:spacing w:line="480" w:lineRule="auto"/>
        <w:ind w:firstLine="720"/>
        <w:jc w:val="left"/>
      </w:pPr>
    </w:p>
    <w:p w:rsidR="00BB4E43" w:rsidRPr="00D7559F" w:rsidRDefault="00BB4E43" w:rsidP="009437DA">
      <w:pPr>
        <w:spacing w:line="240" w:lineRule="auto"/>
        <w:ind w:firstLine="720"/>
        <w:jc w:val="left"/>
        <w:rPr>
          <w:u w:val="single"/>
        </w:rPr>
      </w:pPr>
      <w:r w:rsidRPr="00D7559F">
        <w:rPr>
          <w:u w:val="single"/>
        </w:rPr>
        <w:tab/>
      </w:r>
      <w:r w:rsidRPr="00D7559F">
        <w:rPr>
          <w:u w:val="single"/>
        </w:rPr>
        <w:tab/>
      </w:r>
      <w:r w:rsidRPr="00D7559F">
        <w:rPr>
          <w:u w:val="single"/>
        </w:rPr>
        <w:tab/>
      </w:r>
      <w:r w:rsidRPr="00D7559F">
        <w:rPr>
          <w:u w:val="single"/>
        </w:rPr>
        <w:tab/>
      </w:r>
    </w:p>
    <w:p w:rsidR="00BB4E43" w:rsidRPr="00D7559F" w:rsidRDefault="00BB4E43" w:rsidP="009437DA">
      <w:pPr>
        <w:spacing w:line="240" w:lineRule="auto"/>
        <w:ind w:firstLine="720"/>
        <w:jc w:val="left"/>
      </w:pPr>
      <w:r w:rsidRPr="00D7559F">
        <w:t>Brian S. Dickman</w:t>
      </w:r>
    </w:p>
    <w:p w:rsidR="00DF6D81" w:rsidRPr="00D7559F" w:rsidRDefault="00DF6D81" w:rsidP="009437DA">
      <w:pPr>
        <w:spacing w:line="480" w:lineRule="auto"/>
        <w:ind w:firstLine="720"/>
        <w:jc w:val="left"/>
      </w:pPr>
    </w:p>
    <w:p w:rsidR="00DF6D81" w:rsidRPr="00D7559F" w:rsidRDefault="00DF6D81">
      <w:pPr>
        <w:spacing w:line="480" w:lineRule="auto"/>
        <w:ind w:firstLine="720"/>
        <w:rPr>
          <w:highlight w:val="yellow"/>
        </w:rPr>
      </w:pPr>
    </w:p>
    <w:sectPr w:rsidR="00DF6D81" w:rsidRPr="00D7559F" w:rsidSect="00645B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52" w:rsidRDefault="008F1552" w:rsidP="008C4D31">
      <w:pPr>
        <w:spacing w:line="240" w:lineRule="auto"/>
      </w:pPr>
      <w:r>
        <w:separator/>
      </w:r>
    </w:p>
  </w:endnote>
  <w:endnote w:type="continuationSeparator" w:id="0">
    <w:p w:rsidR="008F1552" w:rsidRDefault="008F1552" w:rsidP="008C4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0" w:rsidRDefault="004B4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541" w:rsidRDefault="00645BF5" w:rsidP="00A44775">
    <w:pPr>
      <w:pStyle w:val="Footer"/>
      <w:tabs>
        <w:tab w:val="clear" w:pos="9360"/>
        <w:tab w:val="right" w:pos="9000"/>
      </w:tabs>
    </w:pPr>
    <w:r>
      <w:t>Docket UE-144160—Declaration of Brian S. Dickman</w:t>
    </w:r>
    <w:r>
      <w:tab/>
      <w:t xml:space="preserve"> </w:t>
    </w:r>
    <w:r w:rsidR="00BB5F2B">
      <w:fldChar w:fldCharType="begin"/>
    </w:r>
    <w:r w:rsidR="00BB5F2B">
      <w:instrText xml:space="preserve"> PAGE   \* MERGEFORMAT </w:instrText>
    </w:r>
    <w:r w:rsidR="00BB5F2B">
      <w:fldChar w:fldCharType="separate"/>
    </w:r>
    <w:r w:rsidR="004B4090">
      <w:rPr>
        <w:noProof/>
      </w:rPr>
      <w:t>1</w:t>
    </w:r>
    <w:r w:rsidR="00BB5F2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0" w:rsidRDefault="004B4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52" w:rsidRDefault="008F1552" w:rsidP="008C4D31">
      <w:pPr>
        <w:spacing w:line="240" w:lineRule="auto"/>
      </w:pPr>
      <w:r>
        <w:separator/>
      </w:r>
    </w:p>
  </w:footnote>
  <w:footnote w:type="continuationSeparator" w:id="0">
    <w:p w:rsidR="008F1552" w:rsidRDefault="008F1552" w:rsidP="008C4D31">
      <w:pPr>
        <w:spacing w:line="240" w:lineRule="auto"/>
      </w:pPr>
      <w:r>
        <w:continuationSeparator/>
      </w:r>
    </w:p>
  </w:footnote>
  <w:footnote w:id="1">
    <w:p w:rsidR="00916263" w:rsidRPr="005354C4" w:rsidRDefault="00916263" w:rsidP="005354C4">
      <w:pPr>
        <w:pStyle w:val="FootnoteText"/>
        <w:spacing w:after="0" w:line="240" w:lineRule="auto"/>
        <w:ind w:firstLine="0"/>
        <w:jc w:val="left"/>
        <w:rPr>
          <w:rFonts w:ascii="Times New Roman" w:hAnsi="Times New Roman"/>
        </w:rPr>
      </w:pPr>
      <w:r w:rsidRPr="005354C4">
        <w:rPr>
          <w:rStyle w:val="FootnoteReference"/>
          <w:rFonts w:ascii="Times New Roman" w:hAnsi="Times New Roman"/>
        </w:rPr>
        <w:footnoteRef/>
      </w:r>
      <w:r w:rsidRPr="005354C4">
        <w:rPr>
          <w:rFonts w:ascii="Times New Roman" w:hAnsi="Times New Roman"/>
        </w:rPr>
        <w:t xml:space="preserve"> Prices are provided in Schedule 37 for a period of 10 years, but only available for a fixed-price purchase agreement of 5 years or less.</w:t>
      </w:r>
    </w:p>
  </w:footnote>
  <w:footnote w:id="2">
    <w:p w:rsidR="00645BF5" w:rsidRPr="005354C4" w:rsidRDefault="00645BF5" w:rsidP="005354C4">
      <w:pPr>
        <w:pStyle w:val="FootnoteText"/>
        <w:spacing w:after="0" w:line="240" w:lineRule="auto"/>
        <w:ind w:firstLine="0"/>
        <w:jc w:val="left"/>
        <w:rPr>
          <w:rFonts w:ascii="Times New Roman" w:hAnsi="Times New Roman"/>
        </w:rPr>
      </w:pPr>
      <w:r w:rsidRPr="005354C4">
        <w:rPr>
          <w:rStyle w:val="FootnoteReference"/>
          <w:rFonts w:ascii="Times New Roman" w:hAnsi="Times New Roman"/>
        </w:rPr>
        <w:footnoteRef/>
      </w:r>
      <w:r w:rsidRPr="005354C4">
        <w:rPr>
          <w:rFonts w:ascii="Times New Roman" w:hAnsi="Times New Roman"/>
        </w:rPr>
        <w:t xml:space="preserve"> </w:t>
      </w:r>
      <w:proofErr w:type="gramStart"/>
      <w:r w:rsidRPr="005354C4">
        <w:rPr>
          <w:rFonts w:ascii="Times New Roman" w:hAnsi="Times New Roman"/>
          <w:i/>
        </w:rPr>
        <w:t xml:space="preserve">Wash. </w:t>
      </w:r>
      <w:proofErr w:type="spellStart"/>
      <w:r w:rsidRPr="005354C4">
        <w:rPr>
          <w:rFonts w:ascii="Times New Roman" w:hAnsi="Times New Roman"/>
          <w:i/>
        </w:rPr>
        <w:t>Utils</w:t>
      </w:r>
      <w:proofErr w:type="spellEnd"/>
      <w:r w:rsidRPr="005354C4">
        <w:rPr>
          <w:rFonts w:ascii="Times New Roman" w:hAnsi="Times New Roman"/>
          <w:i/>
        </w:rPr>
        <w:t>.</w:t>
      </w:r>
      <w:proofErr w:type="gramEnd"/>
      <w:r w:rsidRPr="005354C4">
        <w:rPr>
          <w:rFonts w:ascii="Times New Roman" w:hAnsi="Times New Roman"/>
          <w:i/>
        </w:rPr>
        <w:t xml:space="preserve"> &amp; Transp. </w:t>
      </w:r>
      <w:proofErr w:type="spellStart"/>
      <w:r w:rsidRPr="005354C4">
        <w:rPr>
          <w:rFonts w:ascii="Times New Roman" w:hAnsi="Times New Roman"/>
          <w:i/>
        </w:rPr>
        <w:t>Comm’n</w:t>
      </w:r>
      <w:proofErr w:type="spellEnd"/>
      <w:r w:rsidRPr="005354C4">
        <w:rPr>
          <w:rFonts w:ascii="Times New Roman" w:hAnsi="Times New Roman"/>
          <w:i/>
        </w:rPr>
        <w:t xml:space="preserve"> v. Pacific Power &amp; Light Company, </w:t>
      </w:r>
      <w:r w:rsidRPr="005354C4">
        <w:rPr>
          <w:rFonts w:ascii="Times New Roman" w:hAnsi="Times New Roman"/>
        </w:rPr>
        <w:t>Docket No. UE-144160, Order 01 (Feb 12, 2015).</w:t>
      </w:r>
    </w:p>
  </w:footnote>
  <w:footnote w:id="3">
    <w:p w:rsidR="00C83248" w:rsidRPr="005354C4" w:rsidRDefault="00C83248" w:rsidP="005354C4">
      <w:pPr>
        <w:pStyle w:val="FootnoteText"/>
        <w:spacing w:after="0" w:line="240" w:lineRule="auto"/>
        <w:ind w:firstLine="0"/>
        <w:jc w:val="left"/>
        <w:rPr>
          <w:rFonts w:ascii="Times New Roman" w:hAnsi="Times New Roman"/>
        </w:rPr>
      </w:pPr>
      <w:r w:rsidRPr="005354C4">
        <w:rPr>
          <w:rStyle w:val="FootnoteReference"/>
          <w:rFonts w:ascii="Times New Roman" w:hAnsi="Times New Roman"/>
        </w:rPr>
        <w:footnoteRef/>
      </w:r>
      <w:r w:rsidRPr="005354C4">
        <w:rPr>
          <w:rFonts w:ascii="Times New Roman" w:hAnsi="Times New Roman"/>
        </w:rPr>
        <w:t xml:space="preserve"> </w:t>
      </w:r>
      <w:r w:rsidR="00374535" w:rsidRPr="005354C4">
        <w:rPr>
          <w:rFonts w:ascii="Times New Roman" w:hAnsi="Times New Roman"/>
        </w:rPr>
        <w:t>Table 5.5 of the 2013 IRP Update</w:t>
      </w:r>
      <w:r w:rsidR="00A0474D" w:rsidRPr="005354C4">
        <w:rPr>
          <w:rFonts w:ascii="Times New Roman" w:hAnsi="Times New Roman"/>
        </w:rPr>
        <w:t xml:space="preserve"> (Docket No. UE-120416)</w:t>
      </w:r>
      <w:r w:rsidR="00374535" w:rsidRPr="005354C4">
        <w:rPr>
          <w:rFonts w:ascii="Times New Roman" w:hAnsi="Times New Roman"/>
        </w:rPr>
        <w:t xml:space="preserve"> also provided as Table 1 of Attachment </w:t>
      </w:r>
      <w:proofErr w:type="gramStart"/>
      <w:r w:rsidR="00374535" w:rsidRPr="005354C4">
        <w:rPr>
          <w:rFonts w:ascii="Times New Roman" w:hAnsi="Times New Roman"/>
        </w:rPr>
        <w:t>A</w:t>
      </w:r>
      <w:proofErr w:type="gramEnd"/>
      <w:r w:rsidR="00374535" w:rsidRPr="005354C4">
        <w:rPr>
          <w:rFonts w:ascii="Times New Roman" w:hAnsi="Times New Roman"/>
        </w:rPr>
        <w:t xml:space="preserve"> in Advice 14-08</w:t>
      </w:r>
      <w:r w:rsidRPr="005354C4">
        <w:rPr>
          <w:rFonts w:ascii="Times New Roman" w:hAnsi="Times New Roman"/>
        </w:rPr>
        <w:t>.</w:t>
      </w:r>
    </w:p>
  </w:footnote>
  <w:footnote w:id="4">
    <w:p w:rsidR="005A5484" w:rsidRPr="005354C4" w:rsidRDefault="005A5484" w:rsidP="005354C4">
      <w:pPr>
        <w:pStyle w:val="FootnoteText"/>
        <w:spacing w:after="0" w:line="240" w:lineRule="auto"/>
        <w:ind w:firstLine="0"/>
        <w:jc w:val="left"/>
        <w:rPr>
          <w:rFonts w:ascii="Times New Roman" w:hAnsi="Times New Roman"/>
        </w:rPr>
      </w:pPr>
      <w:r w:rsidRPr="005354C4">
        <w:rPr>
          <w:rStyle w:val="FootnoteReference"/>
          <w:rFonts w:ascii="Times New Roman" w:hAnsi="Times New Roman"/>
        </w:rPr>
        <w:footnoteRef/>
      </w:r>
      <w:r w:rsidRPr="005354C4">
        <w:rPr>
          <w:rFonts w:ascii="Times New Roman" w:hAnsi="Times New Roman"/>
        </w:rPr>
        <w:t xml:space="preserve"> </w:t>
      </w:r>
      <w:proofErr w:type="gramStart"/>
      <w:r w:rsidRPr="005354C4">
        <w:rPr>
          <w:rFonts w:ascii="Times New Roman" w:hAnsi="Times New Roman"/>
        </w:rPr>
        <w:t xml:space="preserve">In the Company’s 2015 IRP </w:t>
      </w:r>
      <w:r w:rsidR="00A0474D" w:rsidRPr="005354C4">
        <w:rPr>
          <w:rFonts w:ascii="Times New Roman" w:hAnsi="Times New Roman"/>
        </w:rPr>
        <w:t>(Docket No.</w:t>
      </w:r>
      <w:proofErr w:type="gramEnd"/>
      <w:r w:rsidR="00A0474D" w:rsidRPr="005354C4">
        <w:rPr>
          <w:rFonts w:ascii="Times New Roman" w:hAnsi="Times New Roman"/>
        </w:rPr>
        <w:t xml:space="preserve"> UE-140546) </w:t>
      </w:r>
      <w:r w:rsidRPr="005354C4">
        <w:rPr>
          <w:rFonts w:ascii="Times New Roman" w:hAnsi="Times New Roman"/>
        </w:rPr>
        <w:t xml:space="preserve">filed March 31, </w:t>
      </w:r>
      <w:proofErr w:type="gramStart"/>
      <w:r w:rsidRPr="005354C4">
        <w:rPr>
          <w:rFonts w:ascii="Times New Roman" w:hAnsi="Times New Roman"/>
        </w:rPr>
        <w:t>2015,</w:t>
      </w:r>
      <w:proofErr w:type="gramEnd"/>
      <w:r w:rsidRPr="005354C4">
        <w:rPr>
          <w:rFonts w:ascii="Times New Roman" w:hAnsi="Times New Roman"/>
        </w:rPr>
        <w:t xml:space="preserve"> the next major thermal generator acquisition is projected to occur in 2028.</w:t>
      </w:r>
      <w:r w:rsidR="00A54AF5" w:rsidRPr="005354C4">
        <w:rPr>
          <w:rFonts w:ascii="Times New Roman" w:hAnsi="Times New Roman"/>
        </w:rPr>
        <w:t xml:space="preserve">  </w:t>
      </w:r>
      <w:proofErr w:type="gramStart"/>
      <w:r w:rsidR="00600A2D" w:rsidRPr="005354C4">
        <w:rPr>
          <w:rFonts w:ascii="Times New Roman" w:hAnsi="Times New Roman"/>
        </w:rPr>
        <w:t>Table 8.7 of the 2015 IRP.</w:t>
      </w:r>
      <w:proofErr w:type="gramEnd"/>
    </w:p>
  </w:footnote>
  <w:footnote w:id="5">
    <w:p w:rsidR="00126548" w:rsidRPr="005354C4" w:rsidRDefault="00126548" w:rsidP="005354C4">
      <w:pPr>
        <w:pStyle w:val="FootnoteText"/>
        <w:spacing w:after="0" w:line="240" w:lineRule="auto"/>
        <w:ind w:firstLine="0"/>
        <w:jc w:val="left"/>
        <w:rPr>
          <w:rFonts w:ascii="Times New Roman" w:hAnsi="Times New Roman"/>
        </w:rPr>
      </w:pPr>
      <w:r w:rsidRPr="005354C4">
        <w:rPr>
          <w:rStyle w:val="FootnoteReference"/>
          <w:rFonts w:ascii="Times New Roman" w:hAnsi="Times New Roman"/>
        </w:rPr>
        <w:footnoteRef/>
      </w:r>
      <w:r w:rsidRPr="005354C4">
        <w:rPr>
          <w:rFonts w:ascii="Times New Roman" w:hAnsi="Times New Roman"/>
        </w:rPr>
        <w:t xml:space="preserve"> Based on information from the 2013 IRP Update, Table 1 of the Company’s Schedule 37 update shows that the Company’s next deferrable thermal capacity resource is a 423 MW CCCT in 2027.</w:t>
      </w:r>
    </w:p>
  </w:footnote>
  <w:footnote w:id="6">
    <w:p w:rsidR="009437DA" w:rsidRPr="005354C4" w:rsidRDefault="009437DA" w:rsidP="005354C4">
      <w:pPr>
        <w:spacing w:line="240" w:lineRule="auto"/>
        <w:jc w:val="left"/>
      </w:pPr>
      <w:r w:rsidRPr="005354C4">
        <w:rPr>
          <w:rStyle w:val="FootnoteReference"/>
          <w:rFonts w:ascii="Times New Roman" w:hAnsi="Times New Roman"/>
          <w:szCs w:val="20"/>
        </w:rPr>
        <w:footnoteRef/>
      </w:r>
      <w:r w:rsidRPr="005354C4">
        <w:rPr>
          <w:sz w:val="20"/>
          <w:szCs w:val="20"/>
        </w:rPr>
        <w:t xml:space="preserve"> </w:t>
      </w:r>
      <w:r w:rsidR="0025247A" w:rsidRPr="005354C4">
        <w:rPr>
          <w:i/>
          <w:sz w:val="20"/>
          <w:szCs w:val="20"/>
        </w:rPr>
        <w:t xml:space="preserve">See </w:t>
      </w:r>
      <w:r w:rsidR="0025247A" w:rsidRPr="005354C4">
        <w:rPr>
          <w:sz w:val="20"/>
          <w:szCs w:val="20"/>
        </w:rPr>
        <w:t>Docket No. 20000-458-EA-14 (record number 14021).  The Wyoming Public Service Commission approved PacifiCorp’s Schedule 37 update at an open meeting on May 12, 2015.  A final order is forthcoming.</w:t>
      </w:r>
    </w:p>
  </w:footnote>
  <w:footnote w:id="7">
    <w:p w:rsidR="00A337D6" w:rsidRPr="005354C4" w:rsidRDefault="00A337D6" w:rsidP="005354C4">
      <w:pPr>
        <w:pStyle w:val="FootnoteText"/>
        <w:spacing w:after="0" w:line="240" w:lineRule="auto"/>
        <w:ind w:firstLine="0"/>
        <w:jc w:val="left"/>
        <w:rPr>
          <w:rFonts w:ascii="Times New Roman" w:hAnsi="Times New Roman"/>
        </w:rPr>
      </w:pPr>
      <w:r w:rsidRPr="005354C4">
        <w:rPr>
          <w:rStyle w:val="FootnoteReference"/>
          <w:rFonts w:ascii="Times New Roman" w:hAnsi="Times New Roman"/>
        </w:rPr>
        <w:footnoteRef/>
      </w:r>
      <w:r w:rsidRPr="005354C4">
        <w:rPr>
          <w:rFonts w:ascii="Times New Roman" w:hAnsi="Times New Roman"/>
        </w:rPr>
        <w:t xml:space="preserve"> The Company subsequently filed a petition for review of final agency action with the Utah Supreme Court, which review is ongoing.  </w:t>
      </w:r>
      <w:proofErr w:type="spellStart"/>
      <w:proofErr w:type="gramStart"/>
      <w:r w:rsidRPr="005354C4">
        <w:rPr>
          <w:rFonts w:ascii="Times New Roman" w:hAnsi="Times New Roman"/>
          <w:i/>
        </w:rPr>
        <w:t>See</w:t>
      </w:r>
      <w:r w:rsidR="00733902" w:rsidRPr="005354C4">
        <w:rPr>
          <w:rFonts w:ascii="Times New Roman" w:hAnsi="Times New Roman"/>
          <w:i/>
        </w:rPr>
        <w:t>_</w:t>
      </w:r>
      <w:r w:rsidRPr="005354C4">
        <w:rPr>
          <w:rFonts w:ascii="Times New Roman" w:hAnsi="Times New Roman"/>
          <w:i/>
        </w:rPr>
        <w:t>Office</w:t>
      </w:r>
      <w:proofErr w:type="spellEnd"/>
      <w:r w:rsidRPr="005354C4">
        <w:rPr>
          <w:rFonts w:ascii="Times New Roman" w:hAnsi="Times New Roman"/>
          <w:i/>
        </w:rPr>
        <w:t xml:space="preserve"> of Consumer Services; Division of Public Utilities; and PacifiCorp dba Rocky Mountain Power v.</w:t>
      </w:r>
      <w:proofErr w:type="gramEnd"/>
      <w:r w:rsidRPr="005354C4">
        <w:rPr>
          <w:rFonts w:ascii="Times New Roman" w:hAnsi="Times New Roman"/>
          <w:i/>
        </w:rPr>
        <w:t xml:space="preserve"> The Public Service Commission of Utah, Case No. 20150066-CA (Utah Court of Appeals).</w:t>
      </w:r>
      <w:r w:rsidRPr="005354C4">
        <w:rPr>
          <w:rFonts w:ascii="Times New Roman" w:hAnsi="Times New Roman"/>
        </w:rPr>
        <w:t xml:space="preserve"> </w:t>
      </w:r>
    </w:p>
  </w:footnote>
  <w:footnote w:id="8">
    <w:p w:rsidR="00A44775" w:rsidRPr="005354C4" w:rsidRDefault="00A44775" w:rsidP="005354C4">
      <w:pPr>
        <w:pStyle w:val="FootnoteText"/>
        <w:spacing w:after="0" w:line="240" w:lineRule="auto"/>
        <w:ind w:firstLine="0"/>
        <w:jc w:val="left"/>
        <w:rPr>
          <w:rFonts w:ascii="Times New Roman" w:hAnsi="Times New Roman"/>
        </w:rPr>
      </w:pPr>
      <w:r w:rsidRPr="005354C4">
        <w:rPr>
          <w:rStyle w:val="FootnoteReference"/>
          <w:rFonts w:ascii="Times New Roman" w:hAnsi="Times New Roman"/>
        </w:rPr>
        <w:footnoteRef/>
      </w:r>
      <w:r w:rsidRPr="005354C4">
        <w:rPr>
          <w:rFonts w:ascii="Times New Roman" w:hAnsi="Times New Roman"/>
        </w:rPr>
        <w:t xml:space="preserve"> </w:t>
      </w:r>
      <w:r w:rsidRPr="005354C4">
        <w:rPr>
          <w:rFonts w:ascii="Times New Roman" w:hAnsi="Times New Roman"/>
          <w:i/>
        </w:rPr>
        <w:t xml:space="preserve">E.g., </w:t>
      </w:r>
      <w:r w:rsidRPr="005354C4">
        <w:rPr>
          <w:rFonts w:ascii="Times New Roman" w:hAnsi="Times New Roman"/>
        </w:rPr>
        <w:t>Docket No. UM 1129, Order No. 11-505 at 4 (Dec. 13,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0" w:rsidRDefault="004B4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0" w:rsidRDefault="004B4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90" w:rsidRDefault="004B4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321"/>
    <w:multiLevelType w:val="multilevel"/>
    <w:tmpl w:val="DD4C41F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FF2500"/>
    <w:multiLevelType w:val="multilevel"/>
    <w:tmpl w:val="010C860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812B26"/>
    <w:multiLevelType w:val="hybridMultilevel"/>
    <w:tmpl w:val="03B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37BE4"/>
    <w:multiLevelType w:val="multilevel"/>
    <w:tmpl w:val="99CC9AAC"/>
    <w:lvl w:ilvl="0">
      <w:start w:val="1"/>
      <w:numFmt w:val="decimal"/>
      <w:pStyle w:val="Q"/>
      <w:lvlText w:val="%1."/>
      <w:lvlJc w:val="left"/>
      <w:pPr>
        <w:tabs>
          <w:tab w:val="num" w:pos="2520"/>
        </w:tabs>
        <w:ind w:left="2520" w:hanging="360"/>
      </w:pPr>
      <w:rPr>
        <w:b w:val="0"/>
      </w:rPr>
    </w:lvl>
    <w:lvl w:ilvl="1">
      <w:start w:val="1"/>
      <w:numFmt w:val="decimal"/>
      <w:pStyle w:val="xx"/>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4">
    <w:nsid w:val="214B7640"/>
    <w:multiLevelType w:val="hybridMultilevel"/>
    <w:tmpl w:val="679C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D08D8"/>
    <w:multiLevelType w:val="hybridMultilevel"/>
    <w:tmpl w:val="F168DD82"/>
    <w:lvl w:ilvl="0" w:tplc="6BCCF6A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110EB"/>
    <w:multiLevelType w:val="hybridMultilevel"/>
    <w:tmpl w:val="9A4A9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B81A18"/>
    <w:multiLevelType w:val="hybridMultilevel"/>
    <w:tmpl w:val="760AC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DC82483"/>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DC"/>
    <w:rsid w:val="00001E2C"/>
    <w:rsid w:val="000073FC"/>
    <w:rsid w:val="00010826"/>
    <w:rsid w:val="00010DF2"/>
    <w:rsid w:val="00010E49"/>
    <w:rsid w:val="00011900"/>
    <w:rsid w:val="00014DDF"/>
    <w:rsid w:val="00021329"/>
    <w:rsid w:val="00024D7F"/>
    <w:rsid w:val="0003019E"/>
    <w:rsid w:val="00030236"/>
    <w:rsid w:val="00032A71"/>
    <w:rsid w:val="000426D8"/>
    <w:rsid w:val="00053372"/>
    <w:rsid w:val="00053C9B"/>
    <w:rsid w:val="000557F1"/>
    <w:rsid w:val="00055DEE"/>
    <w:rsid w:val="000625DF"/>
    <w:rsid w:val="00063668"/>
    <w:rsid w:val="000640FB"/>
    <w:rsid w:val="00065522"/>
    <w:rsid w:val="000673B4"/>
    <w:rsid w:val="000677CB"/>
    <w:rsid w:val="00072103"/>
    <w:rsid w:val="00075291"/>
    <w:rsid w:val="000761DF"/>
    <w:rsid w:val="00076E8B"/>
    <w:rsid w:val="00076EA3"/>
    <w:rsid w:val="00082C4D"/>
    <w:rsid w:val="00084CD2"/>
    <w:rsid w:val="0008656D"/>
    <w:rsid w:val="00086BA7"/>
    <w:rsid w:val="00093AAD"/>
    <w:rsid w:val="000960C0"/>
    <w:rsid w:val="00096D5B"/>
    <w:rsid w:val="000972B7"/>
    <w:rsid w:val="00097556"/>
    <w:rsid w:val="00097C28"/>
    <w:rsid w:val="000A2D0C"/>
    <w:rsid w:val="000A41A2"/>
    <w:rsid w:val="000A4FE7"/>
    <w:rsid w:val="000A57B0"/>
    <w:rsid w:val="000A757A"/>
    <w:rsid w:val="000B1D61"/>
    <w:rsid w:val="000B52C3"/>
    <w:rsid w:val="000C3738"/>
    <w:rsid w:val="000C6433"/>
    <w:rsid w:val="000D011A"/>
    <w:rsid w:val="000D1A04"/>
    <w:rsid w:val="000D4119"/>
    <w:rsid w:val="000D498D"/>
    <w:rsid w:val="000E15B7"/>
    <w:rsid w:val="000E3D23"/>
    <w:rsid w:val="000F1AB3"/>
    <w:rsid w:val="000F4704"/>
    <w:rsid w:val="000F540B"/>
    <w:rsid w:val="000F54A3"/>
    <w:rsid w:val="000F6F29"/>
    <w:rsid w:val="001002D3"/>
    <w:rsid w:val="00100820"/>
    <w:rsid w:val="0010224E"/>
    <w:rsid w:val="0010306B"/>
    <w:rsid w:val="001048D0"/>
    <w:rsid w:val="00105FF3"/>
    <w:rsid w:val="0010799A"/>
    <w:rsid w:val="00111743"/>
    <w:rsid w:val="00125E02"/>
    <w:rsid w:val="00126548"/>
    <w:rsid w:val="00126F0D"/>
    <w:rsid w:val="001272C6"/>
    <w:rsid w:val="00127648"/>
    <w:rsid w:val="00131768"/>
    <w:rsid w:val="00131BF0"/>
    <w:rsid w:val="001365D7"/>
    <w:rsid w:val="0013760A"/>
    <w:rsid w:val="001423BD"/>
    <w:rsid w:val="001440C8"/>
    <w:rsid w:val="001517AB"/>
    <w:rsid w:val="00154293"/>
    <w:rsid w:val="001543BF"/>
    <w:rsid w:val="001544A2"/>
    <w:rsid w:val="001605B1"/>
    <w:rsid w:val="00161A3B"/>
    <w:rsid w:val="00161FC5"/>
    <w:rsid w:val="001624F2"/>
    <w:rsid w:val="00163AFD"/>
    <w:rsid w:val="00165D75"/>
    <w:rsid w:val="001671F0"/>
    <w:rsid w:val="001731A0"/>
    <w:rsid w:val="00176FD1"/>
    <w:rsid w:val="00181D73"/>
    <w:rsid w:val="00194424"/>
    <w:rsid w:val="001A071B"/>
    <w:rsid w:val="001A2D84"/>
    <w:rsid w:val="001A5333"/>
    <w:rsid w:val="001A5698"/>
    <w:rsid w:val="001B378A"/>
    <w:rsid w:val="001B4743"/>
    <w:rsid w:val="001C19E6"/>
    <w:rsid w:val="001C3398"/>
    <w:rsid w:val="001C3A0A"/>
    <w:rsid w:val="001C3D15"/>
    <w:rsid w:val="001C60D9"/>
    <w:rsid w:val="001D2172"/>
    <w:rsid w:val="001D7C56"/>
    <w:rsid w:val="001E4323"/>
    <w:rsid w:val="001E46D5"/>
    <w:rsid w:val="001F2A7B"/>
    <w:rsid w:val="00200180"/>
    <w:rsid w:val="002017C4"/>
    <w:rsid w:val="00203320"/>
    <w:rsid w:val="00206E0D"/>
    <w:rsid w:val="00210804"/>
    <w:rsid w:val="00214C00"/>
    <w:rsid w:val="002161D4"/>
    <w:rsid w:val="002309B2"/>
    <w:rsid w:val="0023280B"/>
    <w:rsid w:val="00232930"/>
    <w:rsid w:val="00232B77"/>
    <w:rsid w:val="002361E9"/>
    <w:rsid w:val="00245564"/>
    <w:rsid w:val="00245606"/>
    <w:rsid w:val="00251192"/>
    <w:rsid w:val="0025247A"/>
    <w:rsid w:val="00255431"/>
    <w:rsid w:val="00257B6D"/>
    <w:rsid w:val="00260612"/>
    <w:rsid w:val="00263171"/>
    <w:rsid w:val="00263306"/>
    <w:rsid w:val="0027244A"/>
    <w:rsid w:val="002740EF"/>
    <w:rsid w:val="00275B53"/>
    <w:rsid w:val="00276196"/>
    <w:rsid w:val="002772A7"/>
    <w:rsid w:val="0028247C"/>
    <w:rsid w:val="0028454D"/>
    <w:rsid w:val="002865F4"/>
    <w:rsid w:val="00287352"/>
    <w:rsid w:val="00293033"/>
    <w:rsid w:val="002934F1"/>
    <w:rsid w:val="00293853"/>
    <w:rsid w:val="002A3232"/>
    <w:rsid w:val="002A7075"/>
    <w:rsid w:val="002B200E"/>
    <w:rsid w:val="002B6713"/>
    <w:rsid w:val="002C66FA"/>
    <w:rsid w:val="002D21CF"/>
    <w:rsid w:val="002D27FD"/>
    <w:rsid w:val="002D31BF"/>
    <w:rsid w:val="002D582F"/>
    <w:rsid w:val="002D606A"/>
    <w:rsid w:val="002D63DB"/>
    <w:rsid w:val="002D64A0"/>
    <w:rsid w:val="002D7EF4"/>
    <w:rsid w:val="002E240E"/>
    <w:rsid w:val="002E5E94"/>
    <w:rsid w:val="002F7ECB"/>
    <w:rsid w:val="00300281"/>
    <w:rsid w:val="00302656"/>
    <w:rsid w:val="003026F5"/>
    <w:rsid w:val="003039BA"/>
    <w:rsid w:val="00306712"/>
    <w:rsid w:val="0030688B"/>
    <w:rsid w:val="00307168"/>
    <w:rsid w:val="003128DB"/>
    <w:rsid w:val="003160EE"/>
    <w:rsid w:val="00316B3C"/>
    <w:rsid w:val="0032184B"/>
    <w:rsid w:val="00323B9D"/>
    <w:rsid w:val="0032590F"/>
    <w:rsid w:val="003344F0"/>
    <w:rsid w:val="00336939"/>
    <w:rsid w:val="0033697C"/>
    <w:rsid w:val="003375DA"/>
    <w:rsid w:val="00340D2F"/>
    <w:rsid w:val="0034298C"/>
    <w:rsid w:val="00344D3C"/>
    <w:rsid w:val="00346A77"/>
    <w:rsid w:val="003479F1"/>
    <w:rsid w:val="00347D56"/>
    <w:rsid w:val="003546FC"/>
    <w:rsid w:val="00356D2E"/>
    <w:rsid w:val="00357D86"/>
    <w:rsid w:val="0036228E"/>
    <w:rsid w:val="00363A74"/>
    <w:rsid w:val="00374535"/>
    <w:rsid w:val="003850AC"/>
    <w:rsid w:val="00390D9C"/>
    <w:rsid w:val="00394111"/>
    <w:rsid w:val="00394C13"/>
    <w:rsid w:val="00394EBC"/>
    <w:rsid w:val="003967E3"/>
    <w:rsid w:val="003A050E"/>
    <w:rsid w:val="003A2B87"/>
    <w:rsid w:val="003B17D8"/>
    <w:rsid w:val="003B596A"/>
    <w:rsid w:val="003C16D5"/>
    <w:rsid w:val="003C1BDC"/>
    <w:rsid w:val="003C2F8D"/>
    <w:rsid w:val="003C4355"/>
    <w:rsid w:val="003C43DB"/>
    <w:rsid w:val="003C4CAB"/>
    <w:rsid w:val="003C7B8E"/>
    <w:rsid w:val="003D4A7F"/>
    <w:rsid w:val="003E20B9"/>
    <w:rsid w:val="003E315A"/>
    <w:rsid w:val="003E4C6C"/>
    <w:rsid w:val="003E7406"/>
    <w:rsid w:val="003F43E4"/>
    <w:rsid w:val="003F4A3C"/>
    <w:rsid w:val="003F54D9"/>
    <w:rsid w:val="00402E24"/>
    <w:rsid w:val="004050E6"/>
    <w:rsid w:val="00406E7B"/>
    <w:rsid w:val="00415701"/>
    <w:rsid w:val="00434D78"/>
    <w:rsid w:val="004369B0"/>
    <w:rsid w:val="0044197E"/>
    <w:rsid w:val="00442467"/>
    <w:rsid w:val="004519E7"/>
    <w:rsid w:val="00451FA9"/>
    <w:rsid w:val="0045228C"/>
    <w:rsid w:val="00462BF0"/>
    <w:rsid w:val="0046309D"/>
    <w:rsid w:val="00472058"/>
    <w:rsid w:val="004745D5"/>
    <w:rsid w:val="00483719"/>
    <w:rsid w:val="004862D3"/>
    <w:rsid w:val="004922E9"/>
    <w:rsid w:val="00492487"/>
    <w:rsid w:val="004928C0"/>
    <w:rsid w:val="00493A81"/>
    <w:rsid w:val="004A06B1"/>
    <w:rsid w:val="004A0F15"/>
    <w:rsid w:val="004A12AB"/>
    <w:rsid w:val="004A230F"/>
    <w:rsid w:val="004A292A"/>
    <w:rsid w:val="004A49C7"/>
    <w:rsid w:val="004B253B"/>
    <w:rsid w:val="004B3CCA"/>
    <w:rsid w:val="004B4090"/>
    <w:rsid w:val="004C56A6"/>
    <w:rsid w:val="004C631B"/>
    <w:rsid w:val="004D0CE3"/>
    <w:rsid w:val="004D54A8"/>
    <w:rsid w:val="004D6C46"/>
    <w:rsid w:val="004E2B18"/>
    <w:rsid w:val="004E30AA"/>
    <w:rsid w:val="004E6B7E"/>
    <w:rsid w:val="004F0518"/>
    <w:rsid w:val="004F3379"/>
    <w:rsid w:val="004F3F2B"/>
    <w:rsid w:val="004F4780"/>
    <w:rsid w:val="004F621E"/>
    <w:rsid w:val="00503C2A"/>
    <w:rsid w:val="00504CB1"/>
    <w:rsid w:val="00507184"/>
    <w:rsid w:val="0051208D"/>
    <w:rsid w:val="0051422F"/>
    <w:rsid w:val="00515054"/>
    <w:rsid w:val="00516E32"/>
    <w:rsid w:val="00522E83"/>
    <w:rsid w:val="00523D99"/>
    <w:rsid w:val="00525857"/>
    <w:rsid w:val="00525F2F"/>
    <w:rsid w:val="00526547"/>
    <w:rsid w:val="00531230"/>
    <w:rsid w:val="00533CD2"/>
    <w:rsid w:val="005354C4"/>
    <w:rsid w:val="005374DA"/>
    <w:rsid w:val="00543A95"/>
    <w:rsid w:val="00546F84"/>
    <w:rsid w:val="00553C15"/>
    <w:rsid w:val="0055694D"/>
    <w:rsid w:val="00560FC0"/>
    <w:rsid w:val="0056432F"/>
    <w:rsid w:val="00565DF1"/>
    <w:rsid w:val="005674C3"/>
    <w:rsid w:val="005706E6"/>
    <w:rsid w:val="00571D5D"/>
    <w:rsid w:val="0057532D"/>
    <w:rsid w:val="00575DF1"/>
    <w:rsid w:val="00575EEC"/>
    <w:rsid w:val="005777DA"/>
    <w:rsid w:val="00580FC0"/>
    <w:rsid w:val="00582111"/>
    <w:rsid w:val="005822D9"/>
    <w:rsid w:val="00582853"/>
    <w:rsid w:val="00587166"/>
    <w:rsid w:val="005959BC"/>
    <w:rsid w:val="00596D97"/>
    <w:rsid w:val="005971BC"/>
    <w:rsid w:val="005A171A"/>
    <w:rsid w:val="005A389D"/>
    <w:rsid w:val="005A5484"/>
    <w:rsid w:val="005B5197"/>
    <w:rsid w:val="005C14C4"/>
    <w:rsid w:val="005C7F56"/>
    <w:rsid w:val="005D3993"/>
    <w:rsid w:val="005D4C4D"/>
    <w:rsid w:val="005D4D7E"/>
    <w:rsid w:val="005D56A5"/>
    <w:rsid w:val="005E16CB"/>
    <w:rsid w:val="005E3343"/>
    <w:rsid w:val="005E3738"/>
    <w:rsid w:val="005F0582"/>
    <w:rsid w:val="005F35B1"/>
    <w:rsid w:val="005F6062"/>
    <w:rsid w:val="00600A2D"/>
    <w:rsid w:val="00601371"/>
    <w:rsid w:val="00603A7A"/>
    <w:rsid w:val="00606AEF"/>
    <w:rsid w:val="006275BF"/>
    <w:rsid w:val="00632A2F"/>
    <w:rsid w:val="0063334E"/>
    <w:rsid w:val="00633AA1"/>
    <w:rsid w:val="006410E0"/>
    <w:rsid w:val="006419B8"/>
    <w:rsid w:val="0064247E"/>
    <w:rsid w:val="00645BF5"/>
    <w:rsid w:val="0064720D"/>
    <w:rsid w:val="00647336"/>
    <w:rsid w:val="00652DB4"/>
    <w:rsid w:val="00653C21"/>
    <w:rsid w:val="0065552F"/>
    <w:rsid w:val="006560C8"/>
    <w:rsid w:val="006575CC"/>
    <w:rsid w:val="00667541"/>
    <w:rsid w:val="006728C1"/>
    <w:rsid w:val="00672E9D"/>
    <w:rsid w:val="0067418B"/>
    <w:rsid w:val="0067634F"/>
    <w:rsid w:val="006774FB"/>
    <w:rsid w:val="00681071"/>
    <w:rsid w:val="006816BD"/>
    <w:rsid w:val="006879C0"/>
    <w:rsid w:val="00692D75"/>
    <w:rsid w:val="006A0424"/>
    <w:rsid w:val="006A2FD7"/>
    <w:rsid w:val="006A4EF1"/>
    <w:rsid w:val="006A6C83"/>
    <w:rsid w:val="006B3EEC"/>
    <w:rsid w:val="006B70FD"/>
    <w:rsid w:val="006C2C8A"/>
    <w:rsid w:val="006C2D1C"/>
    <w:rsid w:val="006C3AB1"/>
    <w:rsid w:val="006C54ED"/>
    <w:rsid w:val="006D0EAE"/>
    <w:rsid w:val="006D3862"/>
    <w:rsid w:val="006D539D"/>
    <w:rsid w:val="006D6EF1"/>
    <w:rsid w:val="006D7A7F"/>
    <w:rsid w:val="006E05CE"/>
    <w:rsid w:val="006E2965"/>
    <w:rsid w:val="006E39FC"/>
    <w:rsid w:val="006F251B"/>
    <w:rsid w:val="006F30AC"/>
    <w:rsid w:val="006F323E"/>
    <w:rsid w:val="00703544"/>
    <w:rsid w:val="007053B7"/>
    <w:rsid w:val="007125A8"/>
    <w:rsid w:val="00725240"/>
    <w:rsid w:val="00733902"/>
    <w:rsid w:val="00734F11"/>
    <w:rsid w:val="00740414"/>
    <w:rsid w:val="007409D5"/>
    <w:rsid w:val="0074125D"/>
    <w:rsid w:val="007434B0"/>
    <w:rsid w:val="00743B41"/>
    <w:rsid w:val="00746A1F"/>
    <w:rsid w:val="00751322"/>
    <w:rsid w:val="00752A95"/>
    <w:rsid w:val="00760494"/>
    <w:rsid w:val="0076173B"/>
    <w:rsid w:val="0076512E"/>
    <w:rsid w:val="00780847"/>
    <w:rsid w:val="0078263F"/>
    <w:rsid w:val="00783A69"/>
    <w:rsid w:val="00785EF9"/>
    <w:rsid w:val="00791401"/>
    <w:rsid w:val="00793C83"/>
    <w:rsid w:val="00795CC7"/>
    <w:rsid w:val="00797F33"/>
    <w:rsid w:val="007A0813"/>
    <w:rsid w:val="007A2976"/>
    <w:rsid w:val="007A3B48"/>
    <w:rsid w:val="007A4622"/>
    <w:rsid w:val="007A4642"/>
    <w:rsid w:val="007B3980"/>
    <w:rsid w:val="007C0ED5"/>
    <w:rsid w:val="007C2EB2"/>
    <w:rsid w:val="007C58F2"/>
    <w:rsid w:val="007C7EFF"/>
    <w:rsid w:val="007D60F8"/>
    <w:rsid w:val="007D6B89"/>
    <w:rsid w:val="007E1320"/>
    <w:rsid w:val="007E2E44"/>
    <w:rsid w:val="007E32A8"/>
    <w:rsid w:val="007E4C68"/>
    <w:rsid w:val="007F00DF"/>
    <w:rsid w:val="007F40B8"/>
    <w:rsid w:val="007F72A9"/>
    <w:rsid w:val="00805546"/>
    <w:rsid w:val="00806E3F"/>
    <w:rsid w:val="00812C15"/>
    <w:rsid w:val="00817331"/>
    <w:rsid w:val="00822099"/>
    <w:rsid w:val="0082299A"/>
    <w:rsid w:val="00823EBC"/>
    <w:rsid w:val="00825218"/>
    <w:rsid w:val="00834EAC"/>
    <w:rsid w:val="00835928"/>
    <w:rsid w:val="00840665"/>
    <w:rsid w:val="00840C96"/>
    <w:rsid w:val="008414FF"/>
    <w:rsid w:val="00843AC9"/>
    <w:rsid w:val="008455AB"/>
    <w:rsid w:val="00852842"/>
    <w:rsid w:val="0085295F"/>
    <w:rsid w:val="00854F52"/>
    <w:rsid w:val="00855809"/>
    <w:rsid w:val="00860CF5"/>
    <w:rsid w:val="00863A68"/>
    <w:rsid w:val="00865933"/>
    <w:rsid w:val="008667E1"/>
    <w:rsid w:val="00874645"/>
    <w:rsid w:val="00877B7C"/>
    <w:rsid w:val="00881F63"/>
    <w:rsid w:val="00882AE2"/>
    <w:rsid w:val="00885F1B"/>
    <w:rsid w:val="008902A8"/>
    <w:rsid w:val="00896561"/>
    <w:rsid w:val="008A0FF6"/>
    <w:rsid w:val="008A1DE2"/>
    <w:rsid w:val="008A32DC"/>
    <w:rsid w:val="008A42CD"/>
    <w:rsid w:val="008A6197"/>
    <w:rsid w:val="008B0BF5"/>
    <w:rsid w:val="008B1757"/>
    <w:rsid w:val="008B1F99"/>
    <w:rsid w:val="008B36B4"/>
    <w:rsid w:val="008B442F"/>
    <w:rsid w:val="008B517B"/>
    <w:rsid w:val="008B6387"/>
    <w:rsid w:val="008B710A"/>
    <w:rsid w:val="008B7C31"/>
    <w:rsid w:val="008C4D31"/>
    <w:rsid w:val="008C50AE"/>
    <w:rsid w:val="008C7CDE"/>
    <w:rsid w:val="008D025C"/>
    <w:rsid w:val="008D33ED"/>
    <w:rsid w:val="008D5D48"/>
    <w:rsid w:val="008E15EE"/>
    <w:rsid w:val="008E4839"/>
    <w:rsid w:val="008E6107"/>
    <w:rsid w:val="008F0984"/>
    <w:rsid w:val="008F0B45"/>
    <w:rsid w:val="008F1552"/>
    <w:rsid w:val="009039DD"/>
    <w:rsid w:val="00904A24"/>
    <w:rsid w:val="009146FC"/>
    <w:rsid w:val="00915B56"/>
    <w:rsid w:val="00916263"/>
    <w:rsid w:val="00916430"/>
    <w:rsid w:val="009200A0"/>
    <w:rsid w:val="0092012B"/>
    <w:rsid w:val="0092069D"/>
    <w:rsid w:val="0092272B"/>
    <w:rsid w:val="00925400"/>
    <w:rsid w:val="009315DF"/>
    <w:rsid w:val="00933A5A"/>
    <w:rsid w:val="009346FF"/>
    <w:rsid w:val="0093548D"/>
    <w:rsid w:val="009437DA"/>
    <w:rsid w:val="00943874"/>
    <w:rsid w:val="00944E6F"/>
    <w:rsid w:val="00944EAA"/>
    <w:rsid w:val="009456E6"/>
    <w:rsid w:val="009514E5"/>
    <w:rsid w:val="0095674D"/>
    <w:rsid w:val="00957833"/>
    <w:rsid w:val="00960030"/>
    <w:rsid w:val="009631DD"/>
    <w:rsid w:val="00965C7E"/>
    <w:rsid w:val="009666AE"/>
    <w:rsid w:val="00966D59"/>
    <w:rsid w:val="0096712D"/>
    <w:rsid w:val="00972BDC"/>
    <w:rsid w:val="00981224"/>
    <w:rsid w:val="009813BC"/>
    <w:rsid w:val="009844D7"/>
    <w:rsid w:val="009926B2"/>
    <w:rsid w:val="009958CB"/>
    <w:rsid w:val="00997E1F"/>
    <w:rsid w:val="009A1EBF"/>
    <w:rsid w:val="009A239D"/>
    <w:rsid w:val="009A769F"/>
    <w:rsid w:val="009B3ADF"/>
    <w:rsid w:val="009B7D5C"/>
    <w:rsid w:val="009D203C"/>
    <w:rsid w:val="009D23C0"/>
    <w:rsid w:val="009D64AB"/>
    <w:rsid w:val="009D6634"/>
    <w:rsid w:val="009E07C5"/>
    <w:rsid w:val="009E5FD3"/>
    <w:rsid w:val="009F7503"/>
    <w:rsid w:val="00A00326"/>
    <w:rsid w:val="00A02A40"/>
    <w:rsid w:val="00A0474D"/>
    <w:rsid w:val="00A11A6B"/>
    <w:rsid w:val="00A137D8"/>
    <w:rsid w:val="00A15BE7"/>
    <w:rsid w:val="00A17CD0"/>
    <w:rsid w:val="00A22EBE"/>
    <w:rsid w:val="00A267A2"/>
    <w:rsid w:val="00A267E0"/>
    <w:rsid w:val="00A3013F"/>
    <w:rsid w:val="00A3046C"/>
    <w:rsid w:val="00A337D6"/>
    <w:rsid w:val="00A3510A"/>
    <w:rsid w:val="00A37382"/>
    <w:rsid w:val="00A40E0F"/>
    <w:rsid w:val="00A444C7"/>
    <w:rsid w:val="00A44775"/>
    <w:rsid w:val="00A510AB"/>
    <w:rsid w:val="00A510E3"/>
    <w:rsid w:val="00A54AF5"/>
    <w:rsid w:val="00A57A20"/>
    <w:rsid w:val="00A613E3"/>
    <w:rsid w:val="00A71925"/>
    <w:rsid w:val="00A822D1"/>
    <w:rsid w:val="00A830A8"/>
    <w:rsid w:val="00A84082"/>
    <w:rsid w:val="00A84ABD"/>
    <w:rsid w:val="00A86756"/>
    <w:rsid w:val="00A92185"/>
    <w:rsid w:val="00A93EC9"/>
    <w:rsid w:val="00A956B6"/>
    <w:rsid w:val="00A95AD8"/>
    <w:rsid w:val="00AA5BD3"/>
    <w:rsid w:val="00AA5CA9"/>
    <w:rsid w:val="00AA6F36"/>
    <w:rsid w:val="00AB1969"/>
    <w:rsid w:val="00AB5D02"/>
    <w:rsid w:val="00AC3032"/>
    <w:rsid w:val="00AC6E50"/>
    <w:rsid w:val="00AC7249"/>
    <w:rsid w:val="00AC7746"/>
    <w:rsid w:val="00AD0F3A"/>
    <w:rsid w:val="00AE1745"/>
    <w:rsid w:val="00AE2685"/>
    <w:rsid w:val="00AE48FA"/>
    <w:rsid w:val="00AE677C"/>
    <w:rsid w:val="00AE6C00"/>
    <w:rsid w:val="00AF2936"/>
    <w:rsid w:val="00AF63AD"/>
    <w:rsid w:val="00B01AD8"/>
    <w:rsid w:val="00B04D72"/>
    <w:rsid w:val="00B056C1"/>
    <w:rsid w:val="00B05AF5"/>
    <w:rsid w:val="00B1118E"/>
    <w:rsid w:val="00B1241D"/>
    <w:rsid w:val="00B12D03"/>
    <w:rsid w:val="00B20FDE"/>
    <w:rsid w:val="00B24626"/>
    <w:rsid w:val="00B25F2B"/>
    <w:rsid w:val="00B26F72"/>
    <w:rsid w:val="00B275A7"/>
    <w:rsid w:val="00B3098D"/>
    <w:rsid w:val="00B314E6"/>
    <w:rsid w:val="00B378CE"/>
    <w:rsid w:val="00B37D55"/>
    <w:rsid w:val="00B4165E"/>
    <w:rsid w:val="00B429C0"/>
    <w:rsid w:val="00B43092"/>
    <w:rsid w:val="00B510AF"/>
    <w:rsid w:val="00B51B91"/>
    <w:rsid w:val="00B54E65"/>
    <w:rsid w:val="00B56FD4"/>
    <w:rsid w:val="00B57C2E"/>
    <w:rsid w:val="00B6021B"/>
    <w:rsid w:val="00B7054E"/>
    <w:rsid w:val="00B72939"/>
    <w:rsid w:val="00B74514"/>
    <w:rsid w:val="00B8401C"/>
    <w:rsid w:val="00B86073"/>
    <w:rsid w:val="00BA0BD8"/>
    <w:rsid w:val="00BB4E43"/>
    <w:rsid w:val="00BB5F2B"/>
    <w:rsid w:val="00BB6D9F"/>
    <w:rsid w:val="00BB77EA"/>
    <w:rsid w:val="00BC31EC"/>
    <w:rsid w:val="00BC6142"/>
    <w:rsid w:val="00BC6430"/>
    <w:rsid w:val="00BD3279"/>
    <w:rsid w:val="00BD3DAC"/>
    <w:rsid w:val="00BD4781"/>
    <w:rsid w:val="00BD5426"/>
    <w:rsid w:val="00BE1B14"/>
    <w:rsid w:val="00BE27CD"/>
    <w:rsid w:val="00BE2A33"/>
    <w:rsid w:val="00BE40DC"/>
    <w:rsid w:val="00BE4B46"/>
    <w:rsid w:val="00BE5DC5"/>
    <w:rsid w:val="00BE763B"/>
    <w:rsid w:val="00BE7870"/>
    <w:rsid w:val="00BF0F2B"/>
    <w:rsid w:val="00BF2BB4"/>
    <w:rsid w:val="00BF3219"/>
    <w:rsid w:val="00BF394E"/>
    <w:rsid w:val="00BF4AC0"/>
    <w:rsid w:val="00BF7AFF"/>
    <w:rsid w:val="00C00407"/>
    <w:rsid w:val="00C00C56"/>
    <w:rsid w:val="00C02370"/>
    <w:rsid w:val="00C057B8"/>
    <w:rsid w:val="00C07F07"/>
    <w:rsid w:val="00C1020B"/>
    <w:rsid w:val="00C10E3D"/>
    <w:rsid w:val="00C1485B"/>
    <w:rsid w:val="00C16332"/>
    <w:rsid w:val="00C253FD"/>
    <w:rsid w:val="00C25E14"/>
    <w:rsid w:val="00C321B7"/>
    <w:rsid w:val="00C328AC"/>
    <w:rsid w:val="00C3467C"/>
    <w:rsid w:val="00C408E6"/>
    <w:rsid w:val="00C42A72"/>
    <w:rsid w:val="00C4393C"/>
    <w:rsid w:val="00C43A08"/>
    <w:rsid w:val="00C45EE6"/>
    <w:rsid w:val="00C464EB"/>
    <w:rsid w:val="00C46CFB"/>
    <w:rsid w:val="00C5050C"/>
    <w:rsid w:val="00C52EDB"/>
    <w:rsid w:val="00C53AE2"/>
    <w:rsid w:val="00C56096"/>
    <w:rsid w:val="00C5636E"/>
    <w:rsid w:val="00C61CA6"/>
    <w:rsid w:val="00C61F92"/>
    <w:rsid w:val="00C6358E"/>
    <w:rsid w:val="00C67A28"/>
    <w:rsid w:val="00C70AD4"/>
    <w:rsid w:val="00C7651C"/>
    <w:rsid w:val="00C76A50"/>
    <w:rsid w:val="00C81481"/>
    <w:rsid w:val="00C8210B"/>
    <w:rsid w:val="00C82541"/>
    <w:rsid w:val="00C83248"/>
    <w:rsid w:val="00C855DB"/>
    <w:rsid w:val="00C9079F"/>
    <w:rsid w:val="00CA3537"/>
    <w:rsid w:val="00CA4986"/>
    <w:rsid w:val="00CA662C"/>
    <w:rsid w:val="00CB029C"/>
    <w:rsid w:val="00CB17BF"/>
    <w:rsid w:val="00CC0E6C"/>
    <w:rsid w:val="00CC2A33"/>
    <w:rsid w:val="00CD03AF"/>
    <w:rsid w:val="00CD3BC0"/>
    <w:rsid w:val="00CD524B"/>
    <w:rsid w:val="00CD5ACB"/>
    <w:rsid w:val="00CD7403"/>
    <w:rsid w:val="00CE3F38"/>
    <w:rsid w:val="00CF05E6"/>
    <w:rsid w:val="00CF721E"/>
    <w:rsid w:val="00D01C50"/>
    <w:rsid w:val="00D02359"/>
    <w:rsid w:val="00D05766"/>
    <w:rsid w:val="00D07EFE"/>
    <w:rsid w:val="00D10E18"/>
    <w:rsid w:val="00D12A54"/>
    <w:rsid w:val="00D154D5"/>
    <w:rsid w:val="00D215AD"/>
    <w:rsid w:val="00D31909"/>
    <w:rsid w:val="00D47ABF"/>
    <w:rsid w:val="00D51637"/>
    <w:rsid w:val="00D51897"/>
    <w:rsid w:val="00D52BC8"/>
    <w:rsid w:val="00D65518"/>
    <w:rsid w:val="00D72659"/>
    <w:rsid w:val="00D74D57"/>
    <w:rsid w:val="00D7559F"/>
    <w:rsid w:val="00D75B32"/>
    <w:rsid w:val="00D77EAF"/>
    <w:rsid w:val="00D828B7"/>
    <w:rsid w:val="00D923F3"/>
    <w:rsid w:val="00D94680"/>
    <w:rsid w:val="00DA4B98"/>
    <w:rsid w:val="00DA707A"/>
    <w:rsid w:val="00DB2A12"/>
    <w:rsid w:val="00DC373A"/>
    <w:rsid w:val="00DC59D6"/>
    <w:rsid w:val="00DC6933"/>
    <w:rsid w:val="00DD06F3"/>
    <w:rsid w:val="00DD0A3F"/>
    <w:rsid w:val="00DD4C8D"/>
    <w:rsid w:val="00DD5BA3"/>
    <w:rsid w:val="00DD605D"/>
    <w:rsid w:val="00DD6D86"/>
    <w:rsid w:val="00DD7243"/>
    <w:rsid w:val="00DE2C03"/>
    <w:rsid w:val="00DE38F7"/>
    <w:rsid w:val="00DE5CA1"/>
    <w:rsid w:val="00DE5F31"/>
    <w:rsid w:val="00DF181E"/>
    <w:rsid w:val="00DF589C"/>
    <w:rsid w:val="00DF6D81"/>
    <w:rsid w:val="00DF7ED9"/>
    <w:rsid w:val="00E014CF"/>
    <w:rsid w:val="00E02501"/>
    <w:rsid w:val="00E02E6F"/>
    <w:rsid w:val="00E051AF"/>
    <w:rsid w:val="00E10D87"/>
    <w:rsid w:val="00E13C0A"/>
    <w:rsid w:val="00E15352"/>
    <w:rsid w:val="00E15909"/>
    <w:rsid w:val="00E163A8"/>
    <w:rsid w:val="00E1787A"/>
    <w:rsid w:val="00E22159"/>
    <w:rsid w:val="00E23D41"/>
    <w:rsid w:val="00E24907"/>
    <w:rsid w:val="00E24EF3"/>
    <w:rsid w:val="00E2512A"/>
    <w:rsid w:val="00E31899"/>
    <w:rsid w:val="00E44F49"/>
    <w:rsid w:val="00E455DF"/>
    <w:rsid w:val="00E47BE6"/>
    <w:rsid w:val="00E51DC5"/>
    <w:rsid w:val="00E5556D"/>
    <w:rsid w:val="00E60FD9"/>
    <w:rsid w:val="00E64CB7"/>
    <w:rsid w:val="00E66633"/>
    <w:rsid w:val="00E73914"/>
    <w:rsid w:val="00E8109F"/>
    <w:rsid w:val="00E843FF"/>
    <w:rsid w:val="00E84BF2"/>
    <w:rsid w:val="00E90C40"/>
    <w:rsid w:val="00E913FF"/>
    <w:rsid w:val="00E964E7"/>
    <w:rsid w:val="00EA50D5"/>
    <w:rsid w:val="00EB11B2"/>
    <w:rsid w:val="00EB15C2"/>
    <w:rsid w:val="00EB2DB0"/>
    <w:rsid w:val="00EB3BD2"/>
    <w:rsid w:val="00EB44E3"/>
    <w:rsid w:val="00EC2743"/>
    <w:rsid w:val="00EC4402"/>
    <w:rsid w:val="00EC6875"/>
    <w:rsid w:val="00ED0292"/>
    <w:rsid w:val="00ED05D5"/>
    <w:rsid w:val="00ED3C5F"/>
    <w:rsid w:val="00ED752F"/>
    <w:rsid w:val="00EE02F6"/>
    <w:rsid w:val="00EE2D1A"/>
    <w:rsid w:val="00EE58FD"/>
    <w:rsid w:val="00EE592C"/>
    <w:rsid w:val="00EE673D"/>
    <w:rsid w:val="00EE7CE9"/>
    <w:rsid w:val="00EF2707"/>
    <w:rsid w:val="00EF27E6"/>
    <w:rsid w:val="00EF30A8"/>
    <w:rsid w:val="00EF3753"/>
    <w:rsid w:val="00EF3DB9"/>
    <w:rsid w:val="00EF417A"/>
    <w:rsid w:val="00EF4C31"/>
    <w:rsid w:val="00F045B8"/>
    <w:rsid w:val="00F06DFB"/>
    <w:rsid w:val="00F07DFA"/>
    <w:rsid w:val="00F10F08"/>
    <w:rsid w:val="00F11784"/>
    <w:rsid w:val="00F13F52"/>
    <w:rsid w:val="00F14EF7"/>
    <w:rsid w:val="00F17336"/>
    <w:rsid w:val="00F26DF0"/>
    <w:rsid w:val="00F31067"/>
    <w:rsid w:val="00F37D8A"/>
    <w:rsid w:val="00F457CF"/>
    <w:rsid w:val="00F45DF6"/>
    <w:rsid w:val="00F46B06"/>
    <w:rsid w:val="00F50472"/>
    <w:rsid w:val="00F50D49"/>
    <w:rsid w:val="00F53654"/>
    <w:rsid w:val="00F5512B"/>
    <w:rsid w:val="00F62805"/>
    <w:rsid w:val="00F62F42"/>
    <w:rsid w:val="00F63685"/>
    <w:rsid w:val="00F65F99"/>
    <w:rsid w:val="00F71968"/>
    <w:rsid w:val="00F743C6"/>
    <w:rsid w:val="00F810CE"/>
    <w:rsid w:val="00F81932"/>
    <w:rsid w:val="00F8290A"/>
    <w:rsid w:val="00F86704"/>
    <w:rsid w:val="00F946F7"/>
    <w:rsid w:val="00F94866"/>
    <w:rsid w:val="00F94D6B"/>
    <w:rsid w:val="00F95308"/>
    <w:rsid w:val="00F95A56"/>
    <w:rsid w:val="00F971B2"/>
    <w:rsid w:val="00FA1695"/>
    <w:rsid w:val="00FA2C0D"/>
    <w:rsid w:val="00FA330B"/>
    <w:rsid w:val="00FB2508"/>
    <w:rsid w:val="00FB510D"/>
    <w:rsid w:val="00FB5466"/>
    <w:rsid w:val="00FB5D84"/>
    <w:rsid w:val="00FC2C9F"/>
    <w:rsid w:val="00FC6BF2"/>
    <w:rsid w:val="00FC7102"/>
    <w:rsid w:val="00FC7C88"/>
    <w:rsid w:val="00FD20FB"/>
    <w:rsid w:val="00FD5065"/>
    <w:rsid w:val="00FE4CDE"/>
    <w:rsid w:val="00FE6105"/>
    <w:rsid w:val="00FE6E1C"/>
    <w:rsid w:val="00FF2F51"/>
    <w:rsid w:val="00FF6267"/>
    <w:rsid w:val="00FF62B2"/>
    <w:rsid w:val="00FF7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D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D203C"/>
    <w:pPr>
      <w:keepNext/>
      <w:tabs>
        <w:tab w:val="left" w:pos="720"/>
      </w:tabs>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3C1BDC"/>
    <w:rPr>
      <w:rFonts w:ascii="Times New Roman" w:hAnsi="Times New Roman" w:cs="Times New Roman"/>
      <w:sz w:val="24"/>
      <w:szCs w:val="24"/>
    </w:rPr>
  </w:style>
  <w:style w:type="paragraph" w:styleId="BodyText2">
    <w:name w:val="Body Text 2"/>
    <w:basedOn w:val="Normal"/>
    <w:link w:val="BodyText2Char"/>
    <w:uiPriority w:val="99"/>
    <w:rsid w:val="003C1BDC"/>
    <w:pPr>
      <w:tabs>
        <w:tab w:val="left" w:pos="720"/>
      </w:tabs>
      <w:spacing w:line="480" w:lineRule="auto"/>
    </w:pPr>
  </w:style>
  <w:style w:type="character" w:customStyle="1" w:styleId="BodyText2Char">
    <w:name w:val="Body Text 2 Char"/>
    <w:basedOn w:val="DefaultParagraphFont"/>
    <w:link w:val="BodyText2"/>
    <w:uiPriority w:val="99"/>
    <w:rsid w:val="003C1BD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34EAC"/>
    <w:pPr>
      <w:spacing w:after="120"/>
      <w:ind w:left="360"/>
    </w:pPr>
  </w:style>
  <w:style w:type="character" w:customStyle="1" w:styleId="BodyTextIndentChar">
    <w:name w:val="Body Text Indent Char"/>
    <w:basedOn w:val="DefaultParagraphFont"/>
    <w:link w:val="BodyTextIndent"/>
    <w:uiPriority w:val="99"/>
    <w:semiHidden/>
    <w:rsid w:val="00834EA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C4D31"/>
    <w:pPr>
      <w:spacing w:after="120" w:line="480" w:lineRule="auto"/>
      <w:ind w:left="360"/>
    </w:pPr>
  </w:style>
  <w:style w:type="character" w:customStyle="1" w:styleId="BodyTextIndent2Char">
    <w:name w:val="Body Text Indent 2 Char"/>
    <w:basedOn w:val="DefaultParagraphFont"/>
    <w:link w:val="BodyTextIndent2"/>
    <w:uiPriority w:val="99"/>
    <w:rsid w:val="008C4D31"/>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1 Char"/>
    <w:basedOn w:val="Normal"/>
    <w:link w:val="FootnoteTextChar"/>
    <w:uiPriority w:val="99"/>
    <w:rsid w:val="008C4D31"/>
    <w:pPr>
      <w:spacing w:after="120" w:line="240" w:lineRule="exact"/>
      <w:ind w:firstLine="720"/>
    </w:pPr>
    <w:rPr>
      <w:rFonts w:ascii="Arial" w:hAnsi="Arial"/>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C4D31"/>
    <w:rPr>
      <w:rFonts w:ascii="Arial" w:eastAsia="Times New Roman" w:hAnsi="Arial" w:cs="Times New Roman"/>
      <w:sz w:val="20"/>
      <w:szCs w:val="20"/>
    </w:rPr>
  </w:style>
  <w:style w:type="character" w:styleId="FootnoteReference">
    <w:name w:val="footnote reference"/>
    <w:basedOn w:val="DefaultParagraphFont"/>
    <w:uiPriority w:val="99"/>
    <w:rsid w:val="008C4D31"/>
    <w:rPr>
      <w:rFonts w:ascii="Arial" w:hAnsi="Arial"/>
      <w:sz w:val="20"/>
      <w:vertAlign w:val="superscript"/>
    </w:rPr>
  </w:style>
  <w:style w:type="paragraph" w:styleId="ListParagraph">
    <w:name w:val="List Paragraph"/>
    <w:basedOn w:val="Normal"/>
    <w:uiPriority w:val="34"/>
    <w:qFormat/>
    <w:rsid w:val="0085295F"/>
    <w:pPr>
      <w:ind w:left="720"/>
      <w:contextualSpacing/>
    </w:pPr>
  </w:style>
  <w:style w:type="paragraph" w:styleId="BalloonText">
    <w:name w:val="Balloon Text"/>
    <w:basedOn w:val="Normal"/>
    <w:link w:val="BalloonTextChar"/>
    <w:uiPriority w:val="99"/>
    <w:semiHidden/>
    <w:unhideWhenUsed/>
    <w:rsid w:val="00463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5218"/>
    <w:rPr>
      <w:sz w:val="16"/>
      <w:szCs w:val="16"/>
    </w:rPr>
  </w:style>
  <w:style w:type="paragraph" w:styleId="CommentText">
    <w:name w:val="annotation text"/>
    <w:basedOn w:val="Normal"/>
    <w:link w:val="CommentTextChar"/>
    <w:uiPriority w:val="99"/>
    <w:semiHidden/>
    <w:unhideWhenUsed/>
    <w:rsid w:val="00825218"/>
    <w:pPr>
      <w:spacing w:line="240" w:lineRule="auto"/>
    </w:pPr>
    <w:rPr>
      <w:sz w:val="20"/>
      <w:szCs w:val="20"/>
    </w:rPr>
  </w:style>
  <w:style w:type="character" w:customStyle="1" w:styleId="CommentTextChar">
    <w:name w:val="Comment Text Char"/>
    <w:basedOn w:val="DefaultParagraphFont"/>
    <w:link w:val="CommentText"/>
    <w:uiPriority w:val="99"/>
    <w:semiHidden/>
    <w:rsid w:val="00825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218"/>
    <w:rPr>
      <w:b/>
      <w:bCs/>
    </w:rPr>
  </w:style>
  <w:style w:type="character" w:customStyle="1" w:styleId="CommentSubjectChar">
    <w:name w:val="Comment Subject Char"/>
    <w:basedOn w:val="CommentTextChar"/>
    <w:link w:val="CommentSubject"/>
    <w:uiPriority w:val="99"/>
    <w:semiHidden/>
    <w:rsid w:val="00825218"/>
    <w:rPr>
      <w:rFonts w:ascii="Times New Roman" w:eastAsia="Times New Roman" w:hAnsi="Times New Roman" w:cs="Times New Roman"/>
      <w:b/>
      <w:bCs/>
      <w:sz w:val="20"/>
      <w:szCs w:val="20"/>
    </w:rPr>
  </w:style>
  <w:style w:type="paragraph" w:customStyle="1" w:styleId="Q">
    <w:name w:val="Q."/>
    <w:basedOn w:val="Normal"/>
    <w:qFormat/>
    <w:rsid w:val="00200180"/>
    <w:pPr>
      <w:widowControl/>
      <w:numPr>
        <w:numId w:val="4"/>
      </w:numPr>
      <w:tabs>
        <w:tab w:val="num" w:pos="1350"/>
      </w:tabs>
      <w:overflowPunct w:val="0"/>
      <w:autoSpaceDE w:val="0"/>
      <w:autoSpaceDN w:val="0"/>
      <w:spacing w:line="480" w:lineRule="auto"/>
      <w:ind w:left="1350"/>
      <w:textAlignment w:val="auto"/>
    </w:pPr>
  </w:style>
  <w:style w:type="paragraph" w:customStyle="1" w:styleId="xx">
    <w:name w:val="xx"/>
    <w:basedOn w:val="Q"/>
    <w:qFormat/>
    <w:rsid w:val="00200180"/>
    <w:pPr>
      <w:numPr>
        <w:ilvl w:val="1"/>
      </w:numPr>
    </w:pPr>
  </w:style>
  <w:style w:type="character" w:customStyle="1" w:styleId="Heading2Char">
    <w:name w:val="Heading 2 Char"/>
    <w:basedOn w:val="DefaultParagraphFont"/>
    <w:link w:val="Heading2"/>
    <w:rsid w:val="009D203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D203C"/>
    <w:pPr>
      <w:tabs>
        <w:tab w:val="center" w:pos="4680"/>
        <w:tab w:val="right" w:pos="9360"/>
      </w:tabs>
      <w:spacing w:line="240" w:lineRule="auto"/>
    </w:pPr>
  </w:style>
  <w:style w:type="character" w:customStyle="1" w:styleId="HeaderChar">
    <w:name w:val="Header Char"/>
    <w:basedOn w:val="DefaultParagraphFont"/>
    <w:link w:val="Header"/>
    <w:uiPriority w:val="99"/>
    <w:rsid w:val="009D20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03C"/>
    <w:pPr>
      <w:tabs>
        <w:tab w:val="center" w:pos="4680"/>
        <w:tab w:val="right" w:pos="9360"/>
      </w:tabs>
      <w:spacing w:line="240" w:lineRule="auto"/>
    </w:pPr>
  </w:style>
  <w:style w:type="character" w:customStyle="1" w:styleId="FooterChar">
    <w:name w:val="Footer Char"/>
    <w:basedOn w:val="DefaultParagraphFont"/>
    <w:link w:val="Footer"/>
    <w:uiPriority w:val="99"/>
    <w:rsid w:val="009D203C"/>
    <w:rPr>
      <w:rFonts w:ascii="Times New Roman" w:eastAsia="Times New Roman" w:hAnsi="Times New Roman" w:cs="Times New Roman"/>
      <w:sz w:val="24"/>
      <w:szCs w:val="24"/>
    </w:rPr>
  </w:style>
  <w:style w:type="paragraph" w:customStyle="1" w:styleId="Question">
    <w:name w:val="Question"/>
    <w:basedOn w:val="Normal"/>
    <w:link w:val="QuestionChar"/>
    <w:rsid w:val="00C02370"/>
    <w:pPr>
      <w:widowControl/>
      <w:adjustRightInd/>
      <w:spacing w:line="480" w:lineRule="auto"/>
      <w:ind w:left="720" w:hanging="720"/>
      <w:textAlignment w:val="auto"/>
    </w:pPr>
    <w:rPr>
      <w:b/>
      <w:bCs/>
      <w:lang w:val="x-none" w:eastAsia="x-none"/>
    </w:rPr>
  </w:style>
  <w:style w:type="character" w:customStyle="1" w:styleId="QuestionChar">
    <w:name w:val="Question Char"/>
    <w:link w:val="Question"/>
    <w:rsid w:val="00C02370"/>
    <w:rPr>
      <w:rFonts w:ascii="Times New Roman" w:eastAsia="Times New Roman" w:hAnsi="Times New Roman" w:cs="Times New Roman"/>
      <w:b/>
      <w:bCs/>
      <w:sz w:val="24"/>
      <w:szCs w:val="24"/>
      <w:lang w:val="x-none" w:eastAsia="x-none"/>
    </w:rPr>
  </w:style>
  <w:style w:type="paragraph" w:styleId="Revision">
    <w:name w:val="Revision"/>
    <w:hidden/>
    <w:uiPriority w:val="99"/>
    <w:semiHidden/>
    <w:rsid w:val="00F14EF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81071"/>
    <w:rPr>
      <w:color w:val="0000FF"/>
      <w:u w:val="single"/>
    </w:rPr>
  </w:style>
  <w:style w:type="table" w:styleId="TableGrid">
    <w:name w:val="Table Grid"/>
    <w:basedOn w:val="TableNormal"/>
    <w:uiPriority w:val="59"/>
    <w:rsid w:val="008D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2172"/>
    <w:rPr>
      <w:i/>
      <w:iCs/>
    </w:rPr>
  </w:style>
  <w:style w:type="character" w:customStyle="1" w:styleId="apple-converted-space">
    <w:name w:val="apple-converted-space"/>
    <w:basedOn w:val="DefaultParagraphFont"/>
    <w:rsid w:val="001D2172"/>
  </w:style>
  <w:style w:type="character" w:customStyle="1" w:styleId="cosearchterm">
    <w:name w:val="co_searchterm"/>
    <w:basedOn w:val="DefaultParagraphFont"/>
    <w:rsid w:val="001D2172"/>
  </w:style>
  <w:style w:type="paragraph" w:customStyle="1" w:styleId="SingleSpacing">
    <w:name w:val="Single Spacing"/>
    <w:basedOn w:val="Normal"/>
    <w:rsid w:val="001D2172"/>
    <w:pPr>
      <w:widowControl/>
      <w:adjustRightInd/>
      <w:spacing w:line="254" w:lineRule="exact"/>
      <w:jc w:val="left"/>
      <w:textAlignment w:val="auto"/>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D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D203C"/>
    <w:pPr>
      <w:keepNext/>
      <w:tabs>
        <w:tab w:val="left" w:pos="720"/>
      </w:tabs>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3C1BDC"/>
    <w:rPr>
      <w:rFonts w:ascii="Times New Roman" w:hAnsi="Times New Roman" w:cs="Times New Roman"/>
      <w:sz w:val="24"/>
      <w:szCs w:val="24"/>
    </w:rPr>
  </w:style>
  <w:style w:type="paragraph" w:styleId="BodyText2">
    <w:name w:val="Body Text 2"/>
    <w:basedOn w:val="Normal"/>
    <w:link w:val="BodyText2Char"/>
    <w:uiPriority w:val="99"/>
    <w:rsid w:val="003C1BDC"/>
    <w:pPr>
      <w:tabs>
        <w:tab w:val="left" w:pos="720"/>
      </w:tabs>
      <w:spacing w:line="480" w:lineRule="auto"/>
    </w:pPr>
  </w:style>
  <w:style w:type="character" w:customStyle="1" w:styleId="BodyText2Char">
    <w:name w:val="Body Text 2 Char"/>
    <w:basedOn w:val="DefaultParagraphFont"/>
    <w:link w:val="BodyText2"/>
    <w:uiPriority w:val="99"/>
    <w:rsid w:val="003C1BD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34EAC"/>
    <w:pPr>
      <w:spacing w:after="120"/>
      <w:ind w:left="360"/>
    </w:pPr>
  </w:style>
  <w:style w:type="character" w:customStyle="1" w:styleId="BodyTextIndentChar">
    <w:name w:val="Body Text Indent Char"/>
    <w:basedOn w:val="DefaultParagraphFont"/>
    <w:link w:val="BodyTextIndent"/>
    <w:uiPriority w:val="99"/>
    <w:semiHidden/>
    <w:rsid w:val="00834EA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C4D31"/>
    <w:pPr>
      <w:spacing w:after="120" w:line="480" w:lineRule="auto"/>
      <w:ind w:left="360"/>
    </w:pPr>
  </w:style>
  <w:style w:type="character" w:customStyle="1" w:styleId="BodyTextIndent2Char">
    <w:name w:val="Body Text Indent 2 Char"/>
    <w:basedOn w:val="DefaultParagraphFont"/>
    <w:link w:val="BodyTextIndent2"/>
    <w:uiPriority w:val="99"/>
    <w:rsid w:val="008C4D31"/>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1 Char"/>
    <w:basedOn w:val="Normal"/>
    <w:link w:val="FootnoteTextChar"/>
    <w:uiPriority w:val="99"/>
    <w:rsid w:val="008C4D31"/>
    <w:pPr>
      <w:spacing w:after="120" w:line="240" w:lineRule="exact"/>
      <w:ind w:firstLine="720"/>
    </w:pPr>
    <w:rPr>
      <w:rFonts w:ascii="Arial" w:hAnsi="Arial"/>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C4D31"/>
    <w:rPr>
      <w:rFonts w:ascii="Arial" w:eastAsia="Times New Roman" w:hAnsi="Arial" w:cs="Times New Roman"/>
      <w:sz w:val="20"/>
      <w:szCs w:val="20"/>
    </w:rPr>
  </w:style>
  <w:style w:type="character" w:styleId="FootnoteReference">
    <w:name w:val="footnote reference"/>
    <w:basedOn w:val="DefaultParagraphFont"/>
    <w:uiPriority w:val="99"/>
    <w:rsid w:val="008C4D31"/>
    <w:rPr>
      <w:rFonts w:ascii="Arial" w:hAnsi="Arial"/>
      <w:sz w:val="20"/>
      <w:vertAlign w:val="superscript"/>
    </w:rPr>
  </w:style>
  <w:style w:type="paragraph" w:styleId="ListParagraph">
    <w:name w:val="List Paragraph"/>
    <w:basedOn w:val="Normal"/>
    <w:uiPriority w:val="34"/>
    <w:qFormat/>
    <w:rsid w:val="0085295F"/>
    <w:pPr>
      <w:ind w:left="720"/>
      <w:contextualSpacing/>
    </w:pPr>
  </w:style>
  <w:style w:type="paragraph" w:styleId="BalloonText">
    <w:name w:val="Balloon Text"/>
    <w:basedOn w:val="Normal"/>
    <w:link w:val="BalloonTextChar"/>
    <w:uiPriority w:val="99"/>
    <w:semiHidden/>
    <w:unhideWhenUsed/>
    <w:rsid w:val="00463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5218"/>
    <w:rPr>
      <w:sz w:val="16"/>
      <w:szCs w:val="16"/>
    </w:rPr>
  </w:style>
  <w:style w:type="paragraph" w:styleId="CommentText">
    <w:name w:val="annotation text"/>
    <w:basedOn w:val="Normal"/>
    <w:link w:val="CommentTextChar"/>
    <w:uiPriority w:val="99"/>
    <w:semiHidden/>
    <w:unhideWhenUsed/>
    <w:rsid w:val="00825218"/>
    <w:pPr>
      <w:spacing w:line="240" w:lineRule="auto"/>
    </w:pPr>
    <w:rPr>
      <w:sz w:val="20"/>
      <w:szCs w:val="20"/>
    </w:rPr>
  </w:style>
  <w:style w:type="character" w:customStyle="1" w:styleId="CommentTextChar">
    <w:name w:val="Comment Text Char"/>
    <w:basedOn w:val="DefaultParagraphFont"/>
    <w:link w:val="CommentText"/>
    <w:uiPriority w:val="99"/>
    <w:semiHidden/>
    <w:rsid w:val="00825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218"/>
    <w:rPr>
      <w:b/>
      <w:bCs/>
    </w:rPr>
  </w:style>
  <w:style w:type="character" w:customStyle="1" w:styleId="CommentSubjectChar">
    <w:name w:val="Comment Subject Char"/>
    <w:basedOn w:val="CommentTextChar"/>
    <w:link w:val="CommentSubject"/>
    <w:uiPriority w:val="99"/>
    <w:semiHidden/>
    <w:rsid w:val="00825218"/>
    <w:rPr>
      <w:rFonts w:ascii="Times New Roman" w:eastAsia="Times New Roman" w:hAnsi="Times New Roman" w:cs="Times New Roman"/>
      <w:b/>
      <w:bCs/>
      <w:sz w:val="20"/>
      <w:szCs w:val="20"/>
    </w:rPr>
  </w:style>
  <w:style w:type="paragraph" w:customStyle="1" w:styleId="Q">
    <w:name w:val="Q."/>
    <w:basedOn w:val="Normal"/>
    <w:qFormat/>
    <w:rsid w:val="00200180"/>
    <w:pPr>
      <w:widowControl/>
      <w:numPr>
        <w:numId w:val="4"/>
      </w:numPr>
      <w:tabs>
        <w:tab w:val="num" w:pos="1350"/>
      </w:tabs>
      <w:overflowPunct w:val="0"/>
      <w:autoSpaceDE w:val="0"/>
      <w:autoSpaceDN w:val="0"/>
      <w:spacing w:line="480" w:lineRule="auto"/>
      <w:ind w:left="1350"/>
      <w:textAlignment w:val="auto"/>
    </w:pPr>
  </w:style>
  <w:style w:type="paragraph" w:customStyle="1" w:styleId="xx">
    <w:name w:val="xx"/>
    <w:basedOn w:val="Q"/>
    <w:qFormat/>
    <w:rsid w:val="00200180"/>
    <w:pPr>
      <w:numPr>
        <w:ilvl w:val="1"/>
      </w:numPr>
    </w:pPr>
  </w:style>
  <w:style w:type="character" w:customStyle="1" w:styleId="Heading2Char">
    <w:name w:val="Heading 2 Char"/>
    <w:basedOn w:val="DefaultParagraphFont"/>
    <w:link w:val="Heading2"/>
    <w:rsid w:val="009D203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D203C"/>
    <w:pPr>
      <w:tabs>
        <w:tab w:val="center" w:pos="4680"/>
        <w:tab w:val="right" w:pos="9360"/>
      </w:tabs>
      <w:spacing w:line="240" w:lineRule="auto"/>
    </w:pPr>
  </w:style>
  <w:style w:type="character" w:customStyle="1" w:styleId="HeaderChar">
    <w:name w:val="Header Char"/>
    <w:basedOn w:val="DefaultParagraphFont"/>
    <w:link w:val="Header"/>
    <w:uiPriority w:val="99"/>
    <w:rsid w:val="009D20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03C"/>
    <w:pPr>
      <w:tabs>
        <w:tab w:val="center" w:pos="4680"/>
        <w:tab w:val="right" w:pos="9360"/>
      </w:tabs>
      <w:spacing w:line="240" w:lineRule="auto"/>
    </w:pPr>
  </w:style>
  <w:style w:type="character" w:customStyle="1" w:styleId="FooterChar">
    <w:name w:val="Footer Char"/>
    <w:basedOn w:val="DefaultParagraphFont"/>
    <w:link w:val="Footer"/>
    <w:uiPriority w:val="99"/>
    <w:rsid w:val="009D203C"/>
    <w:rPr>
      <w:rFonts w:ascii="Times New Roman" w:eastAsia="Times New Roman" w:hAnsi="Times New Roman" w:cs="Times New Roman"/>
      <w:sz w:val="24"/>
      <w:szCs w:val="24"/>
    </w:rPr>
  </w:style>
  <w:style w:type="paragraph" w:customStyle="1" w:styleId="Question">
    <w:name w:val="Question"/>
    <w:basedOn w:val="Normal"/>
    <w:link w:val="QuestionChar"/>
    <w:rsid w:val="00C02370"/>
    <w:pPr>
      <w:widowControl/>
      <w:adjustRightInd/>
      <w:spacing w:line="480" w:lineRule="auto"/>
      <w:ind w:left="720" w:hanging="720"/>
      <w:textAlignment w:val="auto"/>
    </w:pPr>
    <w:rPr>
      <w:b/>
      <w:bCs/>
      <w:lang w:val="x-none" w:eastAsia="x-none"/>
    </w:rPr>
  </w:style>
  <w:style w:type="character" w:customStyle="1" w:styleId="QuestionChar">
    <w:name w:val="Question Char"/>
    <w:link w:val="Question"/>
    <w:rsid w:val="00C02370"/>
    <w:rPr>
      <w:rFonts w:ascii="Times New Roman" w:eastAsia="Times New Roman" w:hAnsi="Times New Roman" w:cs="Times New Roman"/>
      <w:b/>
      <w:bCs/>
      <w:sz w:val="24"/>
      <w:szCs w:val="24"/>
      <w:lang w:val="x-none" w:eastAsia="x-none"/>
    </w:rPr>
  </w:style>
  <w:style w:type="paragraph" w:styleId="Revision">
    <w:name w:val="Revision"/>
    <w:hidden/>
    <w:uiPriority w:val="99"/>
    <w:semiHidden/>
    <w:rsid w:val="00F14EF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81071"/>
    <w:rPr>
      <w:color w:val="0000FF"/>
      <w:u w:val="single"/>
    </w:rPr>
  </w:style>
  <w:style w:type="table" w:styleId="TableGrid">
    <w:name w:val="Table Grid"/>
    <w:basedOn w:val="TableNormal"/>
    <w:uiPriority w:val="59"/>
    <w:rsid w:val="008D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2172"/>
    <w:rPr>
      <w:i/>
      <w:iCs/>
    </w:rPr>
  </w:style>
  <w:style w:type="character" w:customStyle="1" w:styleId="apple-converted-space">
    <w:name w:val="apple-converted-space"/>
    <w:basedOn w:val="DefaultParagraphFont"/>
    <w:rsid w:val="001D2172"/>
  </w:style>
  <w:style w:type="character" w:customStyle="1" w:styleId="cosearchterm">
    <w:name w:val="co_searchterm"/>
    <w:basedOn w:val="DefaultParagraphFont"/>
    <w:rsid w:val="001D2172"/>
  </w:style>
  <w:style w:type="paragraph" w:customStyle="1" w:styleId="SingleSpacing">
    <w:name w:val="Single Spacing"/>
    <w:basedOn w:val="Normal"/>
    <w:rsid w:val="001D2172"/>
    <w:pPr>
      <w:widowControl/>
      <w:adjustRightInd/>
      <w:spacing w:line="254" w:lineRule="exact"/>
      <w:jc w:val="left"/>
      <w:textAlignment w:val="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79473">
      <w:bodyDiv w:val="1"/>
      <w:marLeft w:val="0"/>
      <w:marRight w:val="0"/>
      <w:marTop w:val="0"/>
      <w:marBottom w:val="0"/>
      <w:divBdr>
        <w:top w:val="none" w:sz="0" w:space="0" w:color="auto"/>
        <w:left w:val="none" w:sz="0" w:space="0" w:color="auto"/>
        <w:bottom w:val="none" w:sz="0" w:space="0" w:color="auto"/>
        <w:right w:val="none" w:sz="0" w:space="0" w:color="auto"/>
      </w:divBdr>
    </w:div>
    <w:div w:id="728380315">
      <w:bodyDiv w:val="1"/>
      <w:marLeft w:val="0"/>
      <w:marRight w:val="0"/>
      <w:marTop w:val="0"/>
      <w:marBottom w:val="0"/>
      <w:divBdr>
        <w:top w:val="none" w:sz="0" w:space="0" w:color="auto"/>
        <w:left w:val="none" w:sz="0" w:space="0" w:color="auto"/>
        <w:bottom w:val="none" w:sz="0" w:space="0" w:color="auto"/>
        <w:right w:val="none" w:sz="0" w:space="0" w:color="auto"/>
      </w:divBdr>
    </w:div>
    <w:div w:id="856425565">
      <w:bodyDiv w:val="1"/>
      <w:marLeft w:val="0"/>
      <w:marRight w:val="0"/>
      <w:marTop w:val="0"/>
      <w:marBottom w:val="0"/>
      <w:divBdr>
        <w:top w:val="none" w:sz="0" w:space="0" w:color="auto"/>
        <w:left w:val="none" w:sz="0" w:space="0" w:color="auto"/>
        <w:bottom w:val="none" w:sz="0" w:space="0" w:color="auto"/>
        <w:right w:val="none" w:sz="0" w:space="0" w:color="auto"/>
      </w:divBdr>
    </w:div>
    <w:div w:id="930626232">
      <w:bodyDiv w:val="1"/>
      <w:marLeft w:val="0"/>
      <w:marRight w:val="0"/>
      <w:marTop w:val="0"/>
      <w:marBottom w:val="0"/>
      <w:divBdr>
        <w:top w:val="none" w:sz="0" w:space="0" w:color="auto"/>
        <w:left w:val="none" w:sz="0" w:space="0" w:color="auto"/>
        <w:bottom w:val="none" w:sz="0" w:space="0" w:color="auto"/>
        <w:right w:val="none" w:sz="0" w:space="0" w:color="auto"/>
      </w:divBdr>
    </w:div>
    <w:div w:id="1000159711">
      <w:bodyDiv w:val="1"/>
      <w:marLeft w:val="0"/>
      <w:marRight w:val="0"/>
      <w:marTop w:val="0"/>
      <w:marBottom w:val="0"/>
      <w:divBdr>
        <w:top w:val="none" w:sz="0" w:space="0" w:color="auto"/>
        <w:left w:val="none" w:sz="0" w:space="0" w:color="auto"/>
        <w:bottom w:val="none" w:sz="0" w:space="0" w:color="auto"/>
        <w:right w:val="none" w:sz="0" w:space="0" w:color="auto"/>
      </w:divBdr>
    </w:div>
    <w:div w:id="1112893255">
      <w:bodyDiv w:val="1"/>
      <w:marLeft w:val="0"/>
      <w:marRight w:val="0"/>
      <w:marTop w:val="0"/>
      <w:marBottom w:val="0"/>
      <w:divBdr>
        <w:top w:val="none" w:sz="0" w:space="0" w:color="auto"/>
        <w:left w:val="none" w:sz="0" w:space="0" w:color="auto"/>
        <w:bottom w:val="none" w:sz="0" w:space="0" w:color="auto"/>
        <w:right w:val="none" w:sz="0" w:space="0" w:color="auto"/>
      </w:divBdr>
    </w:div>
    <w:div w:id="1395469197">
      <w:bodyDiv w:val="1"/>
      <w:marLeft w:val="0"/>
      <w:marRight w:val="0"/>
      <w:marTop w:val="0"/>
      <w:marBottom w:val="0"/>
      <w:divBdr>
        <w:top w:val="none" w:sz="0" w:space="0" w:color="auto"/>
        <w:left w:val="none" w:sz="0" w:space="0" w:color="auto"/>
        <w:bottom w:val="none" w:sz="0" w:space="0" w:color="auto"/>
        <w:right w:val="none" w:sz="0" w:space="0" w:color="auto"/>
      </w:divBdr>
      <w:divsChild>
        <w:div w:id="1768189144">
          <w:marLeft w:val="240"/>
          <w:marRight w:val="0"/>
          <w:marTop w:val="0"/>
          <w:marBottom w:val="0"/>
          <w:divBdr>
            <w:top w:val="none" w:sz="0" w:space="0" w:color="auto"/>
            <w:left w:val="none" w:sz="0" w:space="0" w:color="auto"/>
            <w:bottom w:val="none" w:sz="0" w:space="0" w:color="auto"/>
            <w:right w:val="none" w:sz="0" w:space="0" w:color="auto"/>
          </w:divBdr>
          <w:divsChild>
            <w:div w:id="640501087">
              <w:marLeft w:val="0"/>
              <w:marRight w:val="0"/>
              <w:marTop w:val="0"/>
              <w:marBottom w:val="0"/>
              <w:divBdr>
                <w:top w:val="none" w:sz="0" w:space="0" w:color="auto"/>
                <w:left w:val="none" w:sz="0" w:space="0" w:color="auto"/>
                <w:bottom w:val="none" w:sz="0" w:space="0" w:color="auto"/>
                <w:right w:val="none" w:sz="0" w:space="0" w:color="auto"/>
              </w:divBdr>
            </w:div>
          </w:divsChild>
        </w:div>
        <w:div w:id="43334847">
          <w:marLeft w:val="240"/>
          <w:marRight w:val="0"/>
          <w:marTop w:val="240"/>
          <w:marBottom w:val="0"/>
          <w:divBdr>
            <w:top w:val="none" w:sz="0" w:space="0" w:color="auto"/>
            <w:left w:val="none" w:sz="0" w:space="0" w:color="auto"/>
            <w:bottom w:val="none" w:sz="0" w:space="0" w:color="auto"/>
            <w:right w:val="none" w:sz="0" w:space="0" w:color="auto"/>
          </w:divBdr>
          <w:divsChild>
            <w:div w:id="1152916385">
              <w:marLeft w:val="0"/>
              <w:marRight w:val="0"/>
              <w:marTop w:val="0"/>
              <w:marBottom w:val="0"/>
              <w:divBdr>
                <w:top w:val="none" w:sz="0" w:space="0" w:color="auto"/>
                <w:left w:val="none" w:sz="0" w:space="0" w:color="auto"/>
                <w:bottom w:val="none" w:sz="0" w:space="0" w:color="auto"/>
                <w:right w:val="none" w:sz="0" w:space="0" w:color="auto"/>
              </w:divBdr>
            </w:div>
          </w:divsChild>
        </w:div>
        <w:div w:id="1102069596">
          <w:marLeft w:val="240"/>
          <w:marRight w:val="0"/>
          <w:marTop w:val="240"/>
          <w:marBottom w:val="0"/>
          <w:divBdr>
            <w:top w:val="none" w:sz="0" w:space="0" w:color="auto"/>
            <w:left w:val="none" w:sz="0" w:space="0" w:color="auto"/>
            <w:bottom w:val="none" w:sz="0" w:space="0" w:color="auto"/>
            <w:right w:val="none" w:sz="0" w:space="0" w:color="auto"/>
          </w:divBdr>
          <w:divsChild>
            <w:div w:id="82265785">
              <w:marLeft w:val="0"/>
              <w:marRight w:val="0"/>
              <w:marTop w:val="0"/>
              <w:marBottom w:val="0"/>
              <w:divBdr>
                <w:top w:val="none" w:sz="0" w:space="0" w:color="auto"/>
                <w:left w:val="none" w:sz="0" w:space="0" w:color="auto"/>
                <w:bottom w:val="none" w:sz="0" w:space="0" w:color="auto"/>
                <w:right w:val="none" w:sz="0" w:space="0" w:color="auto"/>
              </w:divBdr>
            </w:div>
          </w:divsChild>
        </w:div>
        <w:div w:id="336158775">
          <w:marLeft w:val="240"/>
          <w:marRight w:val="0"/>
          <w:marTop w:val="240"/>
          <w:marBottom w:val="0"/>
          <w:divBdr>
            <w:top w:val="none" w:sz="0" w:space="0" w:color="auto"/>
            <w:left w:val="none" w:sz="0" w:space="0" w:color="auto"/>
            <w:bottom w:val="none" w:sz="0" w:space="0" w:color="auto"/>
            <w:right w:val="none" w:sz="0" w:space="0" w:color="auto"/>
          </w:divBdr>
          <w:divsChild>
            <w:div w:id="1094090288">
              <w:marLeft w:val="0"/>
              <w:marRight w:val="0"/>
              <w:marTop w:val="0"/>
              <w:marBottom w:val="0"/>
              <w:divBdr>
                <w:top w:val="none" w:sz="0" w:space="0" w:color="auto"/>
                <w:left w:val="none" w:sz="0" w:space="0" w:color="auto"/>
                <w:bottom w:val="none" w:sz="0" w:space="0" w:color="auto"/>
                <w:right w:val="none" w:sz="0" w:space="0" w:color="auto"/>
              </w:divBdr>
            </w:div>
          </w:divsChild>
        </w:div>
        <w:div w:id="1286158368">
          <w:marLeft w:val="240"/>
          <w:marRight w:val="0"/>
          <w:marTop w:val="240"/>
          <w:marBottom w:val="0"/>
          <w:divBdr>
            <w:top w:val="none" w:sz="0" w:space="0" w:color="auto"/>
            <w:left w:val="none" w:sz="0" w:space="0" w:color="auto"/>
            <w:bottom w:val="none" w:sz="0" w:space="0" w:color="auto"/>
            <w:right w:val="none" w:sz="0" w:space="0" w:color="auto"/>
          </w:divBdr>
          <w:divsChild>
            <w:div w:id="843596309">
              <w:marLeft w:val="0"/>
              <w:marRight w:val="0"/>
              <w:marTop w:val="0"/>
              <w:marBottom w:val="0"/>
              <w:divBdr>
                <w:top w:val="none" w:sz="0" w:space="0" w:color="auto"/>
                <w:left w:val="none" w:sz="0" w:space="0" w:color="auto"/>
                <w:bottom w:val="none" w:sz="0" w:space="0" w:color="auto"/>
                <w:right w:val="none" w:sz="0" w:space="0" w:color="auto"/>
              </w:divBdr>
            </w:div>
          </w:divsChild>
        </w:div>
        <w:div w:id="827793199">
          <w:marLeft w:val="240"/>
          <w:marRight w:val="0"/>
          <w:marTop w:val="240"/>
          <w:marBottom w:val="0"/>
          <w:divBdr>
            <w:top w:val="none" w:sz="0" w:space="0" w:color="auto"/>
            <w:left w:val="none" w:sz="0" w:space="0" w:color="auto"/>
            <w:bottom w:val="none" w:sz="0" w:space="0" w:color="auto"/>
            <w:right w:val="none" w:sz="0" w:space="0" w:color="auto"/>
          </w:divBdr>
          <w:divsChild>
            <w:div w:id="1164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7920">
      <w:bodyDiv w:val="1"/>
      <w:marLeft w:val="0"/>
      <w:marRight w:val="0"/>
      <w:marTop w:val="0"/>
      <w:marBottom w:val="0"/>
      <w:divBdr>
        <w:top w:val="none" w:sz="0" w:space="0" w:color="auto"/>
        <w:left w:val="none" w:sz="0" w:space="0" w:color="auto"/>
        <w:bottom w:val="none" w:sz="0" w:space="0" w:color="auto"/>
        <w:right w:val="none" w:sz="0" w:space="0" w:color="auto"/>
      </w:divBdr>
    </w:div>
    <w:div w:id="1926182276">
      <w:bodyDiv w:val="1"/>
      <w:marLeft w:val="0"/>
      <w:marRight w:val="0"/>
      <w:marTop w:val="0"/>
      <w:marBottom w:val="0"/>
      <w:divBdr>
        <w:top w:val="none" w:sz="0" w:space="0" w:color="auto"/>
        <w:left w:val="none" w:sz="0" w:space="0" w:color="auto"/>
        <w:bottom w:val="none" w:sz="0" w:space="0" w:color="auto"/>
        <w:right w:val="none" w:sz="0" w:space="0" w:color="auto"/>
      </w:divBdr>
    </w:div>
    <w:div w:id="21008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2015-06-12T07:00:00+00:00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DCA32-BA83-4EA8-BC74-CFB03E6BEA8F}"/>
</file>

<file path=customXml/itemProps2.xml><?xml version="1.0" encoding="utf-8"?>
<ds:datastoreItem xmlns:ds="http://schemas.openxmlformats.org/officeDocument/2006/customXml" ds:itemID="{0FBCB763-1477-47A2-B0AC-E039C4BC78FB}"/>
</file>

<file path=customXml/itemProps3.xml><?xml version="1.0" encoding="utf-8"?>
<ds:datastoreItem xmlns:ds="http://schemas.openxmlformats.org/officeDocument/2006/customXml" ds:itemID="{3AF94805-D956-4140-95B2-1BD307297D7D}"/>
</file>

<file path=customXml/itemProps4.xml><?xml version="1.0" encoding="utf-8"?>
<ds:datastoreItem xmlns:ds="http://schemas.openxmlformats.org/officeDocument/2006/customXml" ds:itemID="{3D800718-E05A-493E-AA5C-E1021A412C81}"/>
</file>

<file path=docProps/app.xml><?xml version="1.0" encoding="utf-8"?>
<Properties xmlns="http://schemas.openxmlformats.org/officeDocument/2006/extended-properties" xmlns:vt="http://schemas.openxmlformats.org/officeDocument/2006/docPropsVTypes">
  <Template>Normal</Template>
  <TotalTime>0</TotalTime>
  <Pages>8</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2015-06-12T22:30:00Z</dcterms:created>
  <dcterms:modified xsi:type="dcterms:W3CDTF">2015-06-12T22:30:00Z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