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app0.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dd853e1cd" Type="http://schemas.openxmlformats.org/officeDocument/2006/extended-properties" Target="docProps/app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kern w:val="16"/>
          <w:sz w:val="24"/>
          <w:szCs w:val="24"/>
          <w:lang w:eastAsia="en-US"/>
        </w:rPr>
        <w:id w:val="-833681058"/>
        <w:docPartObj>
          <w:docPartGallery w:val="Table of Contents"/>
          <w:docPartUnique/>
        </w:docPartObj>
      </w:sdtPr>
      <w:sdtEndPr>
        <w:rPr>
          <w:noProof/>
        </w:rPr>
      </w:sdtEndPr>
      <w:sdtContent>
        <w:p w:rsidR="00065F54" w:rsidRDefault="00065F54" w:rsidP="00065F54">
          <w:pPr>
            <w:pStyle w:val="TOCHeading"/>
            <w:suppressLineNumbers/>
            <w:jc w:val="center"/>
            <w:rPr>
              <w:rFonts w:ascii="Times New Roman" w:hAnsi="Times New Roman" w:cs="Times New Roman"/>
              <w:color w:val="000000" w:themeColor="text1"/>
              <w:sz w:val="24"/>
              <w:szCs w:val="24"/>
            </w:rPr>
          </w:pPr>
          <w:r w:rsidRPr="00065F54">
            <w:rPr>
              <w:rFonts w:ascii="Times New Roman" w:hAnsi="Times New Roman" w:cs="Times New Roman"/>
              <w:color w:val="000000" w:themeColor="text1"/>
              <w:sz w:val="24"/>
              <w:szCs w:val="24"/>
            </w:rPr>
            <w:t>TABLE OF CONTENTS</w:t>
          </w:r>
        </w:p>
        <w:p w:rsidR="00AF16B2" w:rsidRPr="00AF16B2" w:rsidRDefault="00AF16B2" w:rsidP="00AF16B2">
          <w:pPr>
            <w:suppressLineNumbers/>
            <w:rPr>
              <w:lang w:eastAsia="ja-JP"/>
            </w:rPr>
          </w:pPr>
        </w:p>
        <w:p w:rsidR="00065F54" w:rsidRDefault="00065F54" w:rsidP="00AF16B2">
          <w:pPr>
            <w:pStyle w:val="TOC1"/>
            <w:suppressLineNumbers/>
            <w:tabs>
              <w:tab w:val="right" w:leader="dot" w:pos="8990"/>
            </w:tabs>
            <w:spacing w:after="0" w:line="360" w:lineRule="auto"/>
            <w:rPr>
              <w:noProof/>
            </w:rPr>
          </w:pPr>
          <w:r>
            <w:fldChar w:fldCharType="begin"/>
          </w:r>
          <w:r>
            <w:instrText xml:space="preserve"> TOC \o "1-3" \h \z \u </w:instrText>
          </w:r>
          <w:r>
            <w:fldChar w:fldCharType="separate"/>
          </w:r>
          <w:hyperlink w:anchor="_Toc403581697" w:history="1">
            <w:r w:rsidRPr="00AD3691">
              <w:rPr>
                <w:rStyle w:val="Hyperlink"/>
                <w:noProof/>
              </w:rPr>
              <w:t>PURPOSE OF TESTIMONY</w:t>
            </w:r>
            <w:r>
              <w:rPr>
                <w:noProof/>
                <w:webHidden/>
              </w:rPr>
              <w:tab/>
            </w:r>
            <w:r>
              <w:rPr>
                <w:noProof/>
                <w:webHidden/>
              </w:rPr>
              <w:fldChar w:fldCharType="begin"/>
            </w:r>
            <w:r>
              <w:rPr>
                <w:noProof/>
                <w:webHidden/>
              </w:rPr>
              <w:instrText xml:space="preserve"> PAGEREF _Toc403581697 \h </w:instrText>
            </w:r>
            <w:r>
              <w:rPr>
                <w:noProof/>
                <w:webHidden/>
              </w:rPr>
            </w:r>
            <w:r>
              <w:rPr>
                <w:noProof/>
                <w:webHidden/>
              </w:rPr>
              <w:fldChar w:fldCharType="separate"/>
            </w:r>
            <w:r w:rsidR="00D733F7">
              <w:rPr>
                <w:noProof/>
                <w:webHidden/>
              </w:rPr>
              <w:t>1</w:t>
            </w:r>
            <w:r>
              <w:rPr>
                <w:noProof/>
                <w:webHidden/>
              </w:rPr>
              <w:fldChar w:fldCharType="end"/>
            </w:r>
          </w:hyperlink>
        </w:p>
        <w:p w:rsidR="00065F54" w:rsidRDefault="00B65537" w:rsidP="00AF16B2">
          <w:pPr>
            <w:pStyle w:val="TOC1"/>
            <w:suppressLineNumbers/>
            <w:tabs>
              <w:tab w:val="right" w:leader="dot" w:pos="8990"/>
            </w:tabs>
            <w:spacing w:after="0" w:line="360" w:lineRule="auto"/>
            <w:rPr>
              <w:noProof/>
            </w:rPr>
          </w:pPr>
          <w:hyperlink w:anchor="_Toc403581698" w:history="1">
            <w:r w:rsidR="00065F54" w:rsidRPr="00AD3691">
              <w:rPr>
                <w:rStyle w:val="Hyperlink"/>
                <w:noProof/>
              </w:rPr>
              <w:t>WAGES AND SALARIES</w:t>
            </w:r>
            <w:r w:rsidR="00065F54">
              <w:rPr>
                <w:noProof/>
                <w:webHidden/>
              </w:rPr>
              <w:tab/>
            </w:r>
            <w:r w:rsidR="00065F54">
              <w:rPr>
                <w:noProof/>
                <w:webHidden/>
              </w:rPr>
              <w:fldChar w:fldCharType="begin"/>
            </w:r>
            <w:r w:rsidR="00065F54">
              <w:rPr>
                <w:noProof/>
                <w:webHidden/>
              </w:rPr>
              <w:instrText xml:space="preserve"> PAGEREF _Toc403581698 \h </w:instrText>
            </w:r>
            <w:r w:rsidR="00065F54">
              <w:rPr>
                <w:noProof/>
                <w:webHidden/>
              </w:rPr>
            </w:r>
            <w:r w:rsidR="00065F54">
              <w:rPr>
                <w:noProof/>
                <w:webHidden/>
              </w:rPr>
              <w:fldChar w:fldCharType="separate"/>
            </w:r>
            <w:r w:rsidR="00D733F7">
              <w:rPr>
                <w:noProof/>
                <w:webHidden/>
              </w:rPr>
              <w:t>2</w:t>
            </w:r>
            <w:r w:rsidR="00065F54">
              <w:rPr>
                <w:noProof/>
                <w:webHidden/>
              </w:rPr>
              <w:fldChar w:fldCharType="end"/>
            </w:r>
          </w:hyperlink>
        </w:p>
        <w:p w:rsidR="00065F54" w:rsidRDefault="00B65537" w:rsidP="00AF16B2">
          <w:pPr>
            <w:pStyle w:val="TOC1"/>
            <w:suppressLineNumbers/>
            <w:tabs>
              <w:tab w:val="right" w:leader="dot" w:pos="8990"/>
            </w:tabs>
            <w:spacing w:after="0" w:line="360" w:lineRule="auto"/>
            <w:rPr>
              <w:noProof/>
            </w:rPr>
          </w:pPr>
          <w:hyperlink w:anchor="_Toc403581699" w:history="1">
            <w:r w:rsidR="00065F54" w:rsidRPr="00AD3691">
              <w:rPr>
                <w:rStyle w:val="Hyperlink"/>
                <w:noProof/>
              </w:rPr>
              <w:t>EMPLOYEE REDUCTIONS</w:t>
            </w:r>
            <w:r w:rsidR="00065F54">
              <w:rPr>
                <w:noProof/>
                <w:webHidden/>
              </w:rPr>
              <w:tab/>
            </w:r>
            <w:r w:rsidR="00065F54">
              <w:rPr>
                <w:noProof/>
                <w:webHidden/>
              </w:rPr>
              <w:fldChar w:fldCharType="begin"/>
            </w:r>
            <w:r w:rsidR="00065F54">
              <w:rPr>
                <w:noProof/>
                <w:webHidden/>
              </w:rPr>
              <w:instrText xml:space="preserve"> PAGEREF _Toc403581699 \h </w:instrText>
            </w:r>
            <w:r w:rsidR="00065F54">
              <w:rPr>
                <w:noProof/>
                <w:webHidden/>
              </w:rPr>
            </w:r>
            <w:r w:rsidR="00065F54">
              <w:rPr>
                <w:noProof/>
                <w:webHidden/>
              </w:rPr>
              <w:fldChar w:fldCharType="separate"/>
            </w:r>
            <w:r w:rsidR="00D733F7">
              <w:rPr>
                <w:noProof/>
                <w:webHidden/>
              </w:rPr>
              <w:t>4</w:t>
            </w:r>
            <w:r w:rsidR="00065F54">
              <w:rPr>
                <w:noProof/>
                <w:webHidden/>
              </w:rPr>
              <w:fldChar w:fldCharType="end"/>
            </w:r>
          </w:hyperlink>
        </w:p>
        <w:p w:rsidR="00065F54" w:rsidRDefault="00B65537" w:rsidP="00AF16B2">
          <w:pPr>
            <w:pStyle w:val="TOC1"/>
            <w:suppressLineNumbers/>
            <w:tabs>
              <w:tab w:val="right" w:leader="dot" w:pos="8990"/>
            </w:tabs>
            <w:spacing w:after="0" w:line="360" w:lineRule="auto"/>
            <w:rPr>
              <w:noProof/>
            </w:rPr>
          </w:pPr>
          <w:hyperlink w:anchor="_Toc403581700" w:history="1">
            <w:r w:rsidR="00065F54" w:rsidRPr="00AD3691">
              <w:rPr>
                <w:rStyle w:val="Hyperlink"/>
                <w:noProof/>
              </w:rPr>
              <w:t>PENSION AND OPEB EXPENSE</w:t>
            </w:r>
            <w:r w:rsidR="00065F54">
              <w:rPr>
                <w:noProof/>
                <w:webHidden/>
              </w:rPr>
              <w:tab/>
            </w:r>
            <w:r w:rsidR="00065F54">
              <w:rPr>
                <w:noProof/>
                <w:webHidden/>
              </w:rPr>
              <w:fldChar w:fldCharType="begin"/>
            </w:r>
            <w:r w:rsidR="00065F54">
              <w:rPr>
                <w:noProof/>
                <w:webHidden/>
              </w:rPr>
              <w:instrText xml:space="preserve"> PAGEREF _Toc403581700 \h </w:instrText>
            </w:r>
            <w:r w:rsidR="00065F54">
              <w:rPr>
                <w:noProof/>
                <w:webHidden/>
              </w:rPr>
            </w:r>
            <w:r w:rsidR="00065F54">
              <w:rPr>
                <w:noProof/>
                <w:webHidden/>
              </w:rPr>
              <w:fldChar w:fldCharType="separate"/>
            </w:r>
            <w:r w:rsidR="00D733F7">
              <w:rPr>
                <w:noProof/>
                <w:webHidden/>
              </w:rPr>
              <w:t>7</w:t>
            </w:r>
            <w:r w:rsidR="00065F54">
              <w:rPr>
                <w:noProof/>
                <w:webHidden/>
              </w:rPr>
              <w:fldChar w:fldCharType="end"/>
            </w:r>
          </w:hyperlink>
        </w:p>
        <w:p w:rsidR="00065F54" w:rsidRDefault="00B65537" w:rsidP="00AF16B2">
          <w:pPr>
            <w:pStyle w:val="TOC1"/>
            <w:suppressLineNumbers/>
            <w:tabs>
              <w:tab w:val="right" w:leader="dot" w:pos="8990"/>
            </w:tabs>
            <w:spacing w:after="0" w:line="360" w:lineRule="auto"/>
            <w:rPr>
              <w:noProof/>
            </w:rPr>
          </w:pPr>
          <w:hyperlink w:anchor="_Toc403581701" w:history="1">
            <w:r w:rsidR="00065F54" w:rsidRPr="00AD3691">
              <w:rPr>
                <w:rStyle w:val="Hyperlink"/>
                <w:noProof/>
              </w:rPr>
              <w:t>RECOMMENDATION AND CONCLUSION</w:t>
            </w:r>
            <w:r w:rsidR="00065F54">
              <w:rPr>
                <w:noProof/>
                <w:webHidden/>
              </w:rPr>
              <w:tab/>
            </w:r>
            <w:r w:rsidR="00065F54">
              <w:rPr>
                <w:noProof/>
                <w:webHidden/>
              </w:rPr>
              <w:fldChar w:fldCharType="begin"/>
            </w:r>
            <w:r w:rsidR="00065F54">
              <w:rPr>
                <w:noProof/>
                <w:webHidden/>
              </w:rPr>
              <w:instrText xml:space="preserve"> PAGEREF _Toc403581701 \h </w:instrText>
            </w:r>
            <w:r w:rsidR="00065F54">
              <w:rPr>
                <w:noProof/>
                <w:webHidden/>
              </w:rPr>
            </w:r>
            <w:r w:rsidR="00065F54">
              <w:rPr>
                <w:noProof/>
                <w:webHidden/>
              </w:rPr>
              <w:fldChar w:fldCharType="separate"/>
            </w:r>
            <w:r w:rsidR="00D733F7">
              <w:rPr>
                <w:noProof/>
                <w:webHidden/>
              </w:rPr>
              <w:t>8</w:t>
            </w:r>
            <w:r w:rsidR="00065F54">
              <w:rPr>
                <w:noProof/>
                <w:webHidden/>
              </w:rPr>
              <w:fldChar w:fldCharType="end"/>
            </w:r>
          </w:hyperlink>
        </w:p>
        <w:p w:rsidR="00065F54" w:rsidRDefault="00065F54" w:rsidP="00065F54">
          <w:pPr>
            <w:suppressLineNumbers/>
          </w:pPr>
          <w:r>
            <w:rPr>
              <w:b/>
              <w:bCs/>
              <w:noProof/>
            </w:rPr>
            <w:fldChar w:fldCharType="end"/>
          </w:r>
        </w:p>
      </w:sdtContent>
    </w:sdt>
    <w:p w:rsidR="00065F54" w:rsidRDefault="00065F54" w:rsidP="00065F54">
      <w:pPr>
        <w:suppressLineNumbers/>
        <w:rPr>
          <w:b/>
        </w:rPr>
      </w:pPr>
      <w:r>
        <w:rPr>
          <w:b/>
        </w:rPr>
        <w:br w:type="page"/>
      </w:r>
    </w:p>
    <w:p w:rsidR="00AF16B2" w:rsidRDefault="00AF16B2" w:rsidP="00C855BE">
      <w:pPr>
        <w:spacing w:line="480" w:lineRule="auto"/>
        <w:ind w:left="720" w:hanging="720"/>
        <w:rPr>
          <w:b/>
        </w:rPr>
        <w:sectPr w:rsidR="00AF16B2" w:rsidSect="00AF16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00" w:header="720" w:footer="720" w:gutter="0"/>
          <w:lnNumType w:countBy="1"/>
          <w:pgNumType w:fmt="lowerRoman" w:chapSep="period"/>
          <w:cols w:space="720"/>
          <w:titlePg/>
          <w:docGrid w:linePitch="326"/>
        </w:sectPr>
      </w:pPr>
    </w:p>
    <w:p w:rsidR="001A1642" w:rsidRDefault="00982B61" w:rsidP="00C855BE">
      <w:pPr>
        <w:spacing w:line="480" w:lineRule="auto"/>
        <w:ind w:left="720" w:hanging="720"/>
        <w:rPr>
          <w:b/>
        </w:rPr>
      </w:pPr>
      <w:r>
        <w:rPr>
          <w:b/>
        </w:rPr>
        <w:lastRenderedPageBreak/>
        <w:t>Q.</w:t>
      </w:r>
      <w:r>
        <w:tab/>
      </w:r>
      <w:r>
        <w:rPr>
          <w:b/>
        </w:rPr>
        <w:t xml:space="preserve">Are you the same Erich D. Wilson who previously </w:t>
      </w:r>
      <w:r w:rsidR="00DC2A28">
        <w:rPr>
          <w:b/>
        </w:rPr>
        <w:t xml:space="preserve">submitted </w:t>
      </w:r>
      <w:r>
        <w:rPr>
          <w:b/>
        </w:rPr>
        <w:t xml:space="preserve">direct testimony </w:t>
      </w:r>
      <w:r w:rsidR="00F561CD">
        <w:rPr>
          <w:b/>
        </w:rPr>
        <w:t xml:space="preserve">in this case </w:t>
      </w:r>
      <w:r w:rsidR="00DC2A28">
        <w:rPr>
          <w:b/>
        </w:rPr>
        <w:t xml:space="preserve">on behalf of </w:t>
      </w:r>
      <w:r>
        <w:rPr>
          <w:b/>
        </w:rPr>
        <w:t xml:space="preserve">Pacific Power </w:t>
      </w:r>
      <w:r w:rsidR="00583B19">
        <w:rPr>
          <w:b/>
        </w:rPr>
        <w:t xml:space="preserve">&amp; Light Company </w:t>
      </w:r>
      <w:r>
        <w:rPr>
          <w:b/>
        </w:rPr>
        <w:t>(Pacifi</w:t>
      </w:r>
      <w:r w:rsidR="00583B19">
        <w:rPr>
          <w:b/>
        </w:rPr>
        <w:t>c Power</w:t>
      </w:r>
      <w:r>
        <w:rPr>
          <w:b/>
        </w:rPr>
        <w:t xml:space="preserve"> or Company)</w:t>
      </w:r>
      <w:r w:rsidR="00583B19">
        <w:rPr>
          <w:b/>
        </w:rPr>
        <w:t>, a division of PacifiCorp</w:t>
      </w:r>
      <w:r>
        <w:rPr>
          <w:b/>
        </w:rPr>
        <w:t>?</w:t>
      </w:r>
      <w:bookmarkStart w:id="1" w:name="Purpose_of_Testimony"/>
      <w:bookmarkEnd w:id="1"/>
    </w:p>
    <w:p w:rsidR="001A1642" w:rsidRDefault="00982B61" w:rsidP="00C855BE">
      <w:pPr>
        <w:spacing w:line="480" w:lineRule="auto"/>
        <w:ind w:left="720" w:hanging="720"/>
      </w:pPr>
      <w:r>
        <w:t>A.</w:t>
      </w:r>
      <w:r>
        <w:tab/>
        <w:t>Yes.</w:t>
      </w:r>
    </w:p>
    <w:p w:rsidR="001A1642" w:rsidRPr="00DC2A28" w:rsidRDefault="00982B61" w:rsidP="00DC2A28">
      <w:pPr>
        <w:pStyle w:val="Heading1"/>
      </w:pPr>
      <w:bookmarkStart w:id="2" w:name="_Toc403581697"/>
      <w:r w:rsidRPr="00DC2A28">
        <w:t>PURPOSE OF TESTIMONY</w:t>
      </w:r>
      <w:bookmarkEnd w:id="2"/>
    </w:p>
    <w:p w:rsidR="001A1642" w:rsidRDefault="00982B61" w:rsidP="003C1693">
      <w:pPr>
        <w:spacing w:line="480" w:lineRule="auto"/>
        <w:rPr>
          <w:b/>
        </w:rPr>
      </w:pPr>
      <w:r>
        <w:rPr>
          <w:b/>
        </w:rPr>
        <w:t>Q.</w:t>
      </w:r>
      <w:r>
        <w:tab/>
      </w:r>
      <w:r>
        <w:rPr>
          <w:b/>
        </w:rPr>
        <w:t>What is the purpose of your rebuttal testimony?</w:t>
      </w:r>
    </w:p>
    <w:p w:rsidR="001A1642" w:rsidRDefault="00982B61" w:rsidP="003C1693">
      <w:pPr>
        <w:spacing w:line="480" w:lineRule="auto"/>
        <w:ind w:left="720" w:hanging="720"/>
      </w:pPr>
      <w:r>
        <w:t>A.</w:t>
      </w:r>
      <w:r>
        <w:tab/>
        <w:t>The purpose of my rebuttal testimony is to address certain labor-related adjustments proposed by Public Counsel witness Ms. D</w:t>
      </w:r>
      <w:r w:rsidR="00DC2A28">
        <w:t xml:space="preserve">onna M. Ramas.  Specifically, I </w:t>
      </w:r>
      <w:r>
        <w:t xml:space="preserve">address Public Counsel’s </w:t>
      </w:r>
      <w:r w:rsidR="00583B19">
        <w:t>pro forma</w:t>
      </w:r>
      <w:r>
        <w:t xml:space="preserve"> wage adjustment, workforce level adjustment, and adjustments related to the Company’s pension expense and Other Post-Employment Benefits (OPEB).  </w:t>
      </w:r>
    </w:p>
    <w:p w:rsidR="001A1642" w:rsidRDefault="00982B61" w:rsidP="003C1693">
      <w:pPr>
        <w:spacing w:line="480" w:lineRule="auto"/>
        <w:ind w:left="720" w:hanging="720"/>
        <w:rPr>
          <w:b/>
        </w:rPr>
      </w:pPr>
      <w:r>
        <w:rPr>
          <w:b/>
        </w:rPr>
        <w:t>Q.</w:t>
      </w:r>
      <w:r>
        <w:rPr>
          <w:b/>
        </w:rPr>
        <w:tab/>
        <w:t>Please summarize your testimony.</w:t>
      </w:r>
    </w:p>
    <w:p w:rsidR="00FF4D5C" w:rsidRDefault="00982B61" w:rsidP="003C1693">
      <w:pPr>
        <w:spacing w:line="480" w:lineRule="auto"/>
        <w:ind w:left="720" w:hanging="720"/>
      </w:pPr>
      <w:r>
        <w:t>A.</w:t>
      </w:r>
      <w:r>
        <w:tab/>
      </w:r>
      <w:r w:rsidR="008061CF">
        <w:t>T</w:t>
      </w:r>
      <w:r>
        <w:t>he Company include</w:t>
      </w:r>
      <w:r w:rsidR="008061CF">
        <w:t>d</w:t>
      </w:r>
      <w:r>
        <w:t xml:space="preserve"> pro forma adjustments to it</w:t>
      </w:r>
      <w:r w:rsidR="000547F4">
        <w:t>s</w:t>
      </w:r>
      <w:r>
        <w:t xml:space="preserve"> wage and salary expense to most closely match the </w:t>
      </w:r>
      <w:r w:rsidR="00583B19">
        <w:t xml:space="preserve">expenses </w:t>
      </w:r>
      <w:r>
        <w:t>expected during the rate</w:t>
      </w:r>
      <w:r w:rsidR="00A30803">
        <w:t>-effective period</w:t>
      </w:r>
      <w:r>
        <w:t xml:space="preserve">. </w:t>
      </w:r>
      <w:r w:rsidR="00FF4D5C">
        <w:t xml:space="preserve"> </w:t>
      </w:r>
      <w:r w:rsidR="008061CF">
        <w:t xml:space="preserve">This approach is conceptually consistent with past Commission precedent allowing </w:t>
      </w:r>
      <w:r w:rsidR="00583B19">
        <w:t>pro forma</w:t>
      </w:r>
      <w:r w:rsidR="008061CF">
        <w:t xml:space="preserve"> adjustments to ensure accuracy in the Company’s labor costs.  </w:t>
      </w:r>
      <w:r w:rsidR="00891E85">
        <w:t>Consistent with past rate filings</w:t>
      </w:r>
      <w:r w:rsidR="00FF4D5C">
        <w:t>, t</w:t>
      </w:r>
      <w:r>
        <w:t xml:space="preserve">he Company included </w:t>
      </w:r>
      <w:r w:rsidR="00FF4D5C">
        <w:t xml:space="preserve">a </w:t>
      </w:r>
      <w:r>
        <w:t xml:space="preserve">pro forma wage and salary adjustment, </w:t>
      </w:r>
      <w:r w:rsidR="00FF4D5C">
        <w:t xml:space="preserve">but </w:t>
      </w:r>
      <w:r>
        <w:t xml:space="preserve">did not include pro forma adjustments for other components of its labor expenses.  </w:t>
      </w:r>
    </w:p>
    <w:p w:rsidR="001A1642" w:rsidRDefault="00FF4D5C" w:rsidP="003C1693">
      <w:pPr>
        <w:spacing w:line="480" w:lineRule="auto"/>
        <w:ind w:left="720" w:hanging="720"/>
      </w:pPr>
      <w:r>
        <w:tab/>
      </w:r>
      <w:r>
        <w:tab/>
      </w:r>
      <w:r w:rsidR="00982B61">
        <w:t>Public Counsel is the only party that challenged the Company’s labor expenses</w:t>
      </w:r>
      <w:r w:rsidR="00583B19">
        <w:t>, proposing</w:t>
      </w:r>
      <w:r w:rsidR="00982B61">
        <w:t xml:space="preserve"> adjustments to remove portions of the pro forma wage and salary adjustment, reflect temporar</w:t>
      </w:r>
      <w:r w:rsidR="00583B19">
        <w:t>il</w:t>
      </w:r>
      <w:r w:rsidR="00982B61">
        <w:t>y lower workforce levels, and include selective pro forma adjustments for pension and OPEB expense.  Public Counsel’s adjustments are inconsistent with prior Commission orders</w:t>
      </w:r>
      <w:r w:rsidR="00891E85">
        <w:t xml:space="preserve"> and should be rejected</w:t>
      </w:r>
      <w:r w:rsidR="00982B61">
        <w:t xml:space="preserve">.  </w:t>
      </w:r>
    </w:p>
    <w:p w:rsidR="001A1642" w:rsidRDefault="00982B61" w:rsidP="00DC2A28">
      <w:pPr>
        <w:pStyle w:val="Heading1"/>
      </w:pPr>
      <w:bookmarkStart w:id="3" w:name="_Toc403581698"/>
      <w:r>
        <w:lastRenderedPageBreak/>
        <w:t>WAGES AND SALARIES</w:t>
      </w:r>
      <w:bookmarkEnd w:id="3"/>
    </w:p>
    <w:p w:rsidR="001A1642" w:rsidRDefault="00982B61" w:rsidP="00891E85">
      <w:pPr>
        <w:spacing w:line="480" w:lineRule="auto"/>
        <w:rPr>
          <w:b/>
        </w:rPr>
      </w:pPr>
      <w:r>
        <w:rPr>
          <w:b/>
        </w:rPr>
        <w:t>Q.</w:t>
      </w:r>
      <w:r>
        <w:rPr>
          <w:b/>
        </w:rPr>
        <w:tab/>
        <w:t>How did the Company calculate its wage and salary expense in this case?</w:t>
      </w:r>
    </w:p>
    <w:p w:rsidR="001A1642" w:rsidRPr="000E7FAD" w:rsidRDefault="00982B61" w:rsidP="003C1693">
      <w:pPr>
        <w:spacing w:line="480" w:lineRule="auto"/>
        <w:ind w:left="720" w:hanging="720"/>
      </w:pPr>
      <w:r w:rsidRPr="00C855BE">
        <w:t>A.</w:t>
      </w:r>
      <w:r w:rsidRPr="000547F4">
        <w:rPr>
          <w:b/>
        </w:rPr>
        <w:tab/>
      </w:r>
      <w:r w:rsidRPr="00950C50">
        <w:t xml:space="preserve">The Company included a pro forma adjustment to reflect salary and wage expenses at </w:t>
      </w:r>
      <w:r w:rsidR="00FF4D5C">
        <w:t xml:space="preserve">the </w:t>
      </w:r>
      <w:r w:rsidRPr="00950C50">
        <w:t>level expected in the ra</w:t>
      </w:r>
      <w:r w:rsidR="00A30803">
        <w:t>te-</w:t>
      </w:r>
      <w:r w:rsidRPr="00950C50">
        <w:t>effective period.  The adjustment is based upon known and measurable increases under union contracts and known or anticipated increases for the non-union workforce.</w:t>
      </w:r>
    </w:p>
    <w:p w:rsidR="001A1642" w:rsidRDefault="00982B61" w:rsidP="00891E85">
      <w:pPr>
        <w:spacing w:line="480" w:lineRule="auto"/>
        <w:rPr>
          <w:b/>
        </w:rPr>
      </w:pPr>
      <w:r>
        <w:rPr>
          <w:b/>
        </w:rPr>
        <w:t>Q.</w:t>
      </w:r>
      <w:r>
        <w:rPr>
          <w:b/>
        </w:rPr>
        <w:tab/>
        <w:t>Please explain Public Counsel’s adjustment to wages.</w:t>
      </w:r>
    </w:p>
    <w:p w:rsidR="001A1642" w:rsidRDefault="00982B61" w:rsidP="003C1693">
      <w:pPr>
        <w:spacing w:line="480" w:lineRule="auto"/>
        <w:ind w:left="720" w:hanging="720"/>
      </w:pPr>
      <w:r>
        <w:t>A.</w:t>
      </w:r>
      <w:r>
        <w:tab/>
        <w:t xml:space="preserve">Public Counsel criticizes the Company for including projected </w:t>
      </w:r>
      <w:r w:rsidR="006841E0">
        <w:t>wage increases through the rate-</w:t>
      </w:r>
      <w:r>
        <w:t>effective period.</w:t>
      </w:r>
      <w:r w:rsidR="00FF4D5C">
        <w:t xml:space="preserve">  P</w:t>
      </w:r>
      <w:r>
        <w:t>ublic Counsel recommends that the pro forma wage and salary increases be limited to the actual known and measurable increases occurring within 12 months of the end of the test year, or through December 31, 2014.</w:t>
      </w:r>
      <w:r>
        <w:rPr>
          <w:rStyle w:val="FootnoteReference"/>
        </w:rPr>
        <w:footnoteReference w:id="1"/>
      </w:r>
      <w:r>
        <w:t xml:space="preserve">  Public Counsel argues that the proposed pro forma adjustment extends </w:t>
      </w:r>
      <w:r w:rsidR="00891E85">
        <w:t>too</w:t>
      </w:r>
      <w:r>
        <w:t xml:space="preserve"> far beyond the test year.  This adjustment would reduce the </w:t>
      </w:r>
      <w:r w:rsidR="00891E85">
        <w:t>Company’s revenue requirement by</w:t>
      </w:r>
      <w:r>
        <w:t xml:space="preserve"> </w:t>
      </w:r>
      <w:r w:rsidR="00891E85">
        <w:t xml:space="preserve">approximately </w:t>
      </w:r>
      <w:r>
        <w:t>$68</w:t>
      </w:r>
      <w:r w:rsidR="00891E85">
        <w:t>0,000 on a Washington-allocated basis</w:t>
      </w:r>
      <w:r>
        <w:t xml:space="preserve">.  </w:t>
      </w:r>
    </w:p>
    <w:p w:rsidR="001A1642" w:rsidRDefault="00982B61" w:rsidP="00C855BE">
      <w:pPr>
        <w:spacing w:line="480" w:lineRule="auto"/>
        <w:ind w:left="720" w:hanging="720"/>
        <w:jc w:val="both"/>
        <w:rPr>
          <w:b/>
        </w:rPr>
      </w:pPr>
      <w:r>
        <w:rPr>
          <w:b/>
        </w:rPr>
        <w:t>Q.</w:t>
      </w:r>
      <w:r>
        <w:rPr>
          <w:b/>
        </w:rPr>
        <w:tab/>
      </w:r>
      <w:r w:rsidR="00B73B22">
        <w:rPr>
          <w:b/>
        </w:rPr>
        <w:t>Do you agree with this adjustment</w:t>
      </w:r>
      <w:r>
        <w:rPr>
          <w:b/>
        </w:rPr>
        <w:t>?</w:t>
      </w:r>
    </w:p>
    <w:p w:rsidR="00B73B22" w:rsidRDefault="00982B61" w:rsidP="003C1693">
      <w:pPr>
        <w:spacing w:line="480" w:lineRule="auto"/>
        <w:ind w:left="720" w:hanging="720"/>
        <w:rPr>
          <w:b/>
        </w:rPr>
      </w:pPr>
      <w:r>
        <w:t>A.</w:t>
      </w:r>
      <w:r>
        <w:tab/>
      </w:r>
      <w:r w:rsidRPr="00950C50">
        <w:t xml:space="preserve">No.  </w:t>
      </w:r>
      <w:r w:rsidR="00FF4D5C" w:rsidRPr="000E7FAD">
        <w:t xml:space="preserve">As </w:t>
      </w:r>
      <w:r w:rsidRPr="00C855BE">
        <w:t>Public Counsel recognize</w:t>
      </w:r>
      <w:r w:rsidR="00FF4D5C" w:rsidRPr="00C855BE">
        <w:t xml:space="preserve">s, </w:t>
      </w:r>
      <w:r w:rsidRPr="00C855BE">
        <w:t xml:space="preserve">the Commission </w:t>
      </w:r>
      <w:r w:rsidR="00B73B22">
        <w:t xml:space="preserve">already </w:t>
      </w:r>
      <w:r w:rsidRPr="00C855BE">
        <w:t xml:space="preserve">has </w:t>
      </w:r>
      <w:r w:rsidR="00B73B22">
        <w:t xml:space="preserve">a history of </w:t>
      </w:r>
      <w:r w:rsidRPr="00C855BE">
        <w:t>allow</w:t>
      </w:r>
      <w:r w:rsidR="00B73B22">
        <w:t>ing</w:t>
      </w:r>
      <w:r w:rsidRPr="00C855BE">
        <w:t xml:space="preserve"> pro forma wage and salary increases that extend beyond the test year</w:t>
      </w:r>
      <w:r w:rsidR="00FF4D5C" w:rsidRPr="00C855BE">
        <w:t>.</w:t>
      </w:r>
      <w:r w:rsidR="00FF4D5C">
        <w:rPr>
          <w:b/>
        </w:rPr>
        <w:t xml:space="preserve">  </w:t>
      </w:r>
      <w:r w:rsidR="00950C50" w:rsidRPr="00950C50">
        <w:t xml:space="preserve">The Company’s pro forma adjustment in this case is conceptually consistent with that precedent, seeking to most accurately capture the costs </w:t>
      </w:r>
      <w:r w:rsidR="00DC5CBD">
        <w:t>expected to occur</w:t>
      </w:r>
      <w:r w:rsidR="00DC5CBD" w:rsidRPr="00950C50">
        <w:t xml:space="preserve"> </w:t>
      </w:r>
      <w:r w:rsidR="00950C50" w:rsidRPr="00950C50">
        <w:t>in the rate</w:t>
      </w:r>
      <w:r w:rsidR="00A30803">
        <w:t>-</w:t>
      </w:r>
      <w:r w:rsidR="00950C50" w:rsidRPr="00950C50">
        <w:t>effective period</w:t>
      </w:r>
      <w:r w:rsidR="00950C50">
        <w:t xml:space="preserve">.  This approach is also conceptually consistent with the Commission’s allowance </w:t>
      </w:r>
      <w:r w:rsidR="00B413BC">
        <w:t xml:space="preserve">of </w:t>
      </w:r>
      <w:r w:rsidR="00950C50">
        <w:t xml:space="preserve">projected and updated </w:t>
      </w:r>
      <w:r w:rsidR="00DC5CBD">
        <w:t>n</w:t>
      </w:r>
      <w:r w:rsidR="00950C50">
        <w:t xml:space="preserve">et </w:t>
      </w:r>
      <w:r w:rsidR="00DC5CBD">
        <w:t>p</w:t>
      </w:r>
      <w:r w:rsidR="00950C50">
        <w:t xml:space="preserve">ower </w:t>
      </w:r>
      <w:r w:rsidR="00DC5CBD">
        <w:t>c</w:t>
      </w:r>
      <w:r w:rsidR="00950C50">
        <w:t>osts for the rate</w:t>
      </w:r>
      <w:r w:rsidR="00A30803">
        <w:t>-</w:t>
      </w:r>
      <w:r w:rsidR="00950C50">
        <w:t>effective period</w:t>
      </w:r>
      <w:r w:rsidR="00B73B22" w:rsidRPr="00950C50">
        <w:t xml:space="preserve">. </w:t>
      </w:r>
    </w:p>
    <w:p w:rsidR="00B73B22" w:rsidRDefault="00B73B22" w:rsidP="003C1693">
      <w:pPr>
        <w:spacing w:line="480" w:lineRule="auto"/>
        <w:ind w:left="720" w:hanging="720"/>
        <w:rPr>
          <w:b/>
        </w:rPr>
      </w:pPr>
      <w:r>
        <w:rPr>
          <w:b/>
        </w:rPr>
        <w:t>Q.</w:t>
      </w:r>
      <w:r>
        <w:rPr>
          <w:b/>
        </w:rPr>
        <w:tab/>
        <w:t xml:space="preserve">Please summarize the Commission’s orders allowing </w:t>
      </w:r>
      <w:r w:rsidR="00DC5CBD">
        <w:rPr>
          <w:b/>
        </w:rPr>
        <w:t>pro forma</w:t>
      </w:r>
      <w:r>
        <w:rPr>
          <w:b/>
        </w:rPr>
        <w:t xml:space="preserve"> wage and salary adjustments. </w:t>
      </w:r>
    </w:p>
    <w:p w:rsidR="001A1642" w:rsidRPr="000E7FAD" w:rsidRDefault="00B73B22" w:rsidP="003C1693">
      <w:pPr>
        <w:spacing w:line="480" w:lineRule="auto"/>
        <w:ind w:left="720" w:hanging="720"/>
      </w:pPr>
      <w:r w:rsidRPr="00C855BE">
        <w:t>A.</w:t>
      </w:r>
      <w:r w:rsidRPr="00C855BE">
        <w:tab/>
      </w:r>
      <w:r w:rsidR="00982B61" w:rsidRPr="000E7FAD">
        <w:t>In the Company’s 2010, 2011, and 2013 rate cases (Dockets UE-100749, UE-111190</w:t>
      </w:r>
      <w:r w:rsidR="00982B61" w:rsidRPr="00C855BE">
        <w:t>, and UE-130043, respectively)</w:t>
      </w:r>
      <w:r w:rsidRPr="00C855BE">
        <w:t>,</w:t>
      </w:r>
      <w:r w:rsidR="00982B61" w:rsidRPr="00C855BE">
        <w:t xml:space="preserve"> the Company’s filing included pro forma adjustments to the test year wage and salary levels to reflect known and measurable changes.  In the 2010 </w:t>
      </w:r>
      <w:r w:rsidR="00FF4D5C" w:rsidRPr="00C855BE">
        <w:t xml:space="preserve">rate </w:t>
      </w:r>
      <w:r w:rsidR="00982B61" w:rsidRPr="00C855BE">
        <w:t xml:space="preserve">case, the pro forma adjustments reflected wage and salary increases occurring within 12 months of the end of the test period.  In that case, the Commission expressly rejected parties’ </w:t>
      </w:r>
      <w:r w:rsidR="00DC5CBD">
        <w:t>proposals to remove</w:t>
      </w:r>
      <w:r w:rsidR="00982B61" w:rsidRPr="00C855BE">
        <w:t xml:space="preserve"> the pro forma adjustments, finding that the “</w:t>
      </w:r>
      <w:r w:rsidR="00982B61" w:rsidRPr="003C1693">
        <w:t>pro forma</w:t>
      </w:r>
      <w:r w:rsidR="00982B61" w:rsidRPr="00C855BE">
        <w:t xml:space="preserve"> wage increases reflect known and measurable changes, and we approve them.”</w:t>
      </w:r>
      <w:r w:rsidR="00982B61" w:rsidRPr="000E7FAD">
        <w:rPr>
          <w:rStyle w:val="FootnoteReference"/>
        </w:rPr>
        <w:footnoteReference w:id="2"/>
      </w:r>
      <w:r w:rsidR="00982B61" w:rsidRPr="000E7FAD">
        <w:t xml:space="preserve">  </w:t>
      </w:r>
    </w:p>
    <w:p w:rsidR="001A1642" w:rsidRDefault="00982B61" w:rsidP="003C1693">
      <w:pPr>
        <w:spacing w:line="480" w:lineRule="auto"/>
        <w:ind w:left="720" w:hanging="720"/>
      </w:pPr>
      <w:r>
        <w:tab/>
      </w:r>
      <w:r>
        <w:tab/>
        <w:t xml:space="preserve">Similarly, in the 2011 rate case the Company included pro forma wage and salary adjustments to reflect the known and measurable changes occurring during the 12 months following the test period.  Parties again objected to the increase.  Ultimately, the 2011 rate case was resolved by a stipulation that </w:t>
      </w:r>
      <w:r w:rsidR="00DC5CBD">
        <w:t xml:space="preserve">did not specifically address </w:t>
      </w:r>
      <w:r>
        <w:t>wages and salaries.</w:t>
      </w:r>
    </w:p>
    <w:p w:rsidR="001A1642" w:rsidRDefault="00982B61" w:rsidP="003C1693">
      <w:pPr>
        <w:spacing w:line="480" w:lineRule="auto"/>
        <w:ind w:left="720" w:hanging="720"/>
      </w:pPr>
      <w:r>
        <w:tab/>
      </w:r>
      <w:r>
        <w:tab/>
        <w:t>In the 2013 rate case</w:t>
      </w:r>
      <w:r w:rsidR="0068701C">
        <w:t>,</w:t>
      </w:r>
      <w:r>
        <w:t xml:space="preserve"> the Company again included </w:t>
      </w:r>
      <w:r w:rsidR="00DC5CBD">
        <w:t>a</w:t>
      </w:r>
      <w:r>
        <w:t xml:space="preserve"> pro forma wage and salary adjustment, </w:t>
      </w:r>
      <w:r w:rsidR="0068701C">
        <w:t xml:space="preserve">this time </w:t>
      </w:r>
      <w:r>
        <w:t>without objection from the parties.</w:t>
      </w:r>
    </w:p>
    <w:p w:rsidR="001A1642" w:rsidRDefault="00982B61" w:rsidP="00DC2A28">
      <w:pPr>
        <w:widowControl w:val="0"/>
        <w:spacing w:line="480" w:lineRule="auto"/>
        <w:ind w:left="720" w:hanging="720"/>
      </w:pPr>
      <w:r>
        <w:rPr>
          <w:b/>
        </w:rPr>
        <w:t>Q.</w:t>
      </w:r>
      <w:r>
        <w:rPr>
          <w:b/>
        </w:rPr>
        <w:tab/>
        <w:t xml:space="preserve">The Company’s pro forma adjustment extends farther beyond the test year than the adjustments the Company has proposed in prior cases.  Is there any precedent supporting </w:t>
      </w:r>
      <w:r w:rsidR="00DC5CBD">
        <w:rPr>
          <w:b/>
        </w:rPr>
        <w:t>this</w:t>
      </w:r>
      <w:r>
        <w:rPr>
          <w:b/>
        </w:rPr>
        <w:t xml:space="preserve"> adjustment?</w:t>
      </w:r>
    </w:p>
    <w:p w:rsidR="001A1642" w:rsidRDefault="00982B61" w:rsidP="00DC2A28">
      <w:pPr>
        <w:widowControl w:val="0"/>
        <w:spacing w:line="480" w:lineRule="auto"/>
        <w:ind w:left="720" w:hanging="720"/>
      </w:pPr>
      <w:r>
        <w:t>A.</w:t>
      </w:r>
      <w:r>
        <w:tab/>
        <w:t>Yes.  Although the Company did not include adjustments reflecting the rate</w:t>
      </w:r>
      <w:r w:rsidR="00A30803">
        <w:t>-</w:t>
      </w:r>
      <w:r>
        <w:t xml:space="preserve">effective period in its prior cases, </w:t>
      </w:r>
      <w:r w:rsidR="00DC5CBD">
        <w:t xml:space="preserve">Avista </w:t>
      </w:r>
      <w:r w:rsidR="00A30803">
        <w:t xml:space="preserve">Corporation, d/b/a Avista </w:t>
      </w:r>
      <w:r w:rsidR="00DC5CBD">
        <w:t>Utilities</w:t>
      </w:r>
      <w:r w:rsidR="00A30803">
        <w:t>,</w:t>
      </w:r>
      <w:r w:rsidR="00DC5CBD">
        <w:t xml:space="preserve"> has used </w:t>
      </w:r>
      <w:r>
        <w:t>this approach in prior cases.</w:t>
      </w:r>
      <w:r>
        <w:rPr>
          <w:rStyle w:val="FootnoteReference"/>
        </w:rPr>
        <w:footnoteReference w:id="3"/>
      </w:r>
      <w:r>
        <w:t xml:space="preserve">  </w:t>
      </w:r>
    </w:p>
    <w:p w:rsidR="001A1642" w:rsidRDefault="00982B61" w:rsidP="003C1693">
      <w:pPr>
        <w:spacing w:line="480" w:lineRule="auto"/>
        <w:ind w:left="720" w:hanging="720"/>
      </w:pPr>
      <w:r>
        <w:rPr>
          <w:b/>
        </w:rPr>
        <w:t>Q.</w:t>
      </w:r>
      <w:r>
        <w:rPr>
          <w:b/>
        </w:rPr>
        <w:tab/>
        <w:t>Does the Company’s pro forma adjustment satisfy the Commission’s known and measurable standard?</w:t>
      </w:r>
    </w:p>
    <w:p w:rsidR="009D0A03" w:rsidRDefault="00982B61" w:rsidP="003C1693">
      <w:pPr>
        <w:spacing w:line="480" w:lineRule="auto"/>
        <w:ind w:left="720" w:hanging="720"/>
      </w:pPr>
      <w:r>
        <w:t>A.</w:t>
      </w:r>
      <w:r>
        <w:tab/>
        <w:t xml:space="preserve">Yes.  The wage and salary expense reflected in the pro forma adjustment for union employees represents the actual contractual amounts that the Company will pay to </w:t>
      </w:r>
      <w:r w:rsidR="00A30803">
        <w:t>those employees during the rate-</w:t>
      </w:r>
      <w:r>
        <w:t>effective period.  These contractual wages and salaries are market</w:t>
      </w:r>
      <w:r w:rsidR="00DC5CBD">
        <w:t xml:space="preserve"> </w:t>
      </w:r>
      <w:r>
        <w:t xml:space="preserve">based, resulting from negotiations with the unions.  </w:t>
      </w:r>
    </w:p>
    <w:p w:rsidR="001D50EB" w:rsidRDefault="009D0A03" w:rsidP="001D50EB">
      <w:pPr>
        <w:widowControl w:val="0"/>
        <w:spacing w:line="480" w:lineRule="auto"/>
        <w:ind w:left="720" w:hanging="720"/>
        <w:rPr>
          <w:rFonts w:eastAsia="Calibri"/>
          <w:kern w:val="0"/>
        </w:rPr>
      </w:pPr>
      <w:r>
        <w:tab/>
      </w:r>
      <w:r>
        <w:tab/>
      </w:r>
      <w:r w:rsidR="00982B61" w:rsidRPr="000E7FAD">
        <w:t>Similarly, the Company’s pro forma adjustment for non-union employees represents a conservative</w:t>
      </w:r>
      <w:r w:rsidR="00982B61" w:rsidRPr="00C855BE">
        <w:t>, market-based wage level that is representative of the wages and salaries th</w:t>
      </w:r>
      <w:r w:rsidR="006841E0">
        <w:t>at will be paid during the rate-</w:t>
      </w:r>
      <w:r w:rsidR="00982B61" w:rsidRPr="00C855BE">
        <w:t xml:space="preserve">effective </w:t>
      </w:r>
      <w:r w:rsidR="006841E0">
        <w:t>period</w:t>
      </w:r>
      <w:r w:rsidR="00982B61" w:rsidRPr="00C855BE">
        <w:t>.</w:t>
      </w:r>
      <w:r w:rsidRPr="00C855BE">
        <w:rPr>
          <w:rFonts w:eastAsia="Calibri"/>
          <w:kern w:val="0"/>
        </w:rPr>
        <w:t xml:space="preserve"> </w:t>
      </w:r>
      <w:r>
        <w:rPr>
          <w:rFonts w:eastAsia="Calibri"/>
          <w:kern w:val="0"/>
        </w:rPr>
        <w:t xml:space="preserve"> </w:t>
      </w:r>
      <w:r w:rsidRPr="00C855BE">
        <w:rPr>
          <w:rFonts w:eastAsia="Calibri"/>
          <w:kern w:val="0"/>
        </w:rPr>
        <w:t xml:space="preserve">The </w:t>
      </w:r>
      <w:r w:rsidRPr="00C855BE">
        <w:t>non</w:t>
      </w:r>
      <w:r w:rsidRPr="00C855BE">
        <w:rPr>
          <w:rFonts w:eastAsia="Calibri"/>
          <w:kern w:val="0"/>
        </w:rPr>
        <w:t xml:space="preserve">-union wage and salary expenses are known and measurable because they are based on the actual increases </w:t>
      </w:r>
      <w:r w:rsidR="00C25DFC">
        <w:rPr>
          <w:rFonts w:eastAsia="Calibri"/>
          <w:kern w:val="0"/>
        </w:rPr>
        <w:t xml:space="preserve">set as of December 26, </w:t>
      </w:r>
      <w:r w:rsidRPr="00C855BE">
        <w:rPr>
          <w:rFonts w:eastAsia="Calibri"/>
          <w:kern w:val="0"/>
        </w:rPr>
        <w:t>2014</w:t>
      </w:r>
      <w:r w:rsidR="00C25DFC">
        <w:rPr>
          <w:rFonts w:eastAsia="Calibri"/>
          <w:kern w:val="0"/>
        </w:rPr>
        <w:t>,</w:t>
      </w:r>
      <w:r w:rsidRPr="00C855BE">
        <w:rPr>
          <w:rFonts w:eastAsia="Calibri"/>
          <w:kern w:val="0"/>
        </w:rPr>
        <w:t xml:space="preserve"> and the planned wage and sa</w:t>
      </w:r>
      <w:r w:rsidR="006841E0">
        <w:rPr>
          <w:rFonts w:eastAsia="Calibri"/>
          <w:kern w:val="0"/>
        </w:rPr>
        <w:t>lary increases through the rate-</w:t>
      </w:r>
      <w:r w:rsidRPr="00C855BE">
        <w:rPr>
          <w:rFonts w:eastAsia="Calibri"/>
          <w:kern w:val="0"/>
        </w:rPr>
        <w:t xml:space="preserve">effective period.  The planned increases are consistent with the Company’s historical </w:t>
      </w:r>
      <w:r w:rsidRPr="00C855BE">
        <w:t>wage</w:t>
      </w:r>
      <w:r w:rsidRPr="00C855BE">
        <w:rPr>
          <w:rFonts w:eastAsia="Calibri"/>
          <w:kern w:val="0"/>
        </w:rPr>
        <w:t xml:space="preserve"> increases, both in terms of the timing of the increase and the percentage increase.</w:t>
      </w:r>
      <w:bookmarkStart w:id="4" w:name="_Toc403581699"/>
    </w:p>
    <w:p w:rsidR="001D50EB" w:rsidRDefault="00982B61" w:rsidP="001D50EB">
      <w:pPr>
        <w:pStyle w:val="Heading1"/>
      </w:pPr>
      <w:r w:rsidRPr="001D50EB">
        <w:t>EMPLOYEE REDUCTIONS</w:t>
      </w:r>
      <w:bookmarkStart w:id="5" w:name="Employee_Reductions"/>
      <w:bookmarkEnd w:id="4"/>
      <w:bookmarkEnd w:id="5"/>
    </w:p>
    <w:p w:rsidR="001D50EB" w:rsidRPr="001D50EB" w:rsidRDefault="00982B61" w:rsidP="001D50EB">
      <w:pPr>
        <w:widowControl w:val="0"/>
        <w:spacing w:line="480" w:lineRule="auto"/>
        <w:ind w:left="720" w:hanging="720"/>
        <w:rPr>
          <w:b/>
        </w:rPr>
      </w:pPr>
      <w:r w:rsidRPr="001D50EB">
        <w:rPr>
          <w:b/>
        </w:rPr>
        <w:t>Q.</w:t>
      </w:r>
      <w:r w:rsidRPr="001D50EB">
        <w:rPr>
          <w:b/>
        </w:rPr>
        <w:tab/>
      </w:r>
      <w:r w:rsidR="00DC5CBD" w:rsidRPr="001D50EB">
        <w:rPr>
          <w:b/>
        </w:rPr>
        <w:t>What employee levels did the Company use to determine</w:t>
      </w:r>
      <w:r w:rsidRPr="001D50EB">
        <w:rPr>
          <w:b/>
        </w:rPr>
        <w:t xml:space="preserve"> its labor expenses during the rate</w:t>
      </w:r>
      <w:r w:rsidR="00A30803" w:rsidRPr="001D50EB">
        <w:rPr>
          <w:b/>
        </w:rPr>
        <w:t>-</w:t>
      </w:r>
      <w:r w:rsidRPr="001D50EB">
        <w:rPr>
          <w:b/>
        </w:rPr>
        <w:t>effective period?</w:t>
      </w:r>
    </w:p>
    <w:p w:rsidR="001D50EB" w:rsidRDefault="00982B61" w:rsidP="001D50EB">
      <w:pPr>
        <w:widowControl w:val="0"/>
        <w:spacing w:line="480" w:lineRule="auto"/>
        <w:ind w:left="720" w:hanging="720"/>
      </w:pPr>
      <w:r w:rsidRPr="001D50EB">
        <w:t>A.</w:t>
      </w:r>
      <w:r w:rsidRPr="001D50EB">
        <w:tab/>
        <w:t>The Company used employee level</w:t>
      </w:r>
      <w:r w:rsidR="00DC5CBD" w:rsidRPr="001D50EB">
        <w:t xml:space="preserve">s from the historical </w:t>
      </w:r>
      <w:r w:rsidRPr="001D50EB">
        <w:t xml:space="preserve">test period to determine its labor expense.  </w:t>
      </w:r>
    </w:p>
    <w:p w:rsidR="001D50EB" w:rsidRPr="001D50EB" w:rsidRDefault="00982B61" w:rsidP="001D50EB">
      <w:pPr>
        <w:widowControl w:val="0"/>
        <w:spacing w:line="480" w:lineRule="auto"/>
        <w:ind w:left="720" w:hanging="720"/>
        <w:rPr>
          <w:b/>
        </w:rPr>
      </w:pPr>
      <w:r w:rsidRPr="001D50EB">
        <w:rPr>
          <w:b/>
        </w:rPr>
        <w:t>Q.</w:t>
      </w:r>
      <w:r w:rsidRPr="001D50EB">
        <w:rPr>
          <w:b/>
        </w:rPr>
        <w:tab/>
        <w:t>Please explain Public Counsel’s adjustment to the employee levels.</w:t>
      </w:r>
    </w:p>
    <w:p w:rsidR="001A1642" w:rsidRDefault="00982B61" w:rsidP="001D50EB">
      <w:pPr>
        <w:widowControl w:val="0"/>
        <w:spacing w:line="480" w:lineRule="auto"/>
        <w:ind w:left="720" w:hanging="720"/>
      </w:pPr>
      <w:r>
        <w:t>A.</w:t>
      </w:r>
      <w:r>
        <w:tab/>
        <w:t>Public Counsel claims that th</w:t>
      </w:r>
      <w:r w:rsidR="00A30803">
        <w:t>e Company’s number of full-time-</w:t>
      </w:r>
      <w:r>
        <w:t>equivalent (FTE) employees has decreased since the test period and that the revenue requirement should be based on the number of employees as of June 2014.</w:t>
      </w:r>
      <w:r w:rsidR="007963F9">
        <w:rPr>
          <w:rStyle w:val="FootnoteReference"/>
        </w:rPr>
        <w:footnoteReference w:id="4"/>
      </w:r>
      <w:r>
        <w:t xml:space="preserve">  Public Counsel’s adjustment would reduce the total number of FTE employees by 6</w:t>
      </w:r>
      <w:r w:rsidR="00C25DFC">
        <w:t xml:space="preserve">7 </w:t>
      </w:r>
      <w:r>
        <w:t xml:space="preserve">or 1.24 percent.  This adjustment results in a reduction </w:t>
      </w:r>
      <w:r w:rsidR="00DC5CBD">
        <w:t xml:space="preserve">to revenue requirement of approximately </w:t>
      </w:r>
      <w:r>
        <w:t>$3</w:t>
      </w:r>
      <w:r w:rsidR="00DC5CBD">
        <w:t>80</w:t>
      </w:r>
      <w:r>
        <w:t>,</w:t>
      </w:r>
      <w:r w:rsidR="00DC5CBD">
        <w:t xml:space="preserve">000 </w:t>
      </w:r>
      <w:r>
        <w:t>on a Washington</w:t>
      </w:r>
      <w:r w:rsidR="00DC5CBD">
        <w:t>-allocated</w:t>
      </w:r>
      <w:r>
        <w:t xml:space="preserve"> basis.</w:t>
      </w:r>
    </w:p>
    <w:p w:rsidR="001A1642" w:rsidRDefault="00982B61" w:rsidP="00C855BE">
      <w:pPr>
        <w:spacing w:line="480" w:lineRule="auto"/>
        <w:ind w:left="720" w:hanging="720"/>
        <w:jc w:val="both"/>
        <w:rPr>
          <w:b/>
        </w:rPr>
      </w:pPr>
      <w:r>
        <w:rPr>
          <w:b/>
        </w:rPr>
        <w:t>Q.</w:t>
      </w:r>
      <w:r>
        <w:tab/>
      </w:r>
      <w:r>
        <w:rPr>
          <w:b/>
        </w:rPr>
        <w:t>Do you agree with this adjustment?</w:t>
      </w:r>
    </w:p>
    <w:p w:rsidR="001A1642" w:rsidRDefault="00982B61" w:rsidP="003C1693">
      <w:pPr>
        <w:spacing w:line="480" w:lineRule="auto"/>
        <w:ind w:left="720" w:hanging="720"/>
      </w:pPr>
      <w:r>
        <w:t>A</w:t>
      </w:r>
      <w:r>
        <w:rPr>
          <w:b/>
        </w:rPr>
        <w:t>.</w:t>
      </w:r>
      <w:r>
        <w:tab/>
        <w:t>No.  While it is true that the number of employees temporarily decreased between the test year and June 2014, it is the Company</w:t>
      </w:r>
      <w:r w:rsidR="004E7E4E">
        <w:t>’</w:t>
      </w:r>
      <w:r>
        <w:t xml:space="preserve">s intent to </w:t>
      </w:r>
      <w:r w:rsidR="004E7E4E">
        <w:t xml:space="preserve">fill </w:t>
      </w:r>
      <w:r>
        <w:t>these vacancies and the Company was and</w:t>
      </w:r>
      <w:r w:rsidR="009D0A03">
        <w:t xml:space="preserve"> </w:t>
      </w:r>
      <w:r>
        <w:t xml:space="preserve">is actively recruiting.  For example, vacancies in </w:t>
      </w:r>
      <w:r w:rsidR="004E7E4E">
        <w:t>j</w:t>
      </w:r>
      <w:r>
        <w:t>ourneyman craft positions are backfilled through various ways, including external hiring, creating apprenticeships, or by using temporary employees or contractors.  Many of the Company’s service areas can present real challenges in terms of attracting and retaining qualified candidates so a variety of methods are used to try and fill vacant positions.</w:t>
      </w:r>
    </w:p>
    <w:p w:rsidR="001A1642" w:rsidRDefault="00982B61" w:rsidP="003C1693">
      <w:pPr>
        <w:spacing w:line="480" w:lineRule="auto"/>
        <w:ind w:left="720" w:hanging="720"/>
        <w:rPr>
          <w:b/>
        </w:rPr>
      </w:pPr>
      <w:r>
        <w:rPr>
          <w:b/>
        </w:rPr>
        <w:t>Q.</w:t>
      </w:r>
      <w:r>
        <w:rPr>
          <w:b/>
        </w:rPr>
        <w:tab/>
        <w:t>Is there any evidence that the June 2014 workforce level is indicative of the numb</w:t>
      </w:r>
      <w:r w:rsidR="00A30803">
        <w:rPr>
          <w:b/>
        </w:rPr>
        <w:t>er of employees during the rate-</w:t>
      </w:r>
      <w:r>
        <w:rPr>
          <w:b/>
        </w:rPr>
        <w:t>effective period?</w:t>
      </w:r>
    </w:p>
    <w:p w:rsidR="002C3D1F" w:rsidRDefault="00982B61" w:rsidP="003C1693">
      <w:pPr>
        <w:spacing w:line="480" w:lineRule="auto"/>
        <w:ind w:left="720" w:hanging="720"/>
      </w:pPr>
      <w:r>
        <w:t>A.</w:t>
      </w:r>
      <w:r>
        <w:tab/>
        <w:t xml:space="preserve">No.  </w:t>
      </w:r>
      <w:r w:rsidRPr="00B413BC">
        <w:t xml:space="preserve">The Company’s staffing numbers are dynamic and constantly changing.  In fact, </w:t>
      </w:r>
      <w:r w:rsidR="00C25DFC" w:rsidRPr="00B413BC">
        <w:t>from</w:t>
      </w:r>
      <w:r w:rsidRPr="00B413BC">
        <w:t xml:space="preserve"> April 30, 2014, </w:t>
      </w:r>
      <w:r w:rsidR="00C25DFC" w:rsidRPr="00B413BC">
        <w:t>t</w:t>
      </w:r>
      <w:r w:rsidR="001F5EE5" w:rsidRPr="00B413BC">
        <w:t>hrough</w:t>
      </w:r>
      <w:r w:rsidR="00C25DFC" w:rsidRPr="00B413BC">
        <w:t xml:space="preserve"> August </w:t>
      </w:r>
      <w:r w:rsidR="001F5EE5" w:rsidRPr="00B413BC">
        <w:t xml:space="preserve">31, </w:t>
      </w:r>
      <w:r w:rsidR="00C25DFC" w:rsidRPr="00B413BC">
        <w:t xml:space="preserve">2014, </w:t>
      </w:r>
      <w:r w:rsidRPr="00B413BC">
        <w:t>the Company added 376 employees,</w:t>
      </w:r>
      <w:r w:rsidR="002C3D1F" w:rsidRPr="00B413BC">
        <w:t xml:space="preserve"> while also </w:t>
      </w:r>
      <w:r w:rsidR="00A4419E" w:rsidRPr="00B413BC">
        <w:t>sourcing</w:t>
      </w:r>
      <w:r w:rsidR="002C3D1F" w:rsidRPr="00B413BC">
        <w:t xml:space="preserve"> for an additional 326 positions that became vacant during the same time period.</w:t>
      </w:r>
      <w:r w:rsidR="002C3D1F">
        <w:t xml:space="preserve"> </w:t>
      </w:r>
      <w:r>
        <w:t xml:space="preserve"> </w:t>
      </w:r>
    </w:p>
    <w:p w:rsidR="001D50EB" w:rsidRDefault="001D50EB" w:rsidP="001D50EB">
      <w:pPr>
        <w:suppressLineNumbers/>
        <w:spacing w:line="480" w:lineRule="auto"/>
        <w:ind w:left="720" w:hanging="720"/>
      </w:pPr>
    </w:p>
    <w:p w:rsidR="001A1642" w:rsidRDefault="00982B61" w:rsidP="003C1693">
      <w:pPr>
        <w:spacing w:line="480" w:lineRule="auto"/>
        <w:ind w:left="720" w:hanging="720"/>
      </w:pPr>
      <w:r>
        <w:rPr>
          <w:b/>
        </w:rPr>
        <w:t>Q.</w:t>
      </w:r>
      <w:r>
        <w:rPr>
          <w:b/>
        </w:rPr>
        <w:tab/>
        <w:t>Has the Commission previously rejected adjustments similar to the one proposed by Public Counsel?</w:t>
      </w:r>
    </w:p>
    <w:p w:rsidR="001A1642" w:rsidRDefault="00982B61" w:rsidP="003C1693">
      <w:pPr>
        <w:spacing w:line="480" w:lineRule="auto"/>
        <w:ind w:left="720" w:hanging="720"/>
      </w:pPr>
      <w:r>
        <w:t>A.</w:t>
      </w:r>
      <w:r>
        <w:tab/>
        <w:t>Yes.  In the Company’s 2010 rate case, the Industrial Customers of Northwest Utilities (ICNU) and Public Counsel argued for a</w:t>
      </w:r>
      <w:r w:rsidR="00A30803">
        <w:t xml:space="preserve"> similar</w:t>
      </w:r>
      <w:r>
        <w:t xml:space="preserve"> type of adjustment, claiming that PacifiCorp had experienced workforce reductions since the end of the test period.</w:t>
      </w:r>
      <w:r>
        <w:rPr>
          <w:rStyle w:val="FootnoteReference"/>
        </w:rPr>
        <w:footnoteReference w:id="5"/>
      </w:r>
      <w:r>
        <w:t xml:space="preserve">  The Commission rejected the ICNU and Public Counsel adjustment because they failed to demonstrate that the workforce reductions were permanent.</w:t>
      </w:r>
      <w:r>
        <w:rPr>
          <w:rStyle w:val="FootnoteReference"/>
        </w:rPr>
        <w:footnoteReference w:id="6"/>
      </w:r>
      <w:r>
        <w:t xml:space="preserve">  In that case, like here, the workforce reductions were temporary and due to hiring lag.  Public Counsel provided no evidence to suggest that the June 2014 employee levels represent a permanent reduction in workforce that should be reflected in rates.</w:t>
      </w:r>
    </w:p>
    <w:p w:rsidR="001A1642" w:rsidRDefault="00982B61" w:rsidP="003C1693">
      <w:pPr>
        <w:spacing w:line="480" w:lineRule="auto"/>
        <w:ind w:left="720" w:hanging="720"/>
        <w:rPr>
          <w:b/>
        </w:rPr>
      </w:pPr>
      <w:r>
        <w:rPr>
          <w:b/>
        </w:rPr>
        <w:t>Q.</w:t>
      </w:r>
      <w:r>
        <w:tab/>
      </w:r>
      <w:r>
        <w:rPr>
          <w:b/>
        </w:rPr>
        <w:t>If the Company is unable to fill positions, will the expense level go down correspondingly?</w:t>
      </w:r>
    </w:p>
    <w:p w:rsidR="001A1642" w:rsidRDefault="00982B61" w:rsidP="003C1693">
      <w:pPr>
        <w:spacing w:line="480" w:lineRule="auto"/>
        <w:ind w:left="720" w:hanging="720"/>
      </w:pPr>
      <w:r>
        <w:t>A</w:t>
      </w:r>
      <w:r>
        <w:rPr>
          <w:b/>
        </w:rPr>
        <w:t>.</w:t>
      </w:r>
      <w:r>
        <w:tab/>
        <w:t xml:space="preserve">No.  The amount of work and ultimately the dollars required to complete the work is not dependent on the number of FTE employees.  </w:t>
      </w:r>
      <w:r w:rsidR="004E7E4E">
        <w:t>The Company</w:t>
      </w:r>
      <w:r>
        <w:t xml:space="preserve"> uses a mix of FTE employees and contract labor to perform specific planned and unplanned work that is required to offer safe, reliable service. </w:t>
      </w:r>
      <w:r w:rsidR="009D0A03">
        <w:t xml:space="preserve"> </w:t>
      </w:r>
      <w:r>
        <w:t>When sufficient internal resources are not available to complete all work plan requirements, external resources are u</w:t>
      </w:r>
      <w:r w:rsidR="004E7E4E">
        <w:t>s</w:t>
      </w:r>
      <w:r>
        <w:t xml:space="preserve">ed to complete required work activities.  If the revenue requirement is reduced for assumed reductions in employee levels, the Company would require a corresponding adjustment to increase non-labor expense.  The amount of work required to be completed has not decreased and no reduction in the allowed expense should be incurred due to FTE numbers. </w:t>
      </w:r>
      <w:r w:rsidR="009D0A03">
        <w:t xml:space="preserve"> </w:t>
      </w:r>
      <w:r>
        <w:t xml:space="preserve">The Company must maintain </w:t>
      </w:r>
      <w:r w:rsidR="004E7E4E">
        <w:t xml:space="preserve">the </w:t>
      </w:r>
      <w:r>
        <w:t>safe, reliable service that customers depend on and</w:t>
      </w:r>
      <w:r w:rsidR="004E7E4E">
        <w:t>,</w:t>
      </w:r>
      <w:r>
        <w:t xml:space="preserve"> in doing so, will continue to </w:t>
      </w:r>
      <w:r w:rsidR="004E7E4E">
        <w:t xml:space="preserve">use </w:t>
      </w:r>
      <w:r>
        <w:t>a mix of FTE employee and contract services to complete the necessary operations and maintenance work.</w:t>
      </w:r>
    </w:p>
    <w:p w:rsidR="001A1642" w:rsidRDefault="00982B61" w:rsidP="00DC2A28">
      <w:pPr>
        <w:pStyle w:val="Heading1"/>
      </w:pPr>
      <w:bookmarkStart w:id="6" w:name="_Toc403581700"/>
      <w:r>
        <w:t>PENSION AND OPEB EXPENSE</w:t>
      </w:r>
      <w:bookmarkEnd w:id="6"/>
    </w:p>
    <w:p w:rsidR="001A1642" w:rsidRDefault="00982B61" w:rsidP="003C1693">
      <w:pPr>
        <w:spacing w:line="480" w:lineRule="auto"/>
        <w:ind w:left="720" w:hanging="720"/>
      </w:pPr>
      <w:r>
        <w:rPr>
          <w:b/>
        </w:rPr>
        <w:t>Q.</w:t>
      </w:r>
      <w:r>
        <w:rPr>
          <w:b/>
        </w:rPr>
        <w:tab/>
        <w:t>How did the Company calculate the pension and OPEB expense level</w:t>
      </w:r>
      <w:r w:rsidR="00A720CB">
        <w:rPr>
          <w:b/>
        </w:rPr>
        <w:t>s</w:t>
      </w:r>
      <w:r>
        <w:rPr>
          <w:b/>
        </w:rPr>
        <w:t xml:space="preserve"> that w</w:t>
      </w:r>
      <w:r w:rsidR="00A720CB">
        <w:rPr>
          <w:b/>
        </w:rPr>
        <w:t>ere</w:t>
      </w:r>
      <w:r>
        <w:rPr>
          <w:b/>
        </w:rPr>
        <w:t xml:space="preserve"> included in its </w:t>
      </w:r>
      <w:r w:rsidR="00A720CB">
        <w:rPr>
          <w:b/>
        </w:rPr>
        <w:t>initial filing</w:t>
      </w:r>
      <w:r>
        <w:rPr>
          <w:b/>
        </w:rPr>
        <w:t>?</w:t>
      </w:r>
    </w:p>
    <w:p w:rsidR="001A1642" w:rsidRDefault="00982B61" w:rsidP="003C1693">
      <w:pPr>
        <w:spacing w:line="480" w:lineRule="auto"/>
        <w:ind w:left="720" w:hanging="720"/>
      </w:pPr>
      <w:r>
        <w:t>A.</w:t>
      </w:r>
      <w:r>
        <w:tab/>
        <w:t>Consistent with prior filings, the Company included the</w:t>
      </w:r>
      <w:r w:rsidR="00A720CB">
        <w:t xml:space="preserve"> historical</w:t>
      </w:r>
      <w:r>
        <w:t xml:space="preserve"> test</w:t>
      </w:r>
      <w:r w:rsidR="00A720CB">
        <w:t>-</w:t>
      </w:r>
      <w:r>
        <w:t>year expense</w:t>
      </w:r>
      <w:r w:rsidR="00A720CB">
        <w:t>s</w:t>
      </w:r>
      <w:r>
        <w:t xml:space="preserve"> in its </w:t>
      </w:r>
      <w:r w:rsidR="00A720CB">
        <w:t xml:space="preserve">initial </w:t>
      </w:r>
      <w:r>
        <w:t xml:space="preserve">filing.  </w:t>
      </w:r>
    </w:p>
    <w:p w:rsidR="001A1642" w:rsidRDefault="00982B61" w:rsidP="003C1693">
      <w:pPr>
        <w:keepNext/>
        <w:spacing w:line="480" w:lineRule="auto"/>
        <w:ind w:left="720" w:hanging="720"/>
        <w:rPr>
          <w:b/>
        </w:rPr>
      </w:pPr>
      <w:r>
        <w:rPr>
          <w:b/>
        </w:rPr>
        <w:t>Q.</w:t>
      </w:r>
      <w:r>
        <w:rPr>
          <w:b/>
        </w:rPr>
        <w:tab/>
        <w:t>Please describe Public Counsel’s proposed adjustment</w:t>
      </w:r>
      <w:r w:rsidR="00A720CB">
        <w:rPr>
          <w:b/>
        </w:rPr>
        <w:t>s</w:t>
      </w:r>
      <w:r>
        <w:rPr>
          <w:b/>
        </w:rPr>
        <w:t xml:space="preserve"> to pension and OPEB expense.  </w:t>
      </w:r>
    </w:p>
    <w:p w:rsidR="001A1642" w:rsidRDefault="00982B61" w:rsidP="003C1693">
      <w:pPr>
        <w:spacing w:line="480" w:lineRule="auto"/>
        <w:ind w:left="720" w:hanging="720"/>
      </w:pPr>
      <w:r>
        <w:t>A.</w:t>
      </w:r>
      <w:r>
        <w:tab/>
        <w:t>Public Counsel recommends that the pension and OPEB expense be updated to reflect amounts for 2014.</w:t>
      </w:r>
      <w:r w:rsidR="007963F9">
        <w:rPr>
          <w:rStyle w:val="FootnoteReference"/>
        </w:rPr>
        <w:footnoteReference w:id="7"/>
      </w:r>
      <w:r>
        <w:t xml:space="preserve">  Public Counsel argues that these amounts are known and measurable changes.  Public Counsel’s adjustment</w:t>
      </w:r>
      <w:r w:rsidR="00A720CB">
        <w:t>s</w:t>
      </w:r>
      <w:r>
        <w:t xml:space="preserve"> reduce pension expense by </w:t>
      </w:r>
      <w:r w:rsidR="008061CF">
        <w:t xml:space="preserve">approximately </w:t>
      </w:r>
      <w:r>
        <w:t>$1</w:t>
      </w:r>
      <w:r w:rsidR="009D0A03">
        <w:t>.</w:t>
      </w:r>
      <w:r w:rsidR="008061CF">
        <w:t>2</w:t>
      </w:r>
      <w:r w:rsidR="009D0A03">
        <w:t xml:space="preserve"> million</w:t>
      </w:r>
      <w:r>
        <w:t xml:space="preserve"> and OPEB expense by </w:t>
      </w:r>
      <w:r w:rsidR="008061CF">
        <w:t xml:space="preserve">approximately </w:t>
      </w:r>
      <w:r>
        <w:t>$10</w:t>
      </w:r>
      <w:r w:rsidR="00A81A61">
        <w:t>0</w:t>
      </w:r>
      <w:r>
        <w:t>,</w:t>
      </w:r>
      <w:r w:rsidR="008061CF">
        <w:t>000</w:t>
      </w:r>
      <w:r w:rsidR="00A720CB">
        <w:t>, both</w:t>
      </w:r>
      <w:r>
        <w:t xml:space="preserve"> on a Washington</w:t>
      </w:r>
      <w:r w:rsidR="004E7E4E">
        <w:t>-allocated</w:t>
      </w:r>
      <w:r>
        <w:t xml:space="preserve"> basis.  </w:t>
      </w:r>
    </w:p>
    <w:p w:rsidR="001A1642" w:rsidRDefault="00982B61" w:rsidP="003C1693">
      <w:pPr>
        <w:spacing w:line="480" w:lineRule="auto"/>
        <w:ind w:left="720" w:hanging="720"/>
      </w:pPr>
      <w:r>
        <w:rPr>
          <w:b/>
        </w:rPr>
        <w:t>Q.</w:t>
      </w:r>
      <w:r>
        <w:rPr>
          <w:b/>
        </w:rPr>
        <w:tab/>
        <w:t>Do you agree with Public Counsel’s pension and OPEB expense adjustment</w:t>
      </w:r>
      <w:r w:rsidR="00A720CB">
        <w:rPr>
          <w:b/>
        </w:rPr>
        <w:t>s</w:t>
      </w:r>
      <w:r>
        <w:rPr>
          <w:b/>
        </w:rPr>
        <w:t>?</w:t>
      </w:r>
    </w:p>
    <w:p w:rsidR="001A1642" w:rsidRDefault="00982B61" w:rsidP="003C1693">
      <w:pPr>
        <w:spacing w:line="480" w:lineRule="auto"/>
        <w:ind w:left="720" w:hanging="720"/>
      </w:pPr>
      <w:r>
        <w:t>A.</w:t>
      </w:r>
      <w:r>
        <w:tab/>
        <w:t>No.  Public Counsel’s adjustment</w:t>
      </w:r>
      <w:r w:rsidR="00A720CB">
        <w:t>s are</w:t>
      </w:r>
      <w:r>
        <w:t xml:space="preserve"> inconsistent with prior pension and OPEB expense treatment and unreasonably single out these expenses for </w:t>
      </w:r>
      <w:r w:rsidR="004E7E4E">
        <w:t>pro forma</w:t>
      </w:r>
      <w:r>
        <w:t xml:space="preserve"> adjustment.  The Company’s prior filings consistently used the test</w:t>
      </w:r>
      <w:r w:rsidR="004E7E4E">
        <w:t>-</w:t>
      </w:r>
      <w:r>
        <w:t xml:space="preserve">year pension and OPEB expenses, without controversy.  </w:t>
      </w:r>
    </w:p>
    <w:p w:rsidR="001A1642" w:rsidRDefault="00982B61" w:rsidP="003C1693">
      <w:pPr>
        <w:spacing w:line="480" w:lineRule="auto"/>
        <w:ind w:left="720" w:hanging="720"/>
        <w:rPr>
          <w:b/>
        </w:rPr>
      </w:pPr>
      <w:r>
        <w:rPr>
          <w:b/>
        </w:rPr>
        <w:t>Q.</w:t>
      </w:r>
      <w:r>
        <w:rPr>
          <w:b/>
        </w:rPr>
        <w:tab/>
        <w:t>How do you reconcile your rejection of Public Counsel’s pension and OPEB expense adjustment with your recommendation to adjust wages and salaries to r</w:t>
      </w:r>
      <w:r w:rsidR="006841E0">
        <w:rPr>
          <w:b/>
        </w:rPr>
        <w:t>eflect amounts through the rate-</w:t>
      </w:r>
      <w:r>
        <w:rPr>
          <w:b/>
        </w:rPr>
        <w:t>effective period?</w:t>
      </w:r>
    </w:p>
    <w:p w:rsidR="001A1642" w:rsidRDefault="00982B61" w:rsidP="003C1693">
      <w:pPr>
        <w:spacing w:line="480" w:lineRule="auto"/>
        <w:ind w:left="720" w:hanging="720"/>
      </w:pPr>
      <w:r>
        <w:t>A.</w:t>
      </w:r>
      <w:r>
        <w:tab/>
        <w:t>As discussed above, the Company’s treatment of wage and salary expenses is consistent with p</w:t>
      </w:r>
      <w:r w:rsidR="008061CF">
        <w:t>ast</w:t>
      </w:r>
      <w:r>
        <w:t xml:space="preserve"> filings by both Pacifi</w:t>
      </w:r>
      <w:r w:rsidR="00A81A61">
        <w:t>c Power</w:t>
      </w:r>
      <w:r>
        <w:t xml:space="preserve"> and other Washington utilities, which have used known and measurable </w:t>
      </w:r>
      <w:r w:rsidR="004E7E4E">
        <w:t>pro forma</w:t>
      </w:r>
      <w:r>
        <w:t xml:space="preserve"> adjustments to more accurately reflect the wages and salaries during the rate</w:t>
      </w:r>
      <w:r w:rsidR="006841E0">
        <w:t>-</w:t>
      </w:r>
      <w:r>
        <w:t>effective period.  However, even though the Company use</w:t>
      </w:r>
      <w:r w:rsidR="004E7E4E">
        <w:t>s</w:t>
      </w:r>
      <w:r>
        <w:t xml:space="preserve"> </w:t>
      </w:r>
      <w:r w:rsidR="004E7E4E">
        <w:t>pro forma</w:t>
      </w:r>
      <w:r>
        <w:t xml:space="preserve"> adjustments for wages and salaries, it </w:t>
      </w:r>
      <w:r w:rsidR="004E7E4E">
        <w:t xml:space="preserve">does </w:t>
      </w:r>
      <w:r>
        <w:t>not ma</w:t>
      </w:r>
      <w:r w:rsidR="00A81A61">
        <w:t>k</w:t>
      </w:r>
      <w:r>
        <w:t>e similar adjustments for other labor costs, such as pensions, OPEB, or other employee benefits</w:t>
      </w:r>
      <w:r w:rsidR="00A81A61">
        <w:t xml:space="preserve"> (</w:t>
      </w:r>
      <w:r>
        <w:t>like health</w:t>
      </w:r>
      <w:r w:rsidR="001F5EE5">
        <w:t>-</w:t>
      </w:r>
      <w:r>
        <w:t>care benefits</w:t>
      </w:r>
      <w:r w:rsidR="00A81A61">
        <w:t>)</w:t>
      </w:r>
      <w:r>
        <w:t xml:space="preserve">.  For example, in the 2010 rate case discussed above, the Commission specifically approved the Company’s </w:t>
      </w:r>
      <w:r w:rsidR="001F5EE5">
        <w:t>pro forma</w:t>
      </w:r>
      <w:r>
        <w:t xml:space="preserve"> wage and labor adjustment while observing that “PacifiCorp did not adjust changes in workforce levels, employee benefits and incentives, or pensions.”</w:t>
      </w:r>
      <w:r>
        <w:rPr>
          <w:rStyle w:val="FootnoteReference"/>
        </w:rPr>
        <w:footnoteReference w:id="8"/>
      </w:r>
      <w:r>
        <w:t xml:space="preserve">  </w:t>
      </w:r>
    </w:p>
    <w:p w:rsidR="001A1642" w:rsidRDefault="00982B61" w:rsidP="002C3D1F">
      <w:pPr>
        <w:widowControl w:val="0"/>
        <w:spacing w:line="480" w:lineRule="auto"/>
        <w:ind w:left="720" w:hanging="720"/>
      </w:pPr>
      <w:r>
        <w:rPr>
          <w:b/>
        </w:rPr>
        <w:t>Q.</w:t>
      </w:r>
      <w:r>
        <w:rPr>
          <w:b/>
        </w:rPr>
        <w:tab/>
        <w:t>Why is it problematic to provide pro forma adjustments for only pension and OPEB expenses?</w:t>
      </w:r>
    </w:p>
    <w:p w:rsidR="002C3D1F" w:rsidRDefault="00982B61" w:rsidP="002C3D1F">
      <w:pPr>
        <w:widowControl w:val="0"/>
        <w:spacing w:line="480" w:lineRule="auto"/>
        <w:ind w:left="720" w:hanging="720"/>
      </w:pPr>
      <w:r>
        <w:t>A.</w:t>
      </w:r>
      <w:r>
        <w:tab/>
        <w:t xml:space="preserve">Adjusting only two components to </w:t>
      </w:r>
      <w:r w:rsidR="00A81A61">
        <w:t xml:space="preserve">decrease </w:t>
      </w:r>
      <w:r>
        <w:t>the Company’s total labor</w:t>
      </w:r>
      <w:r w:rsidR="00A81A61">
        <w:t>-related</w:t>
      </w:r>
      <w:r>
        <w:t xml:space="preserve"> </w:t>
      </w:r>
    </w:p>
    <w:p w:rsidR="001A1642" w:rsidRDefault="00982B61" w:rsidP="002C3D1F">
      <w:pPr>
        <w:widowControl w:val="0"/>
        <w:spacing w:line="480" w:lineRule="auto"/>
        <w:ind w:left="720"/>
      </w:pPr>
      <w:r>
        <w:t>expenses, without making corresponding adjustments to the other labor</w:t>
      </w:r>
      <w:r w:rsidR="00A81A61">
        <w:t xml:space="preserve">-related </w:t>
      </w:r>
      <w:r>
        <w:t xml:space="preserve">expense components that will offset the increases is inconsistent </w:t>
      </w:r>
      <w:r w:rsidR="00A81A61">
        <w:t>and</w:t>
      </w:r>
      <w:r>
        <w:t xml:space="preserve"> unfair.</w:t>
      </w:r>
    </w:p>
    <w:p w:rsidR="001A1642" w:rsidRDefault="00982B61" w:rsidP="00DC2A28">
      <w:pPr>
        <w:pStyle w:val="Heading1"/>
      </w:pPr>
      <w:bookmarkStart w:id="7" w:name="_Toc403581701"/>
      <w:r>
        <w:t>RECOMMENDATION AND CONCLUSION</w:t>
      </w:r>
      <w:bookmarkEnd w:id="7"/>
    </w:p>
    <w:p w:rsidR="001A1642" w:rsidRDefault="00982B61" w:rsidP="003C1693">
      <w:pPr>
        <w:spacing w:line="480" w:lineRule="auto"/>
        <w:ind w:left="720" w:hanging="720"/>
        <w:rPr>
          <w:b/>
        </w:rPr>
      </w:pPr>
      <w:r>
        <w:rPr>
          <w:b/>
        </w:rPr>
        <w:t>Q.</w:t>
      </w:r>
      <w:r>
        <w:tab/>
      </w:r>
      <w:r>
        <w:rPr>
          <w:b/>
        </w:rPr>
        <w:t>What is your recommendation to the Commission?</w:t>
      </w:r>
    </w:p>
    <w:p w:rsidR="001A1642" w:rsidRDefault="00982B61" w:rsidP="003C1693">
      <w:pPr>
        <w:spacing w:line="480" w:lineRule="auto"/>
        <w:ind w:left="720" w:hanging="720"/>
      </w:pPr>
      <w:r>
        <w:t>A.</w:t>
      </w:r>
      <w:r>
        <w:tab/>
      </w:r>
      <w:r w:rsidR="00A81A61">
        <w:t xml:space="preserve">I recommend that the Commission approve the Company’s proposed labor expenses as consistent with prior Commission orders.  </w:t>
      </w:r>
      <w:r>
        <w:t>I</w:t>
      </w:r>
      <w:r w:rsidR="00A81A61">
        <w:t xml:space="preserve"> further</w:t>
      </w:r>
      <w:r>
        <w:t xml:space="preserve"> recommend that the Commission reject Public Counsel’s proposed adjustments to wages and salaries, workforce levels, and pension and OPEB expense.  </w:t>
      </w:r>
    </w:p>
    <w:p w:rsidR="001A1642" w:rsidRDefault="00982B61" w:rsidP="001F5EE5">
      <w:pPr>
        <w:spacing w:line="480" w:lineRule="auto"/>
        <w:ind w:left="720" w:hanging="720"/>
        <w:rPr>
          <w:b/>
        </w:rPr>
      </w:pPr>
      <w:r>
        <w:rPr>
          <w:b/>
        </w:rPr>
        <w:t>Q.</w:t>
      </w:r>
      <w:r>
        <w:tab/>
      </w:r>
      <w:r>
        <w:rPr>
          <w:b/>
        </w:rPr>
        <w:t>Does this conclude your rebuttal testimony?</w:t>
      </w:r>
    </w:p>
    <w:p w:rsidR="001A1642" w:rsidRDefault="00982B61" w:rsidP="003C1693">
      <w:pPr>
        <w:spacing w:line="480" w:lineRule="auto"/>
        <w:ind w:left="720" w:hanging="720"/>
      </w:pPr>
      <w:r>
        <w:t>A.</w:t>
      </w:r>
      <w:r>
        <w:tab/>
        <w:t>Yes.</w:t>
      </w:r>
    </w:p>
    <w:sectPr w:rsidR="001A1642" w:rsidSect="00AF16B2">
      <w:footerReference w:type="first" r:id="rId14"/>
      <w:type w:val="continuous"/>
      <w:pgSz w:w="12240" w:h="15840" w:code="1"/>
      <w:pgMar w:top="1440" w:right="1440" w:bottom="1440" w:left="1800" w:header="720" w:footer="720" w:gutter="0"/>
      <w:lnNumType w:countBy="1"/>
      <w:pgNumType w:start="1" w:chapSep="period"/>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93" w:rsidRDefault="00C43093">
      <w:r>
        <w:separator/>
      </w:r>
    </w:p>
  </w:endnote>
  <w:endnote w:type="continuationSeparator" w:id="0">
    <w:p w:rsidR="00C43093" w:rsidRDefault="00C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37" w:rsidRDefault="00B65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EE5" w:rsidRDefault="001F5EE5" w:rsidP="00C855BE">
    <w:pPr>
      <w:pStyle w:val="Footer"/>
      <w:tabs>
        <w:tab w:val="clear" w:pos="4680"/>
        <w:tab w:val="right" w:pos="9000"/>
      </w:tabs>
    </w:pPr>
    <w:r>
      <w:t>Rebuttal Testimony of Erich D. Wilson</w:t>
    </w:r>
    <w:r>
      <w:tab/>
      <w:t>Exhibit No. EDW-2T</w:t>
    </w:r>
  </w:p>
  <w:p w:rsidR="001F5EE5" w:rsidRDefault="00065F54" w:rsidP="00065F54">
    <w:pPr>
      <w:pStyle w:val="Footer"/>
      <w:tabs>
        <w:tab w:val="left" w:pos="1233"/>
        <w:tab w:val="right" w:pos="9000"/>
      </w:tabs>
    </w:pPr>
    <w:r>
      <w:tab/>
    </w:r>
    <w:r>
      <w:tab/>
    </w:r>
    <w:r>
      <w:tab/>
    </w:r>
    <w:r w:rsidR="001F5EE5">
      <w:t xml:space="preserve">Page </w:t>
    </w:r>
    <w:r w:rsidR="001F5EE5" w:rsidRPr="000547F4">
      <w:fldChar w:fldCharType="begin"/>
    </w:r>
    <w:r w:rsidR="001F5EE5">
      <w:instrText xml:space="preserve"> PAGE  \* Arabic  \* MERGEFORMAT </w:instrText>
    </w:r>
    <w:r w:rsidR="001F5EE5" w:rsidRPr="000547F4">
      <w:fldChar w:fldCharType="separate"/>
    </w:r>
    <w:r w:rsidR="00B65537">
      <w:rPr>
        <w:noProof/>
      </w:rPr>
      <w:t>9</w:t>
    </w:r>
    <w:r w:rsidR="001F5EE5" w:rsidRPr="000547F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B2" w:rsidRDefault="00AF16B2" w:rsidP="00AF16B2">
    <w:pPr>
      <w:pStyle w:val="Footer"/>
      <w:tabs>
        <w:tab w:val="clear" w:pos="4680"/>
        <w:tab w:val="right" w:pos="9000"/>
      </w:tabs>
    </w:pPr>
    <w:r>
      <w:t>Rebuttal Testimony of Erich D. Wilson</w:t>
    </w:r>
    <w:r>
      <w:tab/>
      <w:t>Exhibit No. EDW-2T</w:t>
    </w:r>
  </w:p>
  <w:p w:rsidR="00AF16B2" w:rsidRDefault="00AF16B2" w:rsidP="00AF16B2">
    <w:pPr>
      <w:pStyle w:val="Footer"/>
      <w:tabs>
        <w:tab w:val="left" w:pos="1233"/>
        <w:tab w:val="right" w:pos="9000"/>
      </w:tabs>
    </w:pPr>
    <w:r>
      <w:tab/>
    </w:r>
    <w:r>
      <w:tab/>
    </w:r>
    <w:r>
      <w:tab/>
      <w:t xml:space="preserve">Page </w:t>
    </w:r>
    <w:r>
      <w:fldChar w:fldCharType="begin"/>
    </w:r>
    <w:r>
      <w:instrText xml:space="preserve"> PAGE   \* MERGEFORMAT </w:instrText>
    </w:r>
    <w:r>
      <w:fldChar w:fldCharType="separate"/>
    </w:r>
    <w:r w:rsidR="00B65537">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B2" w:rsidRDefault="00AF16B2" w:rsidP="00AF16B2">
    <w:pPr>
      <w:pStyle w:val="Footer"/>
      <w:tabs>
        <w:tab w:val="clear" w:pos="4680"/>
        <w:tab w:val="right" w:pos="9000"/>
      </w:tabs>
    </w:pPr>
    <w:r>
      <w:t>Rebuttal Testimony of Erich D. Wilson</w:t>
    </w:r>
    <w:r>
      <w:tab/>
      <w:t>Exhibit No. EDW-2T</w:t>
    </w:r>
  </w:p>
  <w:p w:rsidR="00AF16B2" w:rsidRDefault="00AF16B2" w:rsidP="00AF16B2">
    <w:pPr>
      <w:pStyle w:val="Footer"/>
      <w:tabs>
        <w:tab w:val="left" w:pos="1233"/>
        <w:tab w:val="right" w:pos="9000"/>
      </w:tabs>
    </w:pPr>
    <w:r>
      <w:tab/>
    </w:r>
    <w:r>
      <w:tab/>
    </w:r>
    <w:r>
      <w:tab/>
      <w:t xml:space="preserve">Page </w:t>
    </w:r>
    <w:r>
      <w:fldChar w:fldCharType="begin"/>
    </w:r>
    <w:r>
      <w:instrText xml:space="preserve"> PAGE   \* MERGEFORMAT </w:instrText>
    </w:r>
    <w:r>
      <w:fldChar w:fldCharType="separate"/>
    </w:r>
    <w:r w:rsidR="00B6553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93" w:rsidRDefault="00C43093">
      <w:r>
        <w:separator/>
      </w:r>
    </w:p>
  </w:footnote>
  <w:footnote w:type="continuationSeparator" w:id="0">
    <w:p w:rsidR="00C43093" w:rsidRDefault="00C43093">
      <w:r>
        <w:continuationSeparator/>
      </w:r>
    </w:p>
  </w:footnote>
  <w:footnote w:id="1">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Pr>
          <w:sz w:val="20"/>
          <w:szCs w:val="20"/>
        </w:rPr>
        <w:t xml:space="preserve">Revised Testimony of Donna M. </w:t>
      </w:r>
      <w:r w:rsidRPr="00C855BE">
        <w:rPr>
          <w:sz w:val="20"/>
          <w:szCs w:val="20"/>
        </w:rPr>
        <w:t>Ramas, Exh</w:t>
      </w:r>
      <w:r>
        <w:rPr>
          <w:sz w:val="20"/>
          <w:szCs w:val="20"/>
        </w:rPr>
        <w:t>ibit</w:t>
      </w:r>
      <w:r w:rsidRPr="00C855BE">
        <w:rPr>
          <w:sz w:val="20"/>
          <w:szCs w:val="20"/>
        </w:rPr>
        <w:t xml:space="preserve"> No. DMR-1CT </w:t>
      </w:r>
      <w:r>
        <w:rPr>
          <w:sz w:val="20"/>
          <w:szCs w:val="20"/>
        </w:rPr>
        <w:t xml:space="preserve">at </w:t>
      </w:r>
      <w:r w:rsidRPr="00C855BE">
        <w:rPr>
          <w:sz w:val="20"/>
          <w:szCs w:val="20"/>
        </w:rPr>
        <w:t>19-21.</w:t>
      </w:r>
    </w:p>
  </w:footnote>
  <w:footnote w:id="2">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sidRPr="00C855BE">
        <w:rPr>
          <w:i/>
          <w:sz w:val="20"/>
          <w:szCs w:val="20"/>
        </w:rPr>
        <w:t>Wash. Utils. &amp; Transp. Comm’n v. PacifiCorp</w:t>
      </w:r>
      <w:r w:rsidRPr="00C855BE">
        <w:rPr>
          <w:sz w:val="20"/>
          <w:szCs w:val="20"/>
        </w:rPr>
        <w:t>, Docket UE-100749, Order 06 ¶¶ 226-235 (Mar. 25, 2011).</w:t>
      </w:r>
    </w:p>
  </w:footnote>
  <w:footnote w:id="3">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sidRPr="00C855BE">
        <w:rPr>
          <w:i/>
          <w:sz w:val="20"/>
          <w:szCs w:val="20"/>
        </w:rPr>
        <w:t>See e.g.</w:t>
      </w:r>
      <w:r w:rsidRPr="00C855BE">
        <w:rPr>
          <w:sz w:val="20"/>
          <w:szCs w:val="20"/>
        </w:rPr>
        <w:t xml:space="preserve">, </w:t>
      </w:r>
      <w:r w:rsidRPr="00C855BE">
        <w:rPr>
          <w:i/>
          <w:sz w:val="20"/>
          <w:szCs w:val="20"/>
        </w:rPr>
        <w:t>Wash. Utils. &amp; Transp. Comm’n v. Avista Utilities</w:t>
      </w:r>
      <w:r w:rsidRPr="00C855BE">
        <w:rPr>
          <w:sz w:val="20"/>
          <w:szCs w:val="20"/>
        </w:rPr>
        <w:t xml:space="preserve">, Docket UE-120436, </w:t>
      </w:r>
      <w:r>
        <w:rPr>
          <w:sz w:val="20"/>
          <w:szCs w:val="20"/>
        </w:rPr>
        <w:t xml:space="preserve">Direct Testimony of Elizabeth M. </w:t>
      </w:r>
      <w:r w:rsidRPr="00C855BE">
        <w:rPr>
          <w:sz w:val="20"/>
          <w:szCs w:val="20"/>
        </w:rPr>
        <w:t>Andrews, Exh</w:t>
      </w:r>
      <w:r>
        <w:rPr>
          <w:sz w:val="20"/>
          <w:szCs w:val="20"/>
        </w:rPr>
        <w:t>ibit</w:t>
      </w:r>
      <w:r w:rsidRPr="00C855BE">
        <w:rPr>
          <w:sz w:val="20"/>
          <w:szCs w:val="20"/>
        </w:rPr>
        <w:t xml:space="preserve"> No. EMA-1T </w:t>
      </w:r>
      <w:r>
        <w:rPr>
          <w:sz w:val="20"/>
          <w:szCs w:val="20"/>
        </w:rPr>
        <w:t xml:space="preserve">at </w:t>
      </w:r>
      <w:r w:rsidRPr="00C855BE">
        <w:rPr>
          <w:sz w:val="20"/>
          <w:szCs w:val="20"/>
        </w:rPr>
        <w:t>28 (Apr. 2, 2012).</w:t>
      </w:r>
    </w:p>
  </w:footnote>
  <w:footnote w:id="4">
    <w:p w:rsidR="001F5EE5" w:rsidRDefault="001F5EE5">
      <w:pPr>
        <w:pStyle w:val="FootnoteText"/>
      </w:pPr>
      <w:r>
        <w:rPr>
          <w:rStyle w:val="FootnoteReference"/>
        </w:rPr>
        <w:footnoteRef/>
      </w:r>
      <w:r>
        <w:t xml:space="preserve"> </w:t>
      </w:r>
      <w:r>
        <w:rPr>
          <w:sz w:val="20"/>
          <w:szCs w:val="20"/>
        </w:rPr>
        <w:t xml:space="preserve">Revised Testimony of Donna M. </w:t>
      </w:r>
      <w:r w:rsidRPr="00C855BE">
        <w:rPr>
          <w:sz w:val="20"/>
          <w:szCs w:val="20"/>
        </w:rPr>
        <w:t>Ramas, Exh</w:t>
      </w:r>
      <w:r>
        <w:rPr>
          <w:sz w:val="20"/>
          <w:szCs w:val="20"/>
        </w:rPr>
        <w:t>ibit</w:t>
      </w:r>
      <w:r w:rsidRPr="00C855BE">
        <w:rPr>
          <w:sz w:val="20"/>
          <w:szCs w:val="20"/>
        </w:rPr>
        <w:t xml:space="preserve"> No. DMR-1CT</w:t>
      </w:r>
      <w:r>
        <w:rPr>
          <w:sz w:val="20"/>
          <w:szCs w:val="20"/>
        </w:rPr>
        <w:t xml:space="preserve"> at 22-24.</w:t>
      </w:r>
    </w:p>
  </w:footnote>
  <w:footnote w:id="5">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sidRPr="00C855BE">
        <w:rPr>
          <w:i/>
          <w:sz w:val="20"/>
          <w:szCs w:val="20"/>
        </w:rPr>
        <w:t>Wash. Utils. &amp; Transp. Comm’n v. PacifiCorp</w:t>
      </w:r>
      <w:r w:rsidRPr="00C855BE">
        <w:rPr>
          <w:sz w:val="20"/>
          <w:szCs w:val="20"/>
        </w:rPr>
        <w:t xml:space="preserve">, Docket UE-100749, </w:t>
      </w:r>
      <w:r>
        <w:rPr>
          <w:sz w:val="20"/>
          <w:szCs w:val="20"/>
        </w:rPr>
        <w:t xml:space="preserve">Responsive Testimony of Greg R. </w:t>
      </w:r>
      <w:r w:rsidRPr="00C855BE">
        <w:rPr>
          <w:sz w:val="20"/>
          <w:szCs w:val="20"/>
        </w:rPr>
        <w:t>Meyer</w:t>
      </w:r>
      <w:r>
        <w:rPr>
          <w:sz w:val="20"/>
          <w:szCs w:val="20"/>
        </w:rPr>
        <w:t xml:space="preserve"> on Behalf of the Industrial Customers of Northwest Utilities and Public Counsel</w:t>
      </w:r>
      <w:r w:rsidRPr="00C855BE">
        <w:rPr>
          <w:sz w:val="20"/>
          <w:szCs w:val="20"/>
        </w:rPr>
        <w:t>, Exh</w:t>
      </w:r>
      <w:r>
        <w:rPr>
          <w:sz w:val="20"/>
          <w:szCs w:val="20"/>
        </w:rPr>
        <w:t>ibit</w:t>
      </w:r>
      <w:r w:rsidRPr="00C855BE">
        <w:rPr>
          <w:sz w:val="20"/>
          <w:szCs w:val="20"/>
        </w:rPr>
        <w:t xml:space="preserve"> No. GRM-1CT </w:t>
      </w:r>
      <w:r>
        <w:rPr>
          <w:sz w:val="20"/>
          <w:szCs w:val="20"/>
        </w:rPr>
        <w:t xml:space="preserve">at </w:t>
      </w:r>
      <w:r w:rsidRPr="00C855BE">
        <w:rPr>
          <w:sz w:val="20"/>
          <w:szCs w:val="20"/>
        </w:rPr>
        <w:t>22-23 (Oct. 5, 2010).</w:t>
      </w:r>
    </w:p>
  </w:footnote>
  <w:footnote w:id="6">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sidRPr="00C855BE">
        <w:rPr>
          <w:i/>
          <w:sz w:val="20"/>
          <w:szCs w:val="20"/>
        </w:rPr>
        <w:t>Wash. Utils. &amp; Transp. Comm’n v. PacifiCorp</w:t>
      </w:r>
      <w:r w:rsidRPr="00C855BE">
        <w:rPr>
          <w:sz w:val="20"/>
          <w:szCs w:val="20"/>
        </w:rPr>
        <w:t>, Docket UE-100749,</w:t>
      </w:r>
      <w:r w:rsidR="006841E0">
        <w:rPr>
          <w:sz w:val="20"/>
          <w:szCs w:val="20"/>
        </w:rPr>
        <w:t xml:space="preserve"> Order 06 ¶ 232 (Mar. 25, 2011)</w:t>
      </w:r>
      <w:r w:rsidRPr="00C855BE">
        <w:rPr>
          <w:sz w:val="20"/>
          <w:szCs w:val="20"/>
        </w:rPr>
        <w:t>.</w:t>
      </w:r>
    </w:p>
  </w:footnote>
  <w:footnote w:id="7">
    <w:p w:rsidR="001F5EE5" w:rsidRDefault="001F5EE5">
      <w:pPr>
        <w:pStyle w:val="FootnoteText"/>
      </w:pPr>
      <w:r>
        <w:rPr>
          <w:rStyle w:val="FootnoteReference"/>
        </w:rPr>
        <w:footnoteRef/>
      </w:r>
      <w:r>
        <w:t xml:space="preserve"> </w:t>
      </w:r>
      <w:r>
        <w:rPr>
          <w:sz w:val="20"/>
          <w:szCs w:val="20"/>
        </w:rPr>
        <w:t xml:space="preserve">Revised Testimony of Donna M. </w:t>
      </w:r>
      <w:r w:rsidRPr="00C855BE">
        <w:rPr>
          <w:sz w:val="20"/>
          <w:szCs w:val="20"/>
        </w:rPr>
        <w:t>Ramas, Exh</w:t>
      </w:r>
      <w:r>
        <w:rPr>
          <w:sz w:val="20"/>
          <w:szCs w:val="20"/>
        </w:rPr>
        <w:t>ibit</w:t>
      </w:r>
      <w:r w:rsidRPr="00C855BE">
        <w:rPr>
          <w:sz w:val="20"/>
          <w:szCs w:val="20"/>
        </w:rPr>
        <w:t xml:space="preserve"> No. DMR-1CT</w:t>
      </w:r>
      <w:r>
        <w:rPr>
          <w:sz w:val="20"/>
          <w:szCs w:val="20"/>
        </w:rPr>
        <w:t xml:space="preserve"> at 24-28.</w:t>
      </w:r>
    </w:p>
  </w:footnote>
  <w:footnote w:id="8">
    <w:p w:rsidR="001F5EE5" w:rsidRPr="00C855BE" w:rsidRDefault="001F5EE5" w:rsidP="003C1693">
      <w:pPr>
        <w:pStyle w:val="FootnoteText"/>
        <w:spacing w:before="60"/>
        <w:rPr>
          <w:sz w:val="20"/>
          <w:szCs w:val="20"/>
        </w:rPr>
      </w:pPr>
      <w:r w:rsidRPr="00C855BE">
        <w:rPr>
          <w:rStyle w:val="FootnoteReference"/>
          <w:sz w:val="20"/>
          <w:szCs w:val="20"/>
        </w:rPr>
        <w:footnoteRef/>
      </w:r>
      <w:r w:rsidRPr="00C855BE">
        <w:rPr>
          <w:sz w:val="20"/>
          <w:szCs w:val="20"/>
        </w:rPr>
        <w:t xml:space="preserve"> </w:t>
      </w:r>
      <w:r w:rsidR="00A81A61" w:rsidRPr="00C855BE">
        <w:rPr>
          <w:sz w:val="20"/>
          <w:szCs w:val="20"/>
        </w:rPr>
        <w:t>Docket</w:t>
      </w:r>
      <w:r w:rsidR="00F561CD">
        <w:rPr>
          <w:sz w:val="20"/>
          <w:szCs w:val="20"/>
        </w:rPr>
        <w:t xml:space="preserve"> </w:t>
      </w:r>
      <w:r w:rsidR="00A81A61" w:rsidRPr="00C855BE">
        <w:rPr>
          <w:sz w:val="20"/>
          <w:szCs w:val="20"/>
        </w:rPr>
        <w:t>UE-100749</w:t>
      </w:r>
      <w:r w:rsidR="00A81A61">
        <w:rPr>
          <w:sz w:val="20"/>
          <w:szCs w:val="20"/>
        </w:rPr>
        <w:t xml:space="preserve">, </w:t>
      </w:r>
      <w:r w:rsidRPr="00C855BE">
        <w:rPr>
          <w:sz w:val="20"/>
          <w:szCs w:val="20"/>
        </w:rPr>
        <w:t>Order 06 ¶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37" w:rsidRDefault="00B65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EE5" w:rsidRDefault="001F5EE5">
    <w:pPr>
      <w:spacing w:line="28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37" w:rsidRDefault="00B65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0E07"/>
    <w:multiLevelType w:val="hybridMultilevel"/>
    <w:tmpl w:val="9856C784"/>
    <w:lvl w:ilvl="0" w:tplc="D0863D60">
      <w:start w:val="1"/>
      <w:numFmt w:val="bullet"/>
      <w:lvlText w:val="• "/>
      <w:lvlJc w:val="left"/>
      <w:pPr>
        <w:ind w:hanging="360"/>
      </w:pPr>
    </w:lvl>
    <w:lvl w:ilvl="1" w:tplc="05F4DC9C">
      <w:numFmt w:val="decimal"/>
      <w:lvlText w:val=""/>
      <w:lvlJc w:val="left"/>
    </w:lvl>
    <w:lvl w:ilvl="2" w:tplc="DD2A41B4">
      <w:numFmt w:val="decimal"/>
      <w:lvlText w:val=""/>
      <w:lvlJc w:val="left"/>
    </w:lvl>
    <w:lvl w:ilvl="3" w:tplc="1960DA66">
      <w:numFmt w:val="decimal"/>
      <w:lvlText w:val=""/>
      <w:lvlJc w:val="left"/>
    </w:lvl>
    <w:lvl w:ilvl="4" w:tplc="2B68B5F0">
      <w:numFmt w:val="decimal"/>
      <w:lvlText w:val=""/>
      <w:lvlJc w:val="left"/>
    </w:lvl>
    <w:lvl w:ilvl="5" w:tplc="2BAA6956">
      <w:numFmt w:val="decimal"/>
      <w:lvlText w:val=""/>
      <w:lvlJc w:val="left"/>
    </w:lvl>
    <w:lvl w:ilvl="6" w:tplc="88FCB118">
      <w:numFmt w:val="decimal"/>
      <w:lvlText w:val=""/>
      <w:lvlJc w:val="left"/>
    </w:lvl>
    <w:lvl w:ilvl="7" w:tplc="5888D0C4">
      <w:numFmt w:val="decimal"/>
      <w:lvlText w:val=""/>
      <w:lvlJc w:val="left"/>
    </w:lvl>
    <w:lvl w:ilvl="8" w:tplc="89D07C0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42"/>
    <w:rsid w:val="000541F1"/>
    <w:rsid w:val="000547F4"/>
    <w:rsid w:val="00065F54"/>
    <w:rsid w:val="00074000"/>
    <w:rsid w:val="000E7FAD"/>
    <w:rsid w:val="00145D3B"/>
    <w:rsid w:val="00184DAC"/>
    <w:rsid w:val="00190012"/>
    <w:rsid w:val="001A1642"/>
    <w:rsid w:val="001D50EB"/>
    <w:rsid w:val="001F3669"/>
    <w:rsid w:val="001F5EE5"/>
    <w:rsid w:val="00222AE5"/>
    <w:rsid w:val="002C3D1F"/>
    <w:rsid w:val="00373B19"/>
    <w:rsid w:val="003C1693"/>
    <w:rsid w:val="00481BF0"/>
    <w:rsid w:val="004E7E4E"/>
    <w:rsid w:val="00583B19"/>
    <w:rsid w:val="005B244B"/>
    <w:rsid w:val="005E6E57"/>
    <w:rsid w:val="006841E0"/>
    <w:rsid w:val="0068701C"/>
    <w:rsid w:val="007963F9"/>
    <w:rsid w:val="008061CF"/>
    <w:rsid w:val="00842A17"/>
    <w:rsid w:val="00891E85"/>
    <w:rsid w:val="008C06CB"/>
    <w:rsid w:val="00950C50"/>
    <w:rsid w:val="00982B61"/>
    <w:rsid w:val="009D00E9"/>
    <w:rsid w:val="009D0A03"/>
    <w:rsid w:val="009D1DC1"/>
    <w:rsid w:val="00A30803"/>
    <w:rsid w:val="00A4419E"/>
    <w:rsid w:val="00A720CB"/>
    <w:rsid w:val="00A81A61"/>
    <w:rsid w:val="00AF16B2"/>
    <w:rsid w:val="00B413BC"/>
    <w:rsid w:val="00B65537"/>
    <w:rsid w:val="00B73B22"/>
    <w:rsid w:val="00B82801"/>
    <w:rsid w:val="00BC23CD"/>
    <w:rsid w:val="00C25DFC"/>
    <w:rsid w:val="00C31E9C"/>
    <w:rsid w:val="00C43093"/>
    <w:rsid w:val="00C855BE"/>
    <w:rsid w:val="00D142C3"/>
    <w:rsid w:val="00D733F7"/>
    <w:rsid w:val="00D82280"/>
    <w:rsid w:val="00D95193"/>
    <w:rsid w:val="00DB1DA6"/>
    <w:rsid w:val="00DC2A28"/>
    <w:rsid w:val="00DC5CBD"/>
    <w:rsid w:val="00EA4B61"/>
    <w:rsid w:val="00F561CD"/>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uiPriority w:val="9"/>
    <w:qFormat/>
    <w:rsid w:val="00DC2A28"/>
    <w:pPr>
      <w:keepNext/>
      <w:keepLines/>
      <w:spacing w:line="48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customStyle="1" w:styleId="Answer">
    <w:name w:val="Answer"/>
    <w:basedOn w:val="Normal"/>
    <w:link w:val="AnswerChar1"/>
    <w:pPr>
      <w:spacing w:line="480" w:lineRule="auto"/>
      <w:ind w:left="720" w:hanging="720"/>
      <w:jc w:val="both"/>
    </w:pPr>
    <w:rPr>
      <w:kern w:val="0"/>
    </w:rPr>
  </w:style>
  <w:style w:type="character" w:customStyle="1" w:styleId="AnswerChar1">
    <w:name w:val="Answer Char1"/>
    <w:basedOn w:val="DefaultParagraphFont"/>
    <w:link w:val="Answer"/>
    <w:rPr>
      <w:kern w:val="0"/>
      <w:sz w:val="24"/>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LineNumber">
    <w:name w:val="line number"/>
    <w:basedOn w:val="DefaultParagraphFont"/>
    <w:uiPriority w:val="99"/>
    <w:semiHidden/>
    <w:unhideWhenUsed/>
  </w:style>
  <w:style w:type="character" w:customStyle="1" w:styleId="Heading1Char">
    <w:name w:val="Heading 1 Char"/>
    <w:basedOn w:val="DefaultParagraphFont"/>
    <w:link w:val="Heading1"/>
    <w:uiPriority w:val="9"/>
    <w:rsid w:val="00DC2A28"/>
    <w:rPr>
      <w:rFonts w:eastAsiaTheme="majorEastAsia" w:cstheme="majorBidi"/>
      <w:b/>
      <w:bCs/>
      <w:szCs w:val="28"/>
    </w:rPr>
  </w:style>
  <w:style w:type="paragraph" w:styleId="TOCHeading">
    <w:name w:val="TOC Heading"/>
    <w:basedOn w:val="Heading1"/>
    <w:next w:val="Normal"/>
    <w:uiPriority w:val="39"/>
    <w:semiHidden/>
    <w:unhideWhenUsed/>
    <w:qFormat/>
    <w:rsid w:val="00065F54"/>
    <w:pPr>
      <w:spacing w:before="480" w:line="276" w:lineRule="auto"/>
      <w:jc w:val="left"/>
      <w:outlineLvl w:val="9"/>
    </w:pPr>
    <w:rPr>
      <w:rFonts w:asciiTheme="majorHAnsi" w:hAnsiTheme="majorHAnsi"/>
      <w:color w:val="365F91" w:themeColor="accent1" w:themeShade="BF"/>
      <w:kern w:val="0"/>
      <w:sz w:val="28"/>
      <w:lang w:eastAsia="ja-JP"/>
    </w:rPr>
  </w:style>
  <w:style w:type="paragraph" w:styleId="TOC1">
    <w:name w:val="toc 1"/>
    <w:basedOn w:val="Normal"/>
    <w:next w:val="Normal"/>
    <w:autoRedefine/>
    <w:uiPriority w:val="39"/>
    <w:unhideWhenUsed/>
    <w:rsid w:val="00065F54"/>
    <w:pPr>
      <w:spacing w:after="100"/>
    </w:pPr>
  </w:style>
  <w:style w:type="character" w:styleId="Hyperlink">
    <w:name w:val="Hyperlink"/>
    <w:basedOn w:val="DefaultParagraphFont"/>
    <w:uiPriority w:val="99"/>
    <w:unhideWhenUsed/>
    <w:rsid w:val="00065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uiPriority w:val="9"/>
    <w:qFormat/>
    <w:rsid w:val="00DC2A28"/>
    <w:pPr>
      <w:keepNext/>
      <w:keepLines/>
      <w:spacing w:line="48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customStyle="1" w:styleId="Answer">
    <w:name w:val="Answer"/>
    <w:basedOn w:val="Normal"/>
    <w:link w:val="AnswerChar1"/>
    <w:pPr>
      <w:spacing w:line="480" w:lineRule="auto"/>
      <w:ind w:left="720" w:hanging="720"/>
      <w:jc w:val="both"/>
    </w:pPr>
    <w:rPr>
      <w:kern w:val="0"/>
    </w:rPr>
  </w:style>
  <w:style w:type="character" w:customStyle="1" w:styleId="AnswerChar1">
    <w:name w:val="Answer Char1"/>
    <w:basedOn w:val="DefaultParagraphFont"/>
    <w:link w:val="Answer"/>
    <w:rPr>
      <w:kern w:val="0"/>
      <w:sz w:val="24"/>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LineNumber">
    <w:name w:val="line number"/>
    <w:basedOn w:val="DefaultParagraphFont"/>
    <w:uiPriority w:val="99"/>
    <w:semiHidden/>
    <w:unhideWhenUsed/>
  </w:style>
  <w:style w:type="character" w:customStyle="1" w:styleId="Heading1Char">
    <w:name w:val="Heading 1 Char"/>
    <w:basedOn w:val="DefaultParagraphFont"/>
    <w:link w:val="Heading1"/>
    <w:uiPriority w:val="9"/>
    <w:rsid w:val="00DC2A28"/>
    <w:rPr>
      <w:rFonts w:eastAsiaTheme="majorEastAsia" w:cstheme="majorBidi"/>
      <w:b/>
      <w:bCs/>
      <w:szCs w:val="28"/>
    </w:rPr>
  </w:style>
  <w:style w:type="paragraph" w:styleId="TOCHeading">
    <w:name w:val="TOC Heading"/>
    <w:basedOn w:val="Heading1"/>
    <w:next w:val="Normal"/>
    <w:uiPriority w:val="39"/>
    <w:semiHidden/>
    <w:unhideWhenUsed/>
    <w:qFormat/>
    <w:rsid w:val="00065F54"/>
    <w:pPr>
      <w:spacing w:before="480" w:line="276" w:lineRule="auto"/>
      <w:jc w:val="left"/>
      <w:outlineLvl w:val="9"/>
    </w:pPr>
    <w:rPr>
      <w:rFonts w:asciiTheme="majorHAnsi" w:hAnsiTheme="majorHAnsi"/>
      <w:color w:val="365F91" w:themeColor="accent1" w:themeShade="BF"/>
      <w:kern w:val="0"/>
      <w:sz w:val="28"/>
      <w:lang w:eastAsia="ja-JP"/>
    </w:rPr>
  </w:style>
  <w:style w:type="paragraph" w:styleId="TOC1">
    <w:name w:val="toc 1"/>
    <w:basedOn w:val="Normal"/>
    <w:next w:val="Normal"/>
    <w:autoRedefine/>
    <w:uiPriority w:val="39"/>
    <w:unhideWhenUsed/>
    <w:rsid w:val="00065F54"/>
    <w:pPr>
      <w:spacing w:after="100"/>
    </w:pPr>
  </w:style>
  <w:style w:type="character" w:styleId="Hyperlink">
    <w:name w:val="Hyperlink"/>
    <w:basedOn w:val="DefaultParagraphFont"/>
    <w:uiPriority w:val="99"/>
    <w:unhideWhenUsed/>
    <w:rsid w:val="00065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8903">
      <w:bodyDiv w:val="1"/>
      <w:marLeft w:val="0"/>
      <w:marRight w:val="0"/>
      <w:marTop w:val="0"/>
      <w:marBottom w:val="0"/>
      <w:divBdr>
        <w:top w:val="none" w:sz="0" w:space="0" w:color="auto"/>
        <w:left w:val="none" w:sz="0" w:space="0" w:color="auto"/>
        <w:bottom w:val="none" w:sz="0" w:space="0" w:color="auto"/>
        <w:right w:val="none" w:sz="0" w:space="0" w:color="auto"/>
      </w:divBdr>
    </w:div>
    <w:div w:id="160329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A0CD5-D22F-4894-97BB-6F86BF22E937}"/>
</file>

<file path=customXml/itemProps2.xml><?xml version="1.0" encoding="utf-8"?>
<ds:datastoreItem xmlns:ds="http://schemas.openxmlformats.org/officeDocument/2006/customXml" ds:itemID="{571BC0A3-3292-4013-B583-BB6830A96824}"/>
</file>

<file path=customXml/itemProps3.xml><?xml version="1.0" encoding="utf-8"?>
<ds:datastoreItem xmlns:ds="http://schemas.openxmlformats.org/officeDocument/2006/customXml" ds:itemID="{4A90E168-5404-4A14-AB4D-7630320DA06D}"/>
</file>

<file path=customXml/itemProps4.xml><?xml version="1.0" encoding="utf-8"?>
<ds:datastoreItem xmlns:ds="http://schemas.openxmlformats.org/officeDocument/2006/customXml" ds:itemID="{58AE9547-62CE-4D57-9F1F-0FF222EED64B}"/>
</file>

<file path=docProps/app.xml><?xml version="1.0" encoding="utf-8"?>
<Properties xmlns="http://schemas.openxmlformats.org/officeDocument/2006/extended-properties" xmlns:vt="http://schemas.openxmlformats.org/officeDocument/2006/docPropsVTypes">
  <Template>Normal.dotm</Template>
  <TotalTime>0</TotalTime>
  <Pages>10</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2014-11-14T20:41:00Z</dcterms:created>
  <dcterms:modified xsi:type="dcterms:W3CDTF">2014-11-14T20:41:00Z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