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rPr>
        <w:id w:val="495697204"/>
        <w:docPartObj>
          <w:docPartGallery w:val="Table of Contents"/>
          <w:docPartUnique/>
        </w:docPartObj>
      </w:sdtPr>
      <w:sdtEndPr/>
      <w:sdtContent>
        <w:p w:rsidR="00D86A27" w:rsidRPr="00605385" w:rsidRDefault="00D86A27" w:rsidP="00605385">
          <w:pPr>
            <w:pStyle w:val="TOCHeading"/>
            <w:widowControl w:val="0"/>
            <w:suppressLineNumbers/>
            <w:spacing w:before="0" w:line="480" w:lineRule="auto"/>
            <w:jc w:val="center"/>
            <w:rPr>
              <w:rFonts w:ascii="Times New Roman" w:hAnsi="Times New Roman" w:cs="Times New Roman"/>
              <w:sz w:val="24"/>
              <w:szCs w:val="24"/>
            </w:rPr>
          </w:pPr>
          <w:r w:rsidRPr="006F199C">
            <w:rPr>
              <w:rFonts w:ascii="Times New Roman" w:hAnsi="Times New Roman" w:cs="Times New Roman"/>
              <w:color w:val="auto"/>
              <w:sz w:val="24"/>
              <w:szCs w:val="24"/>
            </w:rPr>
            <w:t>TABLE OF CONTENTS</w:t>
          </w:r>
        </w:p>
        <w:p w:rsidR="00C075AF" w:rsidRPr="00C075AF" w:rsidRDefault="00D86A27" w:rsidP="00C075AF">
          <w:pPr>
            <w:pStyle w:val="TOC1"/>
            <w:suppressLineNumbers/>
            <w:spacing w:after="0" w:line="360" w:lineRule="auto"/>
            <w:rPr>
              <w:rFonts w:ascii="Times New Roman" w:eastAsiaTheme="minorEastAsia" w:hAnsi="Times New Roman"/>
              <w:noProof/>
              <w:sz w:val="22"/>
              <w:szCs w:val="22"/>
            </w:rPr>
          </w:pPr>
          <w:r w:rsidRPr="00C075AF">
            <w:rPr>
              <w:rFonts w:ascii="Times New Roman" w:hAnsi="Times New Roman"/>
              <w:szCs w:val="24"/>
            </w:rPr>
            <w:fldChar w:fldCharType="begin"/>
          </w:r>
          <w:r w:rsidRPr="00C075AF">
            <w:rPr>
              <w:rFonts w:ascii="Times New Roman" w:hAnsi="Times New Roman"/>
              <w:szCs w:val="24"/>
            </w:rPr>
            <w:instrText xml:space="preserve"> TOC \o "1-3" \h \z \u </w:instrText>
          </w:r>
          <w:r w:rsidRPr="00C075AF">
            <w:rPr>
              <w:rFonts w:ascii="Times New Roman" w:hAnsi="Times New Roman"/>
              <w:szCs w:val="24"/>
            </w:rPr>
            <w:fldChar w:fldCharType="separate"/>
          </w:r>
          <w:hyperlink w:anchor="_Toc447533889" w:history="1">
            <w:r w:rsidR="00C075AF" w:rsidRPr="00C075AF">
              <w:rPr>
                <w:rStyle w:val="Hyperlink"/>
                <w:rFonts w:ascii="Times New Roman" w:hAnsi="Times New Roman"/>
                <w:noProof/>
              </w:rPr>
              <w:t>PURPOSE AND SUMMARY</w:t>
            </w:r>
            <w:r w:rsidR="00C075AF" w:rsidRPr="00C075AF">
              <w:rPr>
                <w:rFonts w:ascii="Times New Roman" w:hAnsi="Times New Roman"/>
                <w:noProof/>
                <w:webHidden/>
              </w:rPr>
              <w:tab/>
            </w:r>
            <w:r w:rsidR="00C075AF" w:rsidRPr="00C075AF">
              <w:rPr>
                <w:rFonts w:ascii="Times New Roman" w:hAnsi="Times New Roman"/>
                <w:noProof/>
                <w:webHidden/>
              </w:rPr>
              <w:fldChar w:fldCharType="begin"/>
            </w:r>
            <w:r w:rsidR="00C075AF" w:rsidRPr="00C075AF">
              <w:rPr>
                <w:rFonts w:ascii="Times New Roman" w:hAnsi="Times New Roman"/>
                <w:noProof/>
                <w:webHidden/>
              </w:rPr>
              <w:instrText xml:space="preserve"> PAGEREF _Toc447533889 \h </w:instrText>
            </w:r>
            <w:r w:rsidR="00C075AF" w:rsidRPr="00C075AF">
              <w:rPr>
                <w:rFonts w:ascii="Times New Roman" w:hAnsi="Times New Roman"/>
                <w:noProof/>
                <w:webHidden/>
              </w:rPr>
            </w:r>
            <w:r w:rsidR="00C075AF" w:rsidRPr="00C075AF">
              <w:rPr>
                <w:rFonts w:ascii="Times New Roman" w:hAnsi="Times New Roman"/>
                <w:noProof/>
                <w:webHidden/>
              </w:rPr>
              <w:fldChar w:fldCharType="separate"/>
            </w:r>
            <w:r w:rsidR="00C9028F">
              <w:rPr>
                <w:rFonts w:ascii="Times New Roman" w:hAnsi="Times New Roman"/>
                <w:noProof/>
                <w:webHidden/>
              </w:rPr>
              <w:t>1</w:t>
            </w:r>
            <w:r w:rsidR="00C075AF" w:rsidRPr="00C075AF">
              <w:rPr>
                <w:rFonts w:ascii="Times New Roman" w:hAnsi="Times New Roman"/>
                <w:noProof/>
                <w:webHidden/>
              </w:rPr>
              <w:fldChar w:fldCharType="end"/>
            </w:r>
          </w:hyperlink>
        </w:p>
        <w:p w:rsidR="00C075AF" w:rsidRPr="00C075AF" w:rsidRDefault="009A6894" w:rsidP="00C075AF">
          <w:pPr>
            <w:pStyle w:val="TOC1"/>
            <w:suppressLineNumbers/>
            <w:spacing w:after="0" w:line="360" w:lineRule="auto"/>
            <w:rPr>
              <w:rFonts w:ascii="Times New Roman" w:eastAsiaTheme="minorEastAsia" w:hAnsi="Times New Roman"/>
              <w:noProof/>
              <w:sz w:val="22"/>
              <w:szCs w:val="22"/>
            </w:rPr>
          </w:pPr>
          <w:hyperlink w:anchor="_Toc447533890" w:history="1">
            <w:r w:rsidR="00C075AF" w:rsidRPr="00C075AF">
              <w:rPr>
                <w:rStyle w:val="Hyperlink"/>
                <w:rFonts w:ascii="Times New Roman" w:hAnsi="Times New Roman"/>
                <w:noProof/>
              </w:rPr>
              <w:t>REVISED RATE SPREAD AND RATE DESIGN EXHIBITS</w:t>
            </w:r>
            <w:r w:rsidR="00C075AF" w:rsidRPr="00C075AF">
              <w:rPr>
                <w:rFonts w:ascii="Times New Roman" w:hAnsi="Times New Roman"/>
                <w:noProof/>
                <w:webHidden/>
              </w:rPr>
              <w:tab/>
            </w:r>
            <w:r w:rsidR="00C075AF" w:rsidRPr="00C075AF">
              <w:rPr>
                <w:rFonts w:ascii="Times New Roman" w:hAnsi="Times New Roman"/>
                <w:noProof/>
                <w:webHidden/>
              </w:rPr>
              <w:fldChar w:fldCharType="begin"/>
            </w:r>
            <w:r w:rsidR="00C075AF" w:rsidRPr="00C075AF">
              <w:rPr>
                <w:rFonts w:ascii="Times New Roman" w:hAnsi="Times New Roman"/>
                <w:noProof/>
                <w:webHidden/>
              </w:rPr>
              <w:instrText xml:space="preserve"> PAGEREF _Toc447533890 \h </w:instrText>
            </w:r>
            <w:r w:rsidR="00C075AF" w:rsidRPr="00C075AF">
              <w:rPr>
                <w:rFonts w:ascii="Times New Roman" w:hAnsi="Times New Roman"/>
                <w:noProof/>
                <w:webHidden/>
              </w:rPr>
            </w:r>
            <w:r w:rsidR="00C075AF" w:rsidRPr="00C075AF">
              <w:rPr>
                <w:rFonts w:ascii="Times New Roman" w:hAnsi="Times New Roman"/>
                <w:noProof/>
                <w:webHidden/>
              </w:rPr>
              <w:fldChar w:fldCharType="separate"/>
            </w:r>
            <w:r w:rsidR="00C9028F">
              <w:rPr>
                <w:rFonts w:ascii="Times New Roman" w:hAnsi="Times New Roman"/>
                <w:noProof/>
                <w:webHidden/>
              </w:rPr>
              <w:t>3</w:t>
            </w:r>
            <w:r w:rsidR="00C075AF" w:rsidRPr="00C075AF">
              <w:rPr>
                <w:rFonts w:ascii="Times New Roman" w:hAnsi="Times New Roman"/>
                <w:noProof/>
                <w:webHidden/>
              </w:rPr>
              <w:fldChar w:fldCharType="end"/>
            </w:r>
          </w:hyperlink>
        </w:p>
        <w:p w:rsidR="00C075AF" w:rsidRPr="00C075AF" w:rsidRDefault="009A6894" w:rsidP="00C075AF">
          <w:pPr>
            <w:pStyle w:val="TOC1"/>
            <w:suppressLineNumbers/>
            <w:spacing w:after="0" w:line="360" w:lineRule="auto"/>
            <w:rPr>
              <w:rFonts w:ascii="Times New Roman" w:eastAsiaTheme="minorEastAsia" w:hAnsi="Times New Roman"/>
              <w:noProof/>
              <w:sz w:val="22"/>
              <w:szCs w:val="22"/>
            </w:rPr>
          </w:pPr>
          <w:hyperlink w:anchor="_Toc447533891" w:history="1">
            <w:r w:rsidR="00C075AF" w:rsidRPr="00C075AF">
              <w:rPr>
                <w:rStyle w:val="Hyperlink"/>
                <w:rFonts w:ascii="Times New Roman" w:hAnsi="Times New Roman"/>
                <w:noProof/>
              </w:rPr>
              <w:t>DECOUPLING</w:t>
            </w:r>
            <w:r w:rsidR="00C075AF" w:rsidRPr="00C075AF">
              <w:rPr>
                <w:rFonts w:ascii="Times New Roman" w:hAnsi="Times New Roman"/>
                <w:noProof/>
                <w:webHidden/>
              </w:rPr>
              <w:tab/>
            </w:r>
            <w:r w:rsidR="00C075AF" w:rsidRPr="00C075AF">
              <w:rPr>
                <w:rFonts w:ascii="Times New Roman" w:hAnsi="Times New Roman"/>
                <w:noProof/>
                <w:webHidden/>
              </w:rPr>
              <w:fldChar w:fldCharType="begin"/>
            </w:r>
            <w:r w:rsidR="00C075AF" w:rsidRPr="00C075AF">
              <w:rPr>
                <w:rFonts w:ascii="Times New Roman" w:hAnsi="Times New Roman"/>
                <w:noProof/>
                <w:webHidden/>
              </w:rPr>
              <w:instrText xml:space="preserve"> PAGEREF _Toc447533891 \h </w:instrText>
            </w:r>
            <w:r w:rsidR="00C075AF" w:rsidRPr="00C075AF">
              <w:rPr>
                <w:rFonts w:ascii="Times New Roman" w:hAnsi="Times New Roman"/>
                <w:noProof/>
                <w:webHidden/>
              </w:rPr>
            </w:r>
            <w:r w:rsidR="00C075AF" w:rsidRPr="00C075AF">
              <w:rPr>
                <w:rFonts w:ascii="Times New Roman" w:hAnsi="Times New Roman"/>
                <w:noProof/>
                <w:webHidden/>
              </w:rPr>
              <w:fldChar w:fldCharType="separate"/>
            </w:r>
            <w:r w:rsidR="00C9028F">
              <w:rPr>
                <w:rFonts w:ascii="Times New Roman" w:hAnsi="Times New Roman"/>
                <w:noProof/>
                <w:webHidden/>
              </w:rPr>
              <w:t>3</w:t>
            </w:r>
            <w:r w:rsidR="00C075AF" w:rsidRPr="00C075AF">
              <w:rPr>
                <w:rFonts w:ascii="Times New Roman" w:hAnsi="Times New Roman"/>
                <w:noProof/>
                <w:webHidden/>
              </w:rPr>
              <w:fldChar w:fldCharType="end"/>
            </w:r>
          </w:hyperlink>
        </w:p>
        <w:p w:rsidR="00C075AF" w:rsidRPr="00C075AF" w:rsidRDefault="009A6894" w:rsidP="00C075AF">
          <w:pPr>
            <w:pStyle w:val="TOC1"/>
            <w:suppressLineNumbers/>
            <w:spacing w:after="0" w:line="360" w:lineRule="auto"/>
            <w:rPr>
              <w:rFonts w:ascii="Times New Roman" w:eastAsiaTheme="minorEastAsia" w:hAnsi="Times New Roman"/>
              <w:noProof/>
              <w:sz w:val="22"/>
              <w:szCs w:val="22"/>
            </w:rPr>
          </w:pPr>
          <w:hyperlink w:anchor="_Toc447533892" w:history="1">
            <w:r w:rsidR="00C075AF" w:rsidRPr="00C075AF">
              <w:rPr>
                <w:rStyle w:val="Hyperlink"/>
                <w:rFonts w:ascii="Times New Roman" w:hAnsi="Times New Roman"/>
                <w:noProof/>
              </w:rPr>
              <w:t>LOW INCOME PROGRAM</w:t>
            </w:r>
            <w:r w:rsidR="00C075AF" w:rsidRPr="00C075AF">
              <w:rPr>
                <w:rFonts w:ascii="Times New Roman" w:hAnsi="Times New Roman"/>
                <w:noProof/>
                <w:webHidden/>
              </w:rPr>
              <w:tab/>
            </w:r>
            <w:r w:rsidR="00C075AF" w:rsidRPr="00C075AF">
              <w:rPr>
                <w:rFonts w:ascii="Times New Roman" w:hAnsi="Times New Roman"/>
                <w:noProof/>
                <w:webHidden/>
              </w:rPr>
              <w:fldChar w:fldCharType="begin"/>
            </w:r>
            <w:r w:rsidR="00C075AF" w:rsidRPr="00C075AF">
              <w:rPr>
                <w:rFonts w:ascii="Times New Roman" w:hAnsi="Times New Roman"/>
                <w:noProof/>
                <w:webHidden/>
              </w:rPr>
              <w:instrText xml:space="preserve"> PAGEREF _Toc447533892 \h </w:instrText>
            </w:r>
            <w:r w:rsidR="00C075AF" w:rsidRPr="00C075AF">
              <w:rPr>
                <w:rFonts w:ascii="Times New Roman" w:hAnsi="Times New Roman"/>
                <w:noProof/>
                <w:webHidden/>
              </w:rPr>
            </w:r>
            <w:r w:rsidR="00C075AF" w:rsidRPr="00C075AF">
              <w:rPr>
                <w:rFonts w:ascii="Times New Roman" w:hAnsi="Times New Roman"/>
                <w:noProof/>
                <w:webHidden/>
              </w:rPr>
              <w:fldChar w:fldCharType="separate"/>
            </w:r>
            <w:r w:rsidR="00C9028F">
              <w:rPr>
                <w:rFonts w:ascii="Times New Roman" w:hAnsi="Times New Roman"/>
                <w:noProof/>
                <w:webHidden/>
              </w:rPr>
              <w:t>11</w:t>
            </w:r>
            <w:r w:rsidR="00C075AF" w:rsidRPr="00C075AF">
              <w:rPr>
                <w:rFonts w:ascii="Times New Roman" w:hAnsi="Times New Roman"/>
                <w:noProof/>
                <w:webHidden/>
              </w:rPr>
              <w:fldChar w:fldCharType="end"/>
            </w:r>
          </w:hyperlink>
        </w:p>
        <w:p w:rsidR="00C075AF" w:rsidRPr="00C075AF" w:rsidRDefault="009A6894" w:rsidP="00C075AF">
          <w:pPr>
            <w:pStyle w:val="TOC1"/>
            <w:suppressLineNumbers/>
            <w:spacing w:after="0" w:line="360" w:lineRule="auto"/>
            <w:rPr>
              <w:rFonts w:ascii="Times New Roman" w:eastAsiaTheme="minorEastAsia" w:hAnsi="Times New Roman"/>
              <w:noProof/>
              <w:sz w:val="22"/>
              <w:szCs w:val="22"/>
            </w:rPr>
          </w:pPr>
          <w:hyperlink w:anchor="_Toc447533893" w:history="1">
            <w:r w:rsidR="00C075AF" w:rsidRPr="00C075AF">
              <w:rPr>
                <w:rStyle w:val="Hyperlink"/>
                <w:rFonts w:ascii="Times New Roman" w:hAnsi="Times New Roman"/>
                <w:noProof/>
              </w:rPr>
              <w:t>RATE SPREAD/RATE DESIGN</w:t>
            </w:r>
            <w:r w:rsidR="00C075AF" w:rsidRPr="00C075AF">
              <w:rPr>
                <w:rFonts w:ascii="Times New Roman" w:hAnsi="Times New Roman"/>
                <w:noProof/>
                <w:webHidden/>
              </w:rPr>
              <w:tab/>
            </w:r>
            <w:r w:rsidR="00C075AF" w:rsidRPr="00C075AF">
              <w:rPr>
                <w:rFonts w:ascii="Times New Roman" w:hAnsi="Times New Roman"/>
                <w:noProof/>
                <w:webHidden/>
              </w:rPr>
              <w:fldChar w:fldCharType="begin"/>
            </w:r>
            <w:r w:rsidR="00C075AF" w:rsidRPr="00C075AF">
              <w:rPr>
                <w:rFonts w:ascii="Times New Roman" w:hAnsi="Times New Roman"/>
                <w:noProof/>
                <w:webHidden/>
              </w:rPr>
              <w:instrText xml:space="preserve"> PAGEREF _Toc447533893 \h </w:instrText>
            </w:r>
            <w:r w:rsidR="00C075AF" w:rsidRPr="00C075AF">
              <w:rPr>
                <w:rFonts w:ascii="Times New Roman" w:hAnsi="Times New Roman"/>
                <w:noProof/>
                <w:webHidden/>
              </w:rPr>
            </w:r>
            <w:r w:rsidR="00C075AF" w:rsidRPr="00C075AF">
              <w:rPr>
                <w:rFonts w:ascii="Times New Roman" w:hAnsi="Times New Roman"/>
                <w:noProof/>
                <w:webHidden/>
              </w:rPr>
              <w:fldChar w:fldCharType="separate"/>
            </w:r>
            <w:r w:rsidR="00C9028F">
              <w:rPr>
                <w:rFonts w:ascii="Times New Roman" w:hAnsi="Times New Roman"/>
                <w:noProof/>
                <w:webHidden/>
              </w:rPr>
              <w:t>14</w:t>
            </w:r>
            <w:r w:rsidR="00C075AF" w:rsidRPr="00C075AF">
              <w:rPr>
                <w:rFonts w:ascii="Times New Roman" w:hAnsi="Times New Roman"/>
                <w:noProof/>
                <w:webHidden/>
              </w:rPr>
              <w:fldChar w:fldCharType="end"/>
            </w:r>
          </w:hyperlink>
        </w:p>
        <w:p w:rsidR="00C075AF" w:rsidRPr="00C075AF" w:rsidRDefault="009A6894" w:rsidP="00C075AF">
          <w:pPr>
            <w:pStyle w:val="TOC1"/>
            <w:suppressLineNumbers/>
            <w:spacing w:after="0" w:line="360" w:lineRule="auto"/>
            <w:rPr>
              <w:rFonts w:ascii="Times New Roman" w:eastAsiaTheme="minorEastAsia" w:hAnsi="Times New Roman"/>
              <w:noProof/>
              <w:sz w:val="22"/>
              <w:szCs w:val="22"/>
            </w:rPr>
          </w:pPr>
          <w:hyperlink w:anchor="_Toc447533894" w:history="1">
            <w:r w:rsidR="00C075AF" w:rsidRPr="00C075AF">
              <w:rPr>
                <w:rStyle w:val="Hyperlink"/>
                <w:rFonts w:ascii="Times New Roman" w:hAnsi="Times New Roman"/>
                <w:noProof/>
              </w:rPr>
              <w:t>COLLABORATIVE</w:t>
            </w:r>
            <w:r w:rsidR="00C075AF" w:rsidRPr="00C075AF">
              <w:rPr>
                <w:rFonts w:ascii="Times New Roman" w:hAnsi="Times New Roman"/>
                <w:noProof/>
                <w:webHidden/>
              </w:rPr>
              <w:tab/>
            </w:r>
            <w:r w:rsidR="00C075AF" w:rsidRPr="00C075AF">
              <w:rPr>
                <w:rFonts w:ascii="Times New Roman" w:hAnsi="Times New Roman"/>
                <w:noProof/>
                <w:webHidden/>
              </w:rPr>
              <w:fldChar w:fldCharType="begin"/>
            </w:r>
            <w:r w:rsidR="00C075AF" w:rsidRPr="00C075AF">
              <w:rPr>
                <w:rFonts w:ascii="Times New Roman" w:hAnsi="Times New Roman"/>
                <w:noProof/>
                <w:webHidden/>
              </w:rPr>
              <w:instrText xml:space="preserve"> PAGEREF _Toc447533894 \h </w:instrText>
            </w:r>
            <w:r w:rsidR="00C075AF" w:rsidRPr="00C075AF">
              <w:rPr>
                <w:rFonts w:ascii="Times New Roman" w:hAnsi="Times New Roman"/>
                <w:noProof/>
                <w:webHidden/>
              </w:rPr>
            </w:r>
            <w:r w:rsidR="00C075AF" w:rsidRPr="00C075AF">
              <w:rPr>
                <w:rFonts w:ascii="Times New Roman" w:hAnsi="Times New Roman"/>
                <w:noProof/>
                <w:webHidden/>
              </w:rPr>
              <w:fldChar w:fldCharType="separate"/>
            </w:r>
            <w:r w:rsidR="00C9028F">
              <w:rPr>
                <w:rFonts w:ascii="Times New Roman" w:hAnsi="Times New Roman"/>
                <w:noProof/>
                <w:webHidden/>
              </w:rPr>
              <w:t>20</w:t>
            </w:r>
            <w:r w:rsidR="00C075AF" w:rsidRPr="00C075AF">
              <w:rPr>
                <w:rFonts w:ascii="Times New Roman" w:hAnsi="Times New Roman"/>
                <w:noProof/>
                <w:webHidden/>
              </w:rPr>
              <w:fldChar w:fldCharType="end"/>
            </w:r>
          </w:hyperlink>
        </w:p>
        <w:p w:rsidR="00D86A27" w:rsidRPr="00C075AF" w:rsidRDefault="00D86A27" w:rsidP="00C075AF">
          <w:pPr>
            <w:pStyle w:val="TOC1"/>
            <w:widowControl w:val="0"/>
            <w:suppressLineNumbers/>
            <w:spacing w:after="0" w:line="360" w:lineRule="auto"/>
            <w:rPr>
              <w:rFonts w:ascii="Times New Roman" w:hAnsi="Times New Roman"/>
              <w:szCs w:val="24"/>
            </w:rPr>
          </w:pPr>
          <w:r w:rsidRPr="00C075AF">
            <w:rPr>
              <w:rFonts w:ascii="Times New Roman" w:hAnsi="Times New Roman"/>
              <w:szCs w:val="24"/>
            </w:rPr>
            <w:fldChar w:fldCharType="end"/>
          </w:r>
        </w:p>
      </w:sdtContent>
    </w:sdt>
    <w:p w:rsidR="00D86A27" w:rsidRPr="00C075AF" w:rsidRDefault="00C075AF" w:rsidP="00C075AF">
      <w:pPr>
        <w:pStyle w:val="Answer-Testimony"/>
        <w:suppressLineNumbers/>
        <w:jc w:val="center"/>
        <w:rPr>
          <w:b/>
        </w:rPr>
      </w:pPr>
      <w:bookmarkStart w:id="1" w:name="_Toc447101595"/>
      <w:r w:rsidRPr="00C075AF">
        <w:rPr>
          <w:b/>
        </w:rPr>
        <w:t>ATTACHED EXHIBITS</w:t>
      </w:r>
      <w:bookmarkEnd w:id="1"/>
    </w:p>
    <w:p w:rsidR="00D86A27" w:rsidRPr="00605385" w:rsidRDefault="00D86A27" w:rsidP="00094ED5">
      <w:pPr>
        <w:widowControl w:val="0"/>
        <w:suppressLineNumbers/>
        <w:rPr>
          <w:rFonts w:ascii="Times New Roman" w:hAnsi="Times New Roman"/>
          <w:szCs w:val="24"/>
        </w:rPr>
      </w:pPr>
      <w:r w:rsidRPr="00605385">
        <w:rPr>
          <w:rFonts w:ascii="Times New Roman" w:hAnsi="Times New Roman"/>
          <w:szCs w:val="24"/>
        </w:rPr>
        <w:t>Exhibit No.</w:t>
      </w:r>
      <w:r w:rsidR="006F199C">
        <w:rPr>
          <w:rFonts w:ascii="Times New Roman" w:hAnsi="Times New Roman"/>
          <w:szCs w:val="24"/>
        </w:rPr>
        <w:t xml:space="preserve"> </w:t>
      </w:r>
      <w:r w:rsidRPr="00605385">
        <w:rPr>
          <w:rFonts w:ascii="Times New Roman" w:hAnsi="Times New Roman"/>
          <w:szCs w:val="24"/>
        </w:rPr>
        <w:t>JRS-</w:t>
      </w:r>
      <w:r w:rsidR="00F02B83" w:rsidRPr="00605385">
        <w:rPr>
          <w:rFonts w:ascii="Times New Roman" w:hAnsi="Times New Roman"/>
          <w:szCs w:val="24"/>
        </w:rPr>
        <w:t>10</w:t>
      </w:r>
      <w:r w:rsidRPr="00605385">
        <w:rPr>
          <w:rFonts w:ascii="Times New Roman" w:hAnsi="Times New Roman"/>
          <w:szCs w:val="24"/>
        </w:rPr>
        <w:t>—</w:t>
      </w:r>
      <w:r w:rsidR="00CC0FDC" w:rsidRPr="00605385">
        <w:rPr>
          <w:rFonts w:ascii="Times New Roman" w:hAnsi="Times New Roman"/>
          <w:szCs w:val="24"/>
        </w:rPr>
        <w:t xml:space="preserve">Proposed Allocation of Revenue Requirement </w:t>
      </w:r>
      <w:r w:rsidRPr="00605385">
        <w:rPr>
          <w:rFonts w:ascii="Times New Roman" w:hAnsi="Times New Roman"/>
          <w:szCs w:val="24"/>
        </w:rPr>
        <w:t>Increase</w:t>
      </w:r>
      <w:r w:rsidR="00CC0FDC" w:rsidRPr="00605385">
        <w:rPr>
          <w:rFonts w:ascii="Times New Roman" w:hAnsi="Times New Roman"/>
          <w:szCs w:val="24"/>
        </w:rPr>
        <w:t>s</w:t>
      </w:r>
    </w:p>
    <w:p w:rsidR="00D86A27" w:rsidRPr="004E71A3" w:rsidRDefault="00D86A27" w:rsidP="00094ED5">
      <w:pPr>
        <w:widowControl w:val="0"/>
        <w:suppressLineNumbers/>
        <w:rPr>
          <w:rFonts w:ascii="Times New Roman" w:hAnsi="Times New Roman"/>
          <w:szCs w:val="24"/>
        </w:rPr>
      </w:pPr>
      <w:r w:rsidRPr="00605385">
        <w:rPr>
          <w:rFonts w:ascii="Times New Roman" w:hAnsi="Times New Roman"/>
          <w:szCs w:val="24"/>
        </w:rPr>
        <w:t>Exhibit No.</w:t>
      </w:r>
      <w:r w:rsidR="006F199C">
        <w:rPr>
          <w:rFonts w:ascii="Times New Roman" w:hAnsi="Times New Roman"/>
          <w:szCs w:val="24"/>
        </w:rPr>
        <w:t xml:space="preserve"> </w:t>
      </w:r>
      <w:r w:rsidRPr="006F199C">
        <w:rPr>
          <w:rFonts w:ascii="Times New Roman" w:hAnsi="Times New Roman"/>
          <w:szCs w:val="24"/>
        </w:rPr>
        <w:t>JRS-1</w:t>
      </w:r>
      <w:r w:rsidR="00F02B83" w:rsidRPr="006D6508">
        <w:rPr>
          <w:rFonts w:ascii="Times New Roman" w:hAnsi="Times New Roman"/>
          <w:szCs w:val="24"/>
        </w:rPr>
        <w:t>1</w:t>
      </w:r>
      <w:r w:rsidRPr="00605385">
        <w:rPr>
          <w:rFonts w:ascii="Times New Roman" w:hAnsi="Times New Roman"/>
          <w:szCs w:val="24"/>
        </w:rPr>
        <w:t>—</w:t>
      </w:r>
      <w:r w:rsidRPr="004E71A3">
        <w:rPr>
          <w:rFonts w:ascii="Times New Roman" w:hAnsi="Times New Roman"/>
          <w:szCs w:val="24"/>
        </w:rPr>
        <w:t>Proposed Prices and Billing Determinants</w:t>
      </w:r>
      <w:r w:rsidR="00CC0FDC" w:rsidRPr="004E71A3">
        <w:rPr>
          <w:rFonts w:ascii="Times New Roman" w:hAnsi="Times New Roman"/>
          <w:szCs w:val="24"/>
        </w:rPr>
        <w:t xml:space="preserve"> effective </w:t>
      </w:r>
      <w:r w:rsidR="006F199C" w:rsidRPr="004E71A3">
        <w:rPr>
          <w:rFonts w:ascii="Times New Roman" w:hAnsi="Times New Roman"/>
          <w:szCs w:val="24"/>
        </w:rPr>
        <w:t>July 1, 2016</w:t>
      </w:r>
    </w:p>
    <w:p w:rsidR="00CC0FDC" w:rsidRPr="006F199C" w:rsidRDefault="00CC0FDC" w:rsidP="00094ED5">
      <w:pPr>
        <w:widowControl w:val="0"/>
        <w:suppressLineNumbers/>
        <w:rPr>
          <w:rFonts w:ascii="Times New Roman" w:hAnsi="Times New Roman"/>
          <w:szCs w:val="24"/>
        </w:rPr>
      </w:pPr>
      <w:r w:rsidRPr="004E71A3">
        <w:rPr>
          <w:rFonts w:ascii="Times New Roman" w:hAnsi="Times New Roman"/>
          <w:szCs w:val="24"/>
        </w:rPr>
        <w:t>Exhibit No.</w:t>
      </w:r>
      <w:r w:rsidR="006F199C" w:rsidRPr="004E71A3">
        <w:rPr>
          <w:rFonts w:ascii="Times New Roman" w:hAnsi="Times New Roman"/>
          <w:szCs w:val="24"/>
        </w:rPr>
        <w:t xml:space="preserve"> </w:t>
      </w:r>
      <w:r w:rsidRPr="004E71A3">
        <w:rPr>
          <w:rFonts w:ascii="Times New Roman" w:hAnsi="Times New Roman"/>
          <w:szCs w:val="24"/>
        </w:rPr>
        <w:t>JRS-1</w:t>
      </w:r>
      <w:r w:rsidR="00F02B83" w:rsidRPr="004E71A3">
        <w:rPr>
          <w:rFonts w:ascii="Times New Roman" w:hAnsi="Times New Roman"/>
          <w:szCs w:val="24"/>
        </w:rPr>
        <w:t>2</w:t>
      </w:r>
      <w:r w:rsidRPr="004E71A3">
        <w:rPr>
          <w:rFonts w:ascii="Times New Roman" w:hAnsi="Times New Roman"/>
          <w:szCs w:val="24"/>
        </w:rPr>
        <w:t xml:space="preserve">—Proposed Prices and Billing Determinants effective </w:t>
      </w:r>
      <w:r w:rsidR="00D6533C" w:rsidRPr="004E71A3">
        <w:rPr>
          <w:rFonts w:ascii="Times New Roman" w:hAnsi="Times New Roman"/>
          <w:szCs w:val="24"/>
        </w:rPr>
        <w:t>July 1, 2017</w:t>
      </w:r>
    </w:p>
    <w:p w:rsidR="00D86A27" w:rsidRPr="006F199C" w:rsidRDefault="00D86A27" w:rsidP="00094ED5">
      <w:pPr>
        <w:widowControl w:val="0"/>
        <w:suppressLineNumbers/>
        <w:rPr>
          <w:rFonts w:ascii="Times New Roman" w:hAnsi="Times New Roman"/>
          <w:szCs w:val="24"/>
        </w:rPr>
      </w:pPr>
      <w:r w:rsidRPr="006D6508">
        <w:rPr>
          <w:rFonts w:ascii="Times New Roman" w:hAnsi="Times New Roman"/>
          <w:szCs w:val="24"/>
        </w:rPr>
        <w:t>Exhibit No.</w:t>
      </w:r>
      <w:r w:rsidR="006F199C">
        <w:rPr>
          <w:rFonts w:ascii="Times New Roman" w:hAnsi="Times New Roman"/>
          <w:szCs w:val="24"/>
        </w:rPr>
        <w:t xml:space="preserve"> </w:t>
      </w:r>
      <w:r w:rsidRPr="006F199C">
        <w:rPr>
          <w:rFonts w:ascii="Times New Roman" w:hAnsi="Times New Roman"/>
          <w:szCs w:val="24"/>
        </w:rPr>
        <w:t>JRS-1</w:t>
      </w:r>
      <w:r w:rsidR="00F02B83" w:rsidRPr="006F199C">
        <w:rPr>
          <w:rFonts w:ascii="Times New Roman" w:hAnsi="Times New Roman"/>
          <w:szCs w:val="24"/>
        </w:rPr>
        <w:t>3</w:t>
      </w:r>
      <w:r w:rsidRPr="00605385">
        <w:rPr>
          <w:rFonts w:ascii="Times New Roman" w:hAnsi="Times New Roman"/>
          <w:szCs w:val="24"/>
        </w:rPr>
        <w:t>—Monthly Billing Comparisons</w:t>
      </w:r>
      <w:r w:rsidR="00CC0FDC" w:rsidRPr="00605385">
        <w:rPr>
          <w:rFonts w:ascii="Times New Roman" w:hAnsi="Times New Roman"/>
          <w:szCs w:val="24"/>
        </w:rPr>
        <w:t xml:space="preserve"> effective </w:t>
      </w:r>
      <w:r w:rsidR="006F199C">
        <w:rPr>
          <w:rFonts w:ascii="Times New Roman" w:hAnsi="Times New Roman"/>
          <w:szCs w:val="24"/>
        </w:rPr>
        <w:t>July 1, 2016</w:t>
      </w:r>
    </w:p>
    <w:p w:rsidR="00CC0FDC" w:rsidRPr="006F199C" w:rsidRDefault="00CC0FDC" w:rsidP="00094ED5">
      <w:pPr>
        <w:widowControl w:val="0"/>
        <w:suppressLineNumbers/>
        <w:rPr>
          <w:rFonts w:ascii="Times New Roman" w:hAnsi="Times New Roman"/>
          <w:szCs w:val="24"/>
        </w:rPr>
      </w:pPr>
      <w:r w:rsidRPr="006F199C">
        <w:rPr>
          <w:rFonts w:ascii="Times New Roman" w:hAnsi="Times New Roman"/>
          <w:szCs w:val="24"/>
        </w:rPr>
        <w:t>Exhibit No.</w:t>
      </w:r>
      <w:r w:rsidR="006F199C">
        <w:rPr>
          <w:rFonts w:ascii="Times New Roman" w:hAnsi="Times New Roman"/>
          <w:szCs w:val="24"/>
        </w:rPr>
        <w:t xml:space="preserve"> </w:t>
      </w:r>
      <w:r w:rsidRPr="006F199C">
        <w:rPr>
          <w:rFonts w:ascii="Times New Roman" w:hAnsi="Times New Roman"/>
          <w:szCs w:val="24"/>
        </w:rPr>
        <w:t>JRS-1</w:t>
      </w:r>
      <w:r w:rsidR="00F02B83" w:rsidRPr="006D6508">
        <w:rPr>
          <w:rFonts w:ascii="Times New Roman" w:hAnsi="Times New Roman"/>
          <w:szCs w:val="24"/>
        </w:rPr>
        <w:t>4</w:t>
      </w:r>
      <w:r w:rsidRPr="00605385">
        <w:rPr>
          <w:rFonts w:ascii="Times New Roman" w:hAnsi="Times New Roman"/>
          <w:szCs w:val="24"/>
        </w:rPr>
        <w:t xml:space="preserve">—Monthly Billing Comparisons effective </w:t>
      </w:r>
      <w:r w:rsidR="006F199C">
        <w:rPr>
          <w:rFonts w:ascii="Times New Roman" w:hAnsi="Times New Roman"/>
          <w:szCs w:val="24"/>
        </w:rPr>
        <w:t>July 1, 2017</w:t>
      </w:r>
    </w:p>
    <w:p w:rsidR="00CC0FDC" w:rsidRPr="00605385" w:rsidRDefault="00CC0FDC" w:rsidP="00094ED5">
      <w:pPr>
        <w:widowControl w:val="0"/>
        <w:suppressLineNumbers/>
        <w:rPr>
          <w:rFonts w:ascii="Times New Roman" w:hAnsi="Times New Roman"/>
          <w:szCs w:val="24"/>
        </w:rPr>
      </w:pPr>
      <w:r w:rsidRPr="006D6508">
        <w:rPr>
          <w:rFonts w:ascii="Times New Roman" w:hAnsi="Times New Roman"/>
          <w:szCs w:val="24"/>
        </w:rPr>
        <w:t>Exhibit No.</w:t>
      </w:r>
      <w:r w:rsidR="006F199C">
        <w:rPr>
          <w:rFonts w:ascii="Times New Roman" w:hAnsi="Times New Roman"/>
          <w:szCs w:val="24"/>
        </w:rPr>
        <w:t xml:space="preserve"> </w:t>
      </w:r>
      <w:r w:rsidRPr="006F199C">
        <w:rPr>
          <w:rFonts w:ascii="Times New Roman" w:hAnsi="Times New Roman"/>
          <w:szCs w:val="24"/>
        </w:rPr>
        <w:t>JRS-1</w:t>
      </w:r>
      <w:r w:rsidR="00F02B83" w:rsidRPr="006D6508">
        <w:rPr>
          <w:rFonts w:ascii="Times New Roman" w:hAnsi="Times New Roman"/>
          <w:szCs w:val="24"/>
        </w:rPr>
        <w:t>5</w:t>
      </w:r>
      <w:r w:rsidRPr="00605385">
        <w:rPr>
          <w:rFonts w:ascii="Times New Roman" w:hAnsi="Times New Roman"/>
          <w:szCs w:val="24"/>
        </w:rPr>
        <w:t>—Decoupling Mechanism Deferral</w:t>
      </w:r>
      <w:r w:rsidR="009C1AF2" w:rsidRPr="00605385">
        <w:rPr>
          <w:rFonts w:ascii="Times New Roman" w:hAnsi="Times New Roman"/>
          <w:szCs w:val="24"/>
        </w:rPr>
        <w:t xml:space="preserve"> </w:t>
      </w:r>
    </w:p>
    <w:p w:rsidR="00D86A27" w:rsidRPr="00605385" w:rsidRDefault="00D86A27" w:rsidP="00094ED5">
      <w:pPr>
        <w:widowControl w:val="0"/>
        <w:suppressLineNumbers/>
        <w:rPr>
          <w:rFonts w:ascii="Times New Roman" w:hAnsi="Times New Roman"/>
          <w:szCs w:val="24"/>
        </w:rPr>
      </w:pPr>
      <w:r w:rsidRPr="00605385">
        <w:rPr>
          <w:rFonts w:ascii="Times New Roman" w:hAnsi="Times New Roman"/>
          <w:szCs w:val="24"/>
        </w:rPr>
        <w:t>Exhibit No.</w:t>
      </w:r>
      <w:r w:rsidR="006F199C">
        <w:rPr>
          <w:rFonts w:ascii="Times New Roman" w:hAnsi="Times New Roman"/>
          <w:szCs w:val="24"/>
        </w:rPr>
        <w:t xml:space="preserve"> </w:t>
      </w:r>
      <w:r w:rsidRPr="00605385">
        <w:rPr>
          <w:rFonts w:ascii="Times New Roman" w:hAnsi="Times New Roman"/>
          <w:szCs w:val="24"/>
        </w:rPr>
        <w:t>JRS-1</w:t>
      </w:r>
      <w:r w:rsidR="00F02B83" w:rsidRPr="00605385">
        <w:rPr>
          <w:rFonts w:ascii="Times New Roman" w:hAnsi="Times New Roman"/>
          <w:szCs w:val="24"/>
        </w:rPr>
        <w:t>6</w:t>
      </w:r>
      <w:r w:rsidR="009338C6" w:rsidRPr="00605385">
        <w:rPr>
          <w:rFonts w:ascii="Times New Roman" w:hAnsi="Times New Roman"/>
          <w:szCs w:val="24"/>
        </w:rPr>
        <w:t>—</w:t>
      </w:r>
      <w:r w:rsidR="009C1AF2" w:rsidRPr="00605385">
        <w:rPr>
          <w:rFonts w:ascii="Times New Roman" w:hAnsi="Times New Roman"/>
          <w:szCs w:val="24"/>
        </w:rPr>
        <w:t xml:space="preserve">Proposed Schedule 93 Tariff </w:t>
      </w:r>
    </w:p>
    <w:p w:rsidR="005D5632" w:rsidRDefault="00D86A27" w:rsidP="00094ED5">
      <w:pPr>
        <w:widowControl w:val="0"/>
        <w:suppressLineNumbers/>
        <w:rPr>
          <w:rFonts w:ascii="Times New Roman" w:hAnsi="Times New Roman"/>
          <w:szCs w:val="24"/>
        </w:rPr>
      </w:pPr>
      <w:r w:rsidRPr="00605385">
        <w:rPr>
          <w:rFonts w:ascii="Times New Roman" w:hAnsi="Times New Roman"/>
          <w:szCs w:val="24"/>
        </w:rPr>
        <w:t>Exhibit No.</w:t>
      </w:r>
      <w:r w:rsidR="006F199C">
        <w:rPr>
          <w:rFonts w:ascii="Times New Roman" w:hAnsi="Times New Roman"/>
          <w:szCs w:val="24"/>
        </w:rPr>
        <w:t xml:space="preserve"> </w:t>
      </w:r>
      <w:r w:rsidRPr="00605385">
        <w:rPr>
          <w:rFonts w:ascii="Times New Roman" w:hAnsi="Times New Roman"/>
          <w:szCs w:val="24"/>
        </w:rPr>
        <w:t>JRS-1</w:t>
      </w:r>
      <w:r w:rsidR="00F02B83" w:rsidRPr="00605385">
        <w:rPr>
          <w:rFonts w:ascii="Times New Roman" w:hAnsi="Times New Roman"/>
          <w:szCs w:val="24"/>
        </w:rPr>
        <w:t>7</w:t>
      </w:r>
      <w:r w:rsidR="009338C6" w:rsidRPr="00605385">
        <w:rPr>
          <w:rFonts w:ascii="Times New Roman" w:hAnsi="Times New Roman"/>
          <w:szCs w:val="24"/>
        </w:rPr>
        <w:t>—</w:t>
      </w:r>
      <w:r w:rsidR="000969F6" w:rsidRPr="00605385">
        <w:rPr>
          <w:rFonts w:ascii="Times New Roman" w:hAnsi="Times New Roman"/>
          <w:szCs w:val="24"/>
        </w:rPr>
        <w:t>Rate Impacts from Boise’s Rate Design Proposal</w:t>
      </w:r>
    </w:p>
    <w:p w:rsidR="006F199C" w:rsidRDefault="005D5632" w:rsidP="00C953D0">
      <w:pPr>
        <w:widowControl w:val="0"/>
        <w:suppressLineNumbers/>
        <w:ind w:left="0" w:firstLine="0"/>
        <w:rPr>
          <w:rFonts w:ascii="Times New Roman" w:hAnsi="Times New Roman"/>
          <w:szCs w:val="24"/>
        </w:rPr>
      </w:pPr>
      <w:r>
        <w:rPr>
          <w:rFonts w:ascii="Times New Roman" w:hAnsi="Times New Roman"/>
          <w:szCs w:val="24"/>
        </w:rPr>
        <w:t>Exhibit No. JRS-18—Staff Response to Company Data Request 2</w:t>
      </w:r>
    </w:p>
    <w:p w:rsidR="001A0868" w:rsidRDefault="001A0868" w:rsidP="00C953D0">
      <w:pPr>
        <w:widowControl w:val="0"/>
        <w:suppressLineNumbers/>
        <w:ind w:left="0" w:firstLine="0"/>
        <w:rPr>
          <w:rFonts w:ascii="Times New Roman" w:hAnsi="Times New Roman"/>
          <w:b/>
          <w:szCs w:val="24"/>
        </w:rPr>
        <w:sectPr w:rsidR="001A0868" w:rsidSect="001A0868">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lnNumType w:countBy="1"/>
          <w:pgNumType w:fmt="lowerRoman" w:start="1"/>
          <w:cols w:space="720"/>
        </w:sectPr>
      </w:pPr>
    </w:p>
    <w:p w:rsidR="009F4525" w:rsidRPr="006F199C" w:rsidRDefault="009F4525" w:rsidP="0034595D">
      <w:pPr>
        <w:pStyle w:val="BodyTextIndent"/>
        <w:rPr>
          <w:rFonts w:ascii="Times New Roman" w:hAnsi="Times New Roman"/>
          <w:b/>
          <w:szCs w:val="24"/>
        </w:rPr>
      </w:pPr>
      <w:r w:rsidRPr="00605385">
        <w:rPr>
          <w:rFonts w:ascii="Times New Roman" w:hAnsi="Times New Roman"/>
          <w:b/>
          <w:szCs w:val="24"/>
        </w:rPr>
        <w:lastRenderedPageBreak/>
        <w:t>Q.</w:t>
      </w:r>
      <w:r w:rsidRPr="00605385">
        <w:rPr>
          <w:rFonts w:ascii="Times New Roman" w:hAnsi="Times New Roman"/>
          <w:b/>
          <w:szCs w:val="24"/>
        </w:rPr>
        <w:tab/>
      </w:r>
      <w:r w:rsidR="00C12A56" w:rsidRPr="00605385">
        <w:rPr>
          <w:rFonts w:ascii="Times New Roman" w:hAnsi="Times New Roman"/>
          <w:b/>
          <w:szCs w:val="24"/>
        </w:rPr>
        <w:t xml:space="preserve">Are you the same </w:t>
      </w:r>
      <w:r w:rsidR="00EA0B11" w:rsidRPr="00605385">
        <w:rPr>
          <w:rFonts w:ascii="Times New Roman" w:hAnsi="Times New Roman"/>
          <w:b/>
          <w:szCs w:val="24"/>
        </w:rPr>
        <w:t>Joelle</w:t>
      </w:r>
      <w:r w:rsidR="00C12A56" w:rsidRPr="000869A5">
        <w:rPr>
          <w:rFonts w:ascii="Times New Roman" w:hAnsi="Times New Roman"/>
          <w:b/>
          <w:szCs w:val="24"/>
        </w:rPr>
        <w:t xml:space="preserve"> R. </w:t>
      </w:r>
      <w:r w:rsidR="00EA0B11" w:rsidRPr="00B1786E">
        <w:rPr>
          <w:rFonts w:ascii="Times New Roman" w:hAnsi="Times New Roman"/>
          <w:b/>
          <w:szCs w:val="24"/>
        </w:rPr>
        <w:t>Steward</w:t>
      </w:r>
      <w:r w:rsidR="00C12A56" w:rsidRPr="00B1786E">
        <w:rPr>
          <w:rFonts w:ascii="Times New Roman" w:hAnsi="Times New Roman"/>
          <w:b/>
          <w:szCs w:val="24"/>
        </w:rPr>
        <w:t xml:space="preserve"> </w:t>
      </w:r>
      <w:r w:rsidR="00017351" w:rsidRPr="00017351">
        <w:rPr>
          <w:rFonts w:ascii="Times New Roman" w:hAnsi="Times New Roman"/>
          <w:b/>
          <w:szCs w:val="24"/>
        </w:rPr>
        <w:t>who submitted direct testimony in this case on behalf of Pacific Power &amp; Light Company (Pacific Power or Company), a division of PacifiCorp</w:t>
      </w:r>
      <w:r w:rsidR="00C12A56" w:rsidRPr="006F199C">
        <w:rPr>
          <w:rFonts w:ascii="Times New Roman" w:hAnsi="Times New Roman"/>
          <w:b/>
          <w:szCs w:val="24"/>
        </w:rPr>
        <w:t>?</w:t>
      </w:r>
    </w:p>
    <w:p w:rsidR="00B54283" w:rsidRPr="006F199C" w:rsidRDefault="009F4525" w:rsidP="00032352">
      <w:pPr>
        <w:pStyle w:val="BodyTextIndent"/>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t>Yes</w:t>
      </w:r>
      <w:r w:rsidR="00B54283" w:rsidRPr="006F199C">
        <w:rPr>
          <w:rFonts w:ascii="Times New Roman" w:hAnsi="Times New Roman"/>
          <w:szCs w:val="24"/>
        </w:rPr>
        <w:t>.</w:t>
      </w:r>
    </w:p>
    <w:p w:rsidR="00D86A27" w:rsidRPr="006F199C" w:rsidRDefault="00D86A27" w:rsidP="00FC7407">
      <w:pPr>
        <w:pStyle w:val="Heading1"/>
        <w:rPr>
          <w:rFonts w:ascii="Times New Roman" w:hAnsi="Times New Roman"/>
          <w:b w:val="0"/>
          <w:szCs w:val="24"/>
        </w:rPr>
      </w:pPr>
      <w:bookmarkStart w:id="2" w:name="_Toc447533889"/>
      <w:r w:rsidRPr="00605385">
        <w:rPr>
          <w:rFonts w:ascii="Times New Roman" w:hAnsi="Times New Roman"/>
          <w:szCs w:val="24"/>
        </w:rPr>
        <w:t>P</w:t>
      </w:r>
      <w:r w:rsidR="004F2969" w:rsidRPr="00605385">
        <w:rPr>
          <w:rFonts w:ascii="Times New Roman" w:hAnsi="Times New Roman"/>
          <w:szCs w:val="24"/>
        </w:rPr>
        <w:t>URPOSE AND SUMMARY</w:t>
      </w:r>
      <w:bookmarkEnd w:id="2"/>
    </w:p>
    <w:p w:rsidR="002921E2" w:rsidRPr="00605385" w:rsidRDefault="00905F81">
      <w:pPr>
        <w:pStyle w:val="Answer-Testimony"/>
      </w:pPr>
      <w:r w:rsidRPr="00605385">
        <w:rPr>
          <w:b/>
        </w:rPr>
        <w:t>Q.</w:t>
      </w:r>
      <w:r w:rsidRPr="00605385">
        <w:rPr>
          <w:b/>
        </w:rPr>
        <w:tab/>
        <w:t>What is the purpose of your rebuttal testimony?</w:t>
      </w:r>
    </w:p>
    <w:p w:rsidR="00D7481B" w:rsidRPr="006F199C" w:rsidRDefault="009F4525" w:rsidP="00FF20F6">
      <w:pPr>
        <w:tabs>
          <w:tab w:val="left" w:pos="-720"/>
          <w:tab w:val="left" w:pos="0"/>
        </w:tabs>
        <w:suppressAutoHyphens/>
        <w:rPr>
          <w:rFonts w:ascii="Times New Roman" w:hAnsi="Times New Roman"/>
          <w:szCs w:val="24"/>
        </w:rPr>
      </w:pPr>
      <w:r w:rsidRPr="00605385">
        <w:rPr>
          <w:rFonts w:ascii="Times New Roman" w:hAnsi="Times New Roman"/>
          <w:szCs w:val="24"/>
        </w:rPr>
        <w:t>A.</w:t>
      </w:r>
      <w:r w:rsidRPr="00605385">
        <w:rPr>
          <w:rFonts w:ascii="Times New Roman" w:hAnsi="Times New Roman"/>
          <w:szCs w:val="24"/>
        </w:rPr>
        <w:tab/>
      </w:r>
      <w:r w:rsidR="00757308" w:rsidRPr="00605385">
        <w:rPr>
          <w:rFonts w:ascii="Times New Roman" w:hAnsi="Times New Roman"/>
          <w:szCs w:val="24"/>
        </w:rPr>
        <w:t xml:space="preserve">The purpose of my rebuttal testimony is to present the </w:t>
      </w:r>
      <w:r w:rsidR="00741C4B" w:rsidRPr="00605385">
        <w:rPr>
          <w:rFonts w:ascii="Times New Roman" w:hAnsi="Times New Roman"/>
          <w:szCs w:val="24"/>
        </w:rPr>
        <w:t xml:space="preserve">proposed </w:t>
      </w:r>
      <w:r w:rsidR="00757308" w:rsidRPr="00605385">
        <w:rPr>
          <w:rFonts w:ascii="Times New Roman" w:hAnsi="Times New Roman"/>
          <w:szCs w:val="24"/>
        </w:rPr>
        <w:t>rate spread, rate design</w:t>
      </w:r>
      <w:r w:rsidR="006D6508">
        <w:rPr>
          <w:rFonts w:ascii="Times New Roman" w:hAnsi="Times New Roman"/>
          <w:szCs w:val="24"/>
        </w:rPr>
        <w:t>,</w:t>
      </w:r>
      <w:r w:rsidR="00757308" w:rsidRPr="006F199C">
        <w:rPr>
          <w:rFonts w:ascii="Times New Roman" w:hAnsi="Times New Roman"/>
          <w:szCs w:val="24"/>
        </w:rPr>
        <w:t xml:space="preserve"> and decoupling </w:t>
      </w:r>
      <w:r w:rsidR="00741C4B" w:rsidRPr="006F199C">
        <w:rPr>
          <w:rFonts w:ascii="Times New Roman" w:hAnsi="Times New Roman"/>
          <w:szCs w:val="24"/>
        </w:rPr>
        <w:t xml:space="preserve">mechanism </w:t>
      </w:r>
      <w:r w:rsidR="00757308" w:rsidRPr="006F199C">
        <w:rPr>
          <w:rFonts w:ascii="Times New Roman" w:hAnsi="Times New Roman"/>
          <w:szCs w:val="24"/>
        </w:rPr>
        <w:t xml:space="preserve">reflecting the Company’s revised revenue requirement.  I also respond to the direct testimonies of Mr. </w:t>
      </w:r>
      <w:r w:rsidR="008B4C36">
        <w:rPr>
          <w:rFonts w:ascii="Times New Roman" w:hAnsi="Times New Roman"/>
          <w:szCs w:val="24"/>
        </w:rPr>
        <w:t>Jason L. Ball and Ms. </w:t>
      </w:r>
      <w:r w:rsidR="00757308" w:rsidRPr="006D6508">
        <w:rPr>
          <w:rFonts w:ascii="Times New Roman" w:hAnsi="Times New Roman"/>
          <w:szCs w:val="24"/>
        </w:rPr>
        <w:t xml:space="preserve">Tiffany M. Van Meter on behalf </w:t>
      </w:r>
      <w:r w:rsidR="006D6508">
        <w:rPr>
          <w:rFonts w:ascii="Times New Roman" w:hAnsi="Times New Roman"/>
          <w:szCs w:val="24"/>
        </w:rPr>
        <w:t xml:space="preserve">of Staff </w:t>
      </w:r>
      <w:r w:rsidR="00757308" w:rsidRPr="006D6508">
        <w:rPr>
          <w:rFonts w:ascii="Times New Roman" w:hAnsi="Times New Roman"/>
          <w:szCs w:val="24"/>
        </w:rPr>
        <w:t>of the Washington Utilities and Transportation Commission</w:t>
      </w:r>
      <w:r w:rsidR="00017351">
        <w:rPr>
          <w:rFonts w:ascii="Times New Roman" w:hAnsi="Times New Roman"/>
          <w:szCs w:val="24"/>
        </w:rPr>
        <w:t xml:space="preserve"> (</w:t>
      </w:r>
      <w:r w:rsidR="008B4C36">
        <w:rPr>
          <w:rFonts w:ascii="Times New Roman" w:hAnsi="Times New Roman"/>
          <w:szCs w:val="24"/>
        </w:rPr>
        <w:t>Commission</w:t>
      </w:r>
      <w:r w:rsidR="00017351">
        <w:rPr>
          <w:rFonts w:ascii="Times New Roman" w:hAnsi="Times New Roman"/>
          <w:szCs w:val="24"/>
        </w:rPr>
        <w:t>)</w:t>
      </w:r>
      <w:r w:rsidR="00757308" w:rsidRPr="006D6508">
        <w:rPr>
          <w:rFonts w:ascii="Times New Roman" w:hAnsi="Times New Roman"/>
          <w:szCs w:val="24"/>
        </w:rPr>
        <w:t>, Mr. Sha</w:t>
      </w:r>
      <w:r w:rsidR="008D7E57" w:rsidRPr="006D6508">
        <w:rPr>
          <w:rFonts w:ascii="Times New Roman" w:hAnsi="Times New Roman"/>
          <w:szCs w:val="24"/>
        </w:rPr>
        <w:t>w</w:t>
      </w:r>
      <w:r w:rsidR="00757308" w:rsidRPr="006D6508">
        <w:rPr>
          <w:rFonts w:ascii="Times New Roman" w:hAnsi="Times New Roman"/>
          <w:szCs w:val="24"/>
        </w:rPr>
        <w:t>n M. Collins on behalf of the Energy Project, Mr. Bradley G. Mullins on behalf of Boise White Paper, L</w:t>
      </w:r>
      <w:r w:rsidR="00201BC0">
        <w:rPr>
          <w:rFonts w:ascii="Times New Roman" w:hAnsi="Times New Roman"/>
          <w:szCs w:val="24"/>
        </w:rPr>
        <w:t>LC (Boise)</w:t>
      </w:r>
      <w:r w:rsidR="008B4C36">
        <w:rPr>
          <w:rFonts w:ascii="Times New Roman" w:hAnsi="Times New Roman"/>
          <w:szCs w:val="24"/>
        </w:rPr>
        <w:t>,</w:t>
      </w:r>
      <w:r w:rsidR="00201BC0">
        <w:rPr>
          <w:rFonts w:ascii="Times New Roman" w:hAnsi="Times New Roman"/>
          <w:szCs w:val="24"/>
        </w:rPr>
        <w:t xml:space="preserve"> and Mr. Ralph Cavana</w:t>
      </w:r>
      <w:r w:rsidR="00757308" w:rsidRPr="006D6508">
        <w:rPr>
          <w:rFonts w:ascii="Times New Roman" w:hAnsi="Times New Roman"/>
          <w:szCs w:val="24"/>
        </w:rPr>
        <w:t xml:space="preserve">gh on behalf of NW Energy Coalition (NWEC) regarding </w:t>
      </w:r>
      <w:r w:rsidR="00741C4B" w:rsidRPr="006D6508">
        <w:rPr>
          <w:rFonts w:ascii="Times New Roman" w:hAnsi="Times New Roman"/>
          <w:szCs w:val="24"/>
        </w:rPr>
        <w:t xml:space="preserve">issues related to the </w:t>
      </w:r>
      <w:r w:rsidR="00757308" w:rsidRPr="006D6508">
        <w:rPr>
          <w:rFonts w:ascii="Times New Roman" w:hAnsi="Times New Roman"/>
          <w:szCs w:val="24"/>
        </w:rPr>
        <w:t>decoupling</w:t>
      </w:r>
      <w:r w:rsidR="00741C4B" w:rsidRPr="006D6508">
        <w:rPr>
          <w:rFonts w:ascii="Times New Roman" w:hAnsi="Times New Roman"/>
          <w:szCs w:val="24"/>
        </w:rPr>
        <w:t xml:space="preserve"> mechanism</w:t>
      </w:r>
      <w:r w:rsidR="00757308" w:rsidRPr="006D6508">
        <w:rPr>
          <w:rFonts w:ascii="Times New Roman" w:hAnsi="Times New Roman"/>
          <w:szCs w:val="24"/>
        </w:rPr>
        <w:t xml:space="preserve">, </w:t>
      </w:r>
      <w:r w:rsidR="005F4FD7" w:rsidRPr="006D6508">
        <w:rPr>
          <w:rFonts w:ascii="Times New Roman" w:hAnsi="Times New Roman"/>
          <w:szCs w:val="24"/>
        </w:rPr>
        <w:t>low-income</w:t>
      </w:r>
      <w:r w:rsidR="00741C4B" w:rsidRPr="006D6508">
        <w:rPr>
          <w:rFonts w:ascii="Times New Roman" w:hAnsi="Times New Roman"/>
          <w:szCs w:val="24"/>
        </w:rPr>
        <w:t xml:space="preserve"> programs</w:t>
      </w:r>
      <w:r w:rsidR="005F4FD7" w:rsidRPr="006D6508">
        <w:rPr>
          <w:rFonts w:ascii="Times New Roman" w:hAnsi="Times New Roman"/>
          <w:szCs w:val="24"/>
        </w:rPr>
        <w:t xml:space="preserve">, </w:t>
      </w:r>
      <w:r w:rsidR="00757308" w:rsidRPr="006D6508">
        <w:rPr>
          <w:rFonts w:ascii="Times New Roman" w:hAnsi="Times New Roman"/>
          <w:szCs w:val="24"/>
        </w:rPr>
        <w:t xml:space="preserve">rate spread, and rate design.  </w:t>
      </w:r>
    </w:p>
    <w:p w:rsidR="002921E2" w:rsidRPr="006F199C" w:rsidRDefault="00905F81">
      <w:pPr>
        <w:pStyle w:val="Answer-Testimony"/>
        <w:rPr>
          <w:b/>
        </w:rPr>
      </w:pPr>
      <w:r w:rsidRPr="006F199C">
        <w:rPr>
          <w:b/>
        </w:rPr>
        <w:t>Q.</w:t>
      </w:r>
      <w:r w:rsidRPr="006F199C">
        <w:rPr>
          <w:b/>
        </w:rPr>
        <w:tab/>
        <w:t>Please summarize your testimony.</w:t>
      </w:r>
    </w:p>
    <w:p w:rsidR="00757308" w:rsidRPr="006F199C" w:rsidRDefault="00377E5D" w:rsidP="00757308">
      <w:pPr>
        <w:pStyle w:val="Answer-Testimony"/>
      </w:pPr>
      <w:r w:rsidRPr="006F199C">
        <w:t>A.</w:t>
      </w:r>
      <w:r w:rsidRPr="006F199C">
        <w:tab/>
      </w:r>
      <w:r w:rsidR="00757308" w:rsidRPr="006F199C">
        <w:t>The Company continues to recommend a rate spread that allocates the revenue requirement change to rate schedule classes on an equal percent</w:t>
      </w:r>
      <w:r w:rsidR="002D0668" w:rsidRPr="006F199C">
        <w:t>age basis</w:t>
      </w:r>
      <w:r w:rsidR="00757308" w:rsidRPr="006F199C">
        <w:t xml:space="preserve"> for both years of the rate plan.</w:t>
      </w:r>
    </w:p>
    <w:p w:rsidR="00757308" w:rsidRPr="006F199C" w:rsidRDefault="00757308" w:rsidP="00757308">
      <w:pPr>
        <w:pStyle w:val="Answer-Testimony"/>
      </w:pPr>
      <w:r w:rsidRPr="006F199C">
        <w:t xml:space="preserve"> </w:t>
      </w:r>
      <w:r w:rsidRPr="006F199C">
        <w:tab/>
      </w:r>
      <w:r w:rsidR="00067448" w:rsidRPr="006F199C">
        <w:tab/>
      </w:r>
      <w:r w:rsidRPr="006F199C">
        <w:t xml:space="preserve">For rate design, the Company continues to recommend the rate design </w:t>
      </w:r>
      <w:r w:rsidR="008D7E57" w:rsidRPr="006F199C">
        <w:t xml:space="preserve">methodology </w:t>
      </w:r>
      <w:r w:rsidRPr="006F199C">
        <w:t xml:space="preserve">filed in </w:t>
      </w:r>
      <w:r w:rsidR="002D0668" w:rsidRPr="006F199C">
        <w:t xml:space="preserve">my </w:t>
      </w:r>
      <w:r w:rsidRPr="006F199C">
        <w:t>direct testimony</w:t>
      </w:r>
      <w:r w:rsidR="002D0668" w:rsidRPr="006F199C">
        <w:t xml:space="preserve">, which generally </w:t>
      </w:r>
      <w:r w:rsidR="00B5752D" w:rsidRPr="006F199C">
        <w:t xml:space="preserve">applies an equal percentage increase to all billing elements, </w:t>
      </w:r>
      <w:r w:rsidRPr="006F199C">
        <w:t xml:space="preserve">with the exception of </w:t>
      </w:r>
      <w:r w:rsidR="002D0668" w:rsidRPr="006F199C">
        <w:t xml:space="preserve">rates applicable to </w:t>
      </w:r>
      <w:r w:rsidRPr="006F199C">
        <w:t xml:space="preserve">Schedule 48T – Dedicated Facilities. </w:t>
      </w:r>
      <w:r w:rsidR="00EC6754" w:rsidRPr="006F199C">
        <w:t xml:space="preserve"> </w:t>
      </w:r>
      <w:r w:rsidR="00067448" w:rsidRPr="006F199C">
        <w:t xml:space="preserve">The Company does not oppose application of </w:t>
      </w:r>
      <w:r w:rsidR="00067448" w:rsidRPr="006F199C">
        <w:lastRenderedPageBreak/>
        <w:t>Boise’s proposed rate design</w:t>
      </w:r>
      <w:r w:rsidR="002D0668" w:rsidRPr="006F199C">
        <w:t xml:space="preserve"> for</w:t>
      </w:r>
      <w:r w:rsidR="00067448" w:rsidRPr="006F199C">
        <w:t xml:space="preserve"> Schedule 48T – Dedicated Facilities, but recommends that t</w:t>
      </w:r>
      <w:r w:rsidR="008D7E57" w:rsidRPr="006F199C">
        <w:t>he Commission reject</w:t>
      </w:r>
      <w:r w:rsidR="008453E1" w:rsidRPr="006F199C">
        <w:t xml:space="preserve"> </w:t>
      </w:r>
      <w:r w:rsidR="008D7E57" w:rsidRPr="006F199C">
        <w:t xml:space="preserve">Boise’s </w:t>
      </w:r>
      <w:r w:rsidR="001A6F96">
        <w:t xml:space="preserve">proposal that its </w:t>
      </w:r>
      <w:r w:rsidR="008D7E57" w:rsidRPr="006F199C">
        <w:t>rate</w:t>
      </w:r>
      <w:r w:rsidR="008453E1" w:rsidRPr="006F199C">
        <w:t xml:space="preserve"> </w:t>
      </w:r>
      <w:r w:rsidR="008B4C36">
        <w:t xml:space="preserve">spread and </w:t>
      </w:r>
      <w:r w:rsidR="008D7E57" w:rsidRPr="006F199C">
        <w:t xml:space="preserve">rate </w:t>
      </w:r>
      <w:r w:rsidR="008453E1" w:rsidRPr="006F199C">
        <w:t xml:space="preserve">design </w:t>
      </w:r>
      <w:r w:rsidR="001A6F96">
        <w:t>be applied to</w:t>
      </w:r>
      <w:r w:rsidR="008453E1" w:rsidRPr="006F199C">
        <w:t xml:space="preserve"> </w:t>
      </w:r>
      <w:r w:rsidR="00EC6754" w:rsidRPr="00C953D0">
        <w:rPr>
          <w:i/>
        </w:rPr>
        <w:t>all</w:t>
      </w:r>
      <w:r w:rsidR="00AD66F5" w:rsidRPr="006F199C">
        <w:t xml:space="preserve"> </w:t>
      </w:r>
      <w:r w:rsidR="008453E1" w:rsidRPr="006F199C">
        <w:t>Schedule 48T</w:t>
      </w:r>
      <w:r w:rsidR="00EC6754" w:rsidRPr="006F199C">
        <w:t xml:space="preserve"> customers</w:t>
      </w:r>
      <w:r w:rsidR="00AD66F5" w:rsidRPr="006F199C">
        <w:t>.</w:t>
      </w:r>
      <w:r w:rsidR="008453E1" w:rsidRPr="006F199C">
        <w:t xml:space="preserve"> </w:t>
      </w:r>
    </w:p>
    <w:p w:rsidR="00757308" w:rsidRPr="00605385" w:rsidRDefault="00757308" w:rsidP="00757308">
      <w:pPr>
        <w:pStyle w:val="Answer-Testimony"/>
      </w:pPr>
      <w:r w:rsidRPr="006F199C">
        <w:tab/>
      </w:r>
      <w:r w:rsidR="00067448" w:rsidRPr="006F199C">
        <w:tab/>
      </w:r>
      <w:r w:rsidRPr="006F199C">
        <w:t xml:space="preserve">For </w:t>
      </w:r>
      <w:r w:rsidR="00067448" w:rsidRPr="006F199C">
        <w:t xml:space="preserve">the </w:t>
      </w:r>
      <w:r w:rsidR="00566460" w:rsidRPr="006F199C">
        <w:t>proposed d</w:t>
      </w:r>
      <w:r w:rsidRPr="006F199C">
        <w:t>ecoupling</w:t>
      </w:r>
      <w:r w:rsidR="00566460" w:rsidRPr="006F199C">
        <w:t xml:space="preserve"> mechanism</w:t>
      </w:r>
      <w:r w:rsidRPr="006F199C">
        <w:t>,</w:t>
      </w:r>
      <w:r w:rsidR="00566460" w:rsidRPr="006F199C">
        <w:t xml:space="preserve"> </w:t>
      </w:r>
      <w:r w:rsidR="001D5D35" w:rsidRPr="006F199C">
        <w:t>consistent with Staff’s recommendation, t</w:t>
      </w:r>
      <w:r w:rsidRPr="006F199C">
        <w:t>he Comp</w:t>
      </w:r>
      <w:r w:rsidRPr="00605385">
        <w:t xml:space="preserve">any </w:t>
      </w:r>
      <w:r w:rsidR="00CE56F5" w:rsidRPr="00605385">
        <w:t>agrees to increase its annual conservation targets</w:t>
      </w:r>
      <w:r w:rsidR="001D5D35" w:rsidRPr="00605385">
        <w:t>, participate in the</w:t>
      </w:r>
      <w:r w:rsidR="001A6F96">
        <w:t xml:space="preserve"> Commission’s</w:t>
      </w:r>
      <w:r w:rsidR="001D5D35" w:rsidRPr="00605385">
        <w:t xml:space="preserve"> investigation on reliability metrics, and </w:t>
      </w:r>
      <w:proofErr w:type="gramStart"/>
      <w:r w:rsidR="001D5D35" w:rsidRPr="00605385">
        <w:t>provide</w:t>
      </w:r>
      <w:proofErr w:type="gramEnd"/>
      <w:r w:rsidR="001D5D35" w:rsidRPr="00605385">
        <w:t xml:space="preserve"> review and reporting consistent with what was approved for </w:t>
      </w:r>
      <w:proofErr w:type="spellStart"/>
      <w:r w:rsidR="001D5D35" w:rsidRPr="00605385">
        <w:t>Avista</w:t>
      </w:r>
      <w:proofErr w:type="spellEnd"/>
      <w:r w:rsidR="00017351">
        <w:t xml:space="preserve"> Utilities</w:t>
      </w:r>
      <w:r w:rsidR="001D5D35" w:rsidRPr="00605385">
        <w:t xml:space="preserve"> </w:t>
      </w:r>
      <w:r w:rsidR="00017351">
        <w:t>(</w:t>
      </w:r>
      <w:proofErr w:type="spellStart"/>
      <w:r w:rsidR="00017351">
        <w:t>Avista</w:t>
      </w:r>
      <w:proofErr w:type="spellEnd"/>
      <w:r w:rsidR="00017351">
        <w:t xml:space="preserve">) </w:t>
      </w:r>
      <w:r w:rsidR="001D5D35" w:rsidRPr="00605385">
        <w:t xml:space="preserve">and Puget Sound Energy (PSE).  The Company also agrees to continue to offer </w:t>
      </w:r>
      <w:r w:rsidR="008B4C36">
        <w:t>customer g</w:t>
      </w:r>
      <w:r w:rsidR="001D5D35" w:rsidRPr="00605385">
        <w:t xml:space="preserve">uarantees for service quality through the term of the decoupling mechanism and to </w:t>
      </w:r>
      <w:r w:rsidR="00566460" w:rsidRPr="00605385">
        <w:t>modif</w:t>
      </w:r>
      <w:r w:rsidR="001D5D35" w:rsidRPr="00605385">
        <w:t>y</w:t>
      </w:r>
      <w:r w:rsidR="00566460" w:rsidRPr="00605385">
        <w:t xml:space="preserve"> its proposed decoupling mechanism to include a threshold at which the deferral would trigger a rate adjustment, but </w:t>
      </w:r>
      <w:r w:rsidR="001D5D35" w:rsidRPr="00605385">
        <w:t xml:space="preserve">proposes a trigger of </w:t>
      </w:r>
      <w:r w:rsidR="00566460" w:rsidRPr="00605385">
        <w:t>plus or minus 0.5 percent</w:t>
      </w:r>
      <w:r w:rsidR="001D5D35" w:rsidRPr="00605385">
        <w:t>, rather than the 2.5 percent proposed by Staff</w:t>
      </w:r>
      <w:r w:rsidR="00566460" w:rsidRPr="00605385">
        <w:t>.</w:t>
      </w:r>
      <w:r w:rsidR="00CE56F5" w:rsidRPr="00605385">
        <w:t xml:space="preserve"> </w:t>
      </w:r>
      <w:r w:rsidR="00DC7D18" w:rsidRPr="00605385">
        <w:t xml:space="preserve"> </w:t>
      </w:r>
      <w:r w:rsidR="001A6F96">
        <w:t xml:space="preserve">Regarding </w:t>
      </w:r>
      <w:r w:rsidR="00DC7D18" w:rsidRPr="00605385">
        <w:t xml:space="preserve">Staff’s recommendation that the Company commit at least $50,000 in incremental funding for low income conservation, the </w:t>
      </w:r>
      <w:r w:rsidR="00F343B6" w:rsidRPr="00605385">
        <w:t xml:space="preserve">expenditures for low income conservation do not yet exceed the program’s </w:t>
      </w:r>
      <w:r w:rsidR="00DC7D18" w:rsidRPr="00605385">
        <w:t>annual budget cap of $1 million</w:t>
      </w:r>
      <w:r w:rsidR="001A6F96">
        <w:t>; for that reason the Company believes that</w:t>
      </w:r>
      <w:r w:rsidR="00F343B6" w:rsidRPr="00605385">
        <w:t xml:space="preserve"> the additional funding proposed by Staff is unnecessary at this time.  </w:t>
      </w:r>
      <w:r w:rsidR="00CB484F" w:rsidRPr="00605385">
        <w:t xml:space="preserve">Additionally, the Company has committed to a stakeholder collaborative to discuss future modifications to the Company’s Low Income Bill Assistance (LIBA) program </w:t>
      </w:r>
      <w:r w:rsidR="00017351">
        <w:t>before</w:t>
      </w:r>
      <w:r w:rsidR="00CB484F" w:rsidRPr="00605385">
        <w:t xml:space="preserve"> the conclusion of the current five-year program plan, as proposed by The Energy Project.</w:t>
      </w:r>
    </w:p>
    <w:p w:rsidR="00377E5D" w:rsidRPr="00605385" w:rsidRDefault="00757308" w:rsidP="00757308">
      <w:pPr>
        <w:pStyle w:val="Answer-Testimony"/>
      </w:pPr>
      <w:r w:rsidRPr="00605385">
        <w:tab/>
      </w:r>
      <w:r w:rsidR="00067448" w:rsidRPr="00605385">
        <w:tab/>
        <w:t>Lastly, t</w:t>
      </w:r>
      <w:r w:rsidRPr="00605385">
        <w:t xml:space="preserve">he Company agrees to participate in </w:t>
      </w:r>
      <w:r w:rsidR="008D7E57" w:rsidRPr="00605385">
        <w:t>a</w:t>
      </w:r>
      <w:r w:rsidRPr="00605385">
        <w:t xml:space="preserve"> </w:t>
      </w:r>
      <w:r w:rsidR="00CB484F" w:rsidRPr="00605385">
        <w:t>c</w:t>
      </w:r>
      <w:r w:rsidR="008D7E57" w:rsidRPr="00605385">
        <w:t xml:space="preserve">ost of </w:t>
      </w:r>
      <w:r w:rsidR="00CB484F" w:rsidRPr="00605385">
        <w:t>s</w:t>
      </w:r>
      <w:r w:rsidR="008D7E57" w:rsidRPr="00605385">
        <w:t>ervice</w:t>
      </w:r>
      <w:r w:rsidR="008B4C36">
        <w:t xml:space="preserve"> and </w:t>
      </w:r>
      <w:r w:rsidR="00CB484F" w:rsidRPr="00605385">
        <w:t>r</w:t>
      </w:r>
      <w:r w:rsidRPr="00605385">
        <w:t xml:space="preserve">ate </w:t>
      </w:r>
      <w:r w:rsidR="00CB484F" w:rsidRPr="00605385">
        <w:t>d</w:t>
      </w:r>
      <w:r w:rsidRPr="00605385">
        <w:t>esign collaborative</w:t>
      </w:r>
      <w:r w:rsidR="00067448" w:rsidRPr="00605385">
        <w:t xml:space="preserve"> as proposed by Staff</w:t>
      </w:r>
      <w:r w:rsidRPr="00605385">
        <w:t xml:space="preserve">. </w:t>
      </w:r>
      <w:r w:rsidR="00566460" w:rsidRPr="00605385">
        <w:t xml:space="preserve"> </w:t>
      </w:r>
      <w:r w:rsidRPr="00605385">
        <w:t>If consensus is reached</w:t>
      </w:r>
      <w:r w:rsidR="008D7E57" w:rsidRPr="00605385">
        <w:t xml:space="preserve"> among all parties</w:t>
      </w:r>
      <w:r w:rsidRPr="00605385">
        <w:t xml:space="preserve">, </w:t>
      </w:r>
      <w:r w:rsidR="00CB484F" w:rsidRPr="00605385">
        <w:t xml:space="preserve">changes may be implemented in the second year of the rate plan, </w:t>
      </w:r>
      <w:r w:rsidRPr="00605385">
        <w:t xml:space="preserve">otherwise the Company proposes </w:t>
      </w:r>
      <w:r w:rsidR="008D7E57" w:rsidRPr="00605385">
        <w:t xml:space="preserve">that </w:t>
      </w:r>
      <w:r w:rsidR="00CB484F" w:rsidRPr="00605385">
        <w:t xml:space="preserve">resolution of </w:t>
      </w:r>
      <w:r w:rsidR="008D7E57" w:rsidRPr="00605385">
        <w:t>these issues be addressed</w:t>
      </w:r>
      <w:r w:rsidRPr="00605385">
        <w:t xml:space="preserve"> </w:t>
      </w:r>
      <w:r w:rsidR="006D1E15">
        <w:t>before</w:t>
      </w:r>
      <w:r w:rsidR="00CB484F" w:rsidRPr="00605385">
        <w:t xml:space="preserve"> or </w:t>
      </w:r>
      <w:r w:rsidR="00D5537D" w:rsidRPr="00605385">
        <w:t xml:space="preserve">in </w:t>
      </w:r>
      <w:r w:rsidRPr="00605385">
        <w:t>the</w:t>
      </w:r>
      <w:r w:rsidR="00CB484F" w:rsidRPr="00605385">
        <w:t xml:space="preserve"> Company’s</w:t>
      </w:r>
      <w:r w:rsidRPr="00605385">
        <w:t xml:space="preserve"> next general rate case.</w:t>
      </w:r>
    </w:p>
    <w:p w:rsidR="00722375" w:rsidRPr="00605385" w:rsidRDefault="00DA4DCA" w:rsidP="0057659A">
      <w:pPr>
        <w:pStyle w:val="Heading1"/>
      </w:pPr>
      <w:bookmarkStart w:id="3" w:name="_Toc447533890"/>
      <w:r w:rsidRPr="00605385">
        <w:t xml:space="preserve">REVISED </w:t>
      </w:r>
      <w:r w:rsidR="00722375" w:rsidRPr="00605385">
        <w:t>RATE SPREAD</w:t>
      </w:r>
      <w:r w:rsidRPr="00605385">
        <w:t xml:space="preserve"> AND </w:t>
      </w:r>
      <w:r w:rsidR="00722375" w:rsidRPr="00605385">
        <w:t>RATE DESIGN</w:t>
      </w:r>
      <w:r w:rsidRPr="00605385">
        <w:t xml:space="preserve"> EXHIBITS</w:t>
      </w:r>
      <w:bookmarkEnd w:id="3"/>
    </w:p>
    <w:p w:rsidR="00612FAB" w:rsidRPr="00605385" w:rsidRDefault="00612FAB" w:rsidP="0034595D">
      <w:pPr>
        <w:tabs>
          <w:tab w:val="left" w:pos="0"/>
        </w:tabs>
        <w:suppressAutoHyphens/>
        <w:rPr>
          <w:rFonts w:ascii="Times New Roman" w:hAnsi="Times New Roman"/>
          <w:b/>
          <w:szCs w:val="24"/>
        </w:rPr>
      </w:pPr>
      <w:r w:rsidRPr="00605385">
        <w:rPr>
          <w:rFonts w:ascii="Times New Roman" w:hAnsi="Times New Roman"/>
          <w:b/>
          <w:szCs w:val="24"/>
        </w:rPr>
        <w:t>Q.</w:t>
      </w:r>
      <w:r w:rsidRPr="00605385">
        <w:rPr>
          <w:rFonts w:ascii="Times New Roman" w:hAnsi="Times New Roman"/>
          <w:b/>
          <w:szCs w:val="24"/>
        </w:rPr>
        <w:tab/>
        <w:t xml:space="preserve">Have you prepared exhibits showing the Company’s </w:t>
      </w:r>
      <w:r w:rsidR="00DA4DCA" w:rsidRPr="00605385">
        <w:rPr>
          <w:rFonts w:ascii="Times New Roman" w:hAnsi="Times New Roman"/>
          <w:b/>
          <w:szCs w:val="24"/>
        </w:rPr>
        <w:t xml:space="preserve">proposed </w:t>
      </w:r>
      <w:r w:rsidRPr="00605385">
        <w:rPr>
          <w:rFonts w:ascii="Times New Roman" w:hAnsi="Times New Roman"/>
          <w:b/>
          <w:szCs w:val="24"/>
        </w:rPr>
        <w:t xml:space="preserve">rate spread and rate design based on the </w:t>
      </w:r>
      <w:r w:rsidR="003B278A" w:rsidRPr="00605385">
        <w:rPr>
          <w:rFonts w:ascii="Times New Roman" w:hAnsi="Times New Roman"/>
          <w:b/>
          <w:szCs w:val="24"/>
        </w:rPr>
        <w:t xml:space="preserve">Company’s </w:t>
      </w:r>
      <w:r w:rsidR="00BB0F31" w:rsidRPr="00605385">
        <w:rPr>
          <w:rFonts w:ascii="Times New Roman" w:hAnsi="Times New Roman"/>
          <w:b/>
          <w:szCs w:val="24"/>
        </w:rPr>
        <w:t xml:space="preserve">revised revenue </w:t>
      </w:r>
      <w:r w:rsidR="00AA72BF" w:rsidRPr="00605385">
        <w:rPr>
          <w:rFonts w:ascii="Times New Roman" w:hAnsi="Times New Roman"/>
          <w:b/>
          <w:szCs w:val="24"/>
        </w:rPr>
        <w:t xml:space="preserve">requirement </w:t>
      </w:r>
      <w:r w:rsidR="003B278A" w:rsidRPr="00605385">
        <w:rPr>
          <w:rFonts w:ascii="Times New Roman" w:hAnsi="Times New Roman"/>
          <w:b/>
          <w:szCs w:val="24"/>
        </w:rPr>
        <w:t xml:space="preserve">in this </w:t>
      </w:r>
      <w:r w:rsidRPr="00605385">
        <w:rPr>
          <w:rFonts w:ascii="Times New Roman" w:hAnsi="Times New Roman"/>
          <w:b/>
          <w:szCs w:val="24"/>
        </w:rPr>
        <w:t>rebuttal filing?</w:t>
      </w:r>
    </w:p>
    <w:p w:rsidR="00612FAB" w:rsidRPr="006F199C" w:rsidRDefault="006D0225" w:rsidP="0034595D">
      <w:pPr>
        <w:tabs>
          <w:tab w:val="left" w:pos="0"/>
        </w:tabs>
        <w:suppressAutoHyphens/>
        <w:rPr>
          <w:rFonts w:ascii="Times New Roman" w:hAnsi="Times New Roman"/>
          <w:szCs w:val="24"/>
        </w:rPr>
      </w:pPr>
      <w:r w:rsidRPr="006D1E15">
        <w:rPr>
          <w:rFonts w:ascii="Times New Roman" w:hAnsi="Times New Roman"/>
          <w:szCs w:val="24"/>
        </w:rPr>
        <w:t>A.</w:t>
      </w:r>
      <w:r w:rsidRPr="006D1E15">
        <w:rPr>
          <w:rFonts w:ascii="Times New Roman" w:hAnsi="Times New Roman"/>
          <w:szCs w:val="24"/>
        </w:rPr>
        <w:tab/>
        <w:t>Yes.  Exhibit No.</w:t>
      </w:r>
      <w:r w:rsidR="004426D1" w:rsidRPr="006D1E15">
        <w:rPr>
          <w:rFonts w:ascii="Times New Roman" w:hAnsi="Times New Roman"/>
          <w:szCs w:val="24"/>
        </w:rPr>
        <w:t xml:space="preserve"> </w:t>
      </w:r>
      <w:r w:rsidR="00642FE7" w:rsidRPr="006D1E15">
        <w:rPr>
          <w:rFonts w:ascii="Times New Roman" w:hAnsi="Times New Roman"/>
          <w:szCs w:val="24"/>
        </w:rPr>
        <w:t>JRS</w:t>
      </w:r>
      <w:r w:rsidRPr="006D1E15">
        <w:rPr>
          <w:rFonts w:ascii="Times New Roman" w:hAnsi="Times New Roman"/>
          <w:szCs w:val="24"/>
        </w:rPr>
        <w:t>-</w:t>
      </w:r>
      <w:r w:rsidR="00B82B89" w:rsidRPr="006D1E15">
        <w:rPr>
          <w:rFonts w:ascii="Times New Roman" w:hAnsi="Times New Roman"/>
          <w:szCs w:val="24"/>
        </w:rPr>
        <w:t>10</w:t>
      </w:r>
      <w:r w:rsidR="00612FAB" w:rsidRPr="006D1E15">
        <w:rPr>
          <w:rFonts w:ascii="Times New Roman" w:hAnsi="Times New Roman"/>
          <w:szCs w:val="24"/>
        </w:rPr>
        <w:t xml:space="preserve"> shows the proposed rat</w:t>
      </w:r>
      <w:r w:rsidRPr="006D1E15">
        <w:rPr>
          <w:rFonts w:ascii="Times New Roman" w:hAnsi="Times New Roman"/>
          <w:szCs w:val="24"/>
        </w:rPr>
        <w:t xml:space="preserve">e </w:t>
      </w:r>
      <w:r w:rsidR="00BB0F31" w:rsidRPr="006D1E15">
        <w:rPr>
          <w:rFonts w:ascii="Times New Roman" w:hAnsi="Times New Roman"/>
          <w:szCs w:val="24"/>
        </w:rPr>
        <w:t xml:space="preserve">spread for the revised revenue requirement </w:t>
      </w:r>
      <w:r w:rsidRPr="006D1E15">
        <w:rPr>
          <w:rFonts w:ascii="Times New Roman" w:hAnsi="Times New Roman"/>
          <w:szCs w:val="24"/>
        </w:rPr>
        <w:t>increase</w:t>
      </w:r>
      <w:r w:rsidR="00CC0FDC" w:rsidRPr="006D1E15">
        <w:rPr>
          <w:rFonts w:ascii="Times New Roman" w:hAnsi="Times New Roman"/>
          <w:szCs w:val="24"/>
        </w:rPr>
        <w:t>s</w:t>
      </w:r>
      <w:r w:rsidRPr="006D1E15">
        <w:rPr>
          <w:rFonts w:ascii="Times New Roman" w:hAnsi="Times New Roman"/>
          <w:szCs w:val="24"/>
        </w:rPr>
        <w:t xml:space="preserve">. </w:t>
      </w:r>
      <w:r w:rsidR="0057659A">
        <w:rPr>
          <w:rFonts w:ascii="Times New Roman" w:hAnsi="Times New Roman"/>
          <w:szCs w:val="24"/>
        </w:rPr>
        <w:t xml:space="preserve"> </w:t>
      </w:r>
      <w:r w:rsidRPr="006D1E15">
        <w:rPr>
          <w:rFonts w:ascii="Times New Roman" w:hAnsi="Times New Roman"/>
          <w:szCs w:val="24"/>
        </w:rPr>
        <w:t>Exhibit No.</w:t>
      </w:r>
      <w:r w:rsidR="004426D1" w:rsidRPr="006D1E15">
        <w:rPr>
          <w:rFonts w:ascii="Times New Roman" w:hAnsi="Times New Roman"/>
          <w:szCs w:val="24"/>
        </w:rPr>
        <w:t xml:space="preserve"> </w:t>
      </w:r>
      <w:r w:rsidR="00642FE7" w:rsidRPr="006D1E15">
        <w:rPr>
          <w:rFonts w:ascii="Times New Roman" w:hAnsi="Times New Roman"/>
          <w:szCs w:val="24"/>
        </w:rPr>
        <w:t>JRS</w:t>
      </w:r>
      <w:r w:rsidRPr="006D1E15">
        <w:rPr>
          <w:rFonts w:ascii="Times New Roman" w:hAnsi="Times New Roman"/>
          <w:szCs w:val="24"/>
        </w:rPr>
        <w:t>-</w:t>
      </w:r>
      <w:r w:rsidR="00B82B89" w:rsidRPr="006D1E15">
        <w:rPr>
          <w:rFonts w:ascii="Times New Roman" w:hAnsi="Times New Roman"/>
          <w:szCs w:val="24"/>
        </w:rPr>
        <w:t>11</w:t>
      </w:r>
      <w:r w:rsidR="00612FAB" w:rsidRPr="006D1E15">
        <w:rPr>
          <w:rFonts w:ascii="Times New Roman" w:hAnsi="Times New Roman"/>
          <w:szCs w:val="24"/>
        </w:rPr>
        <w:t xml:space="preserve"> contains the proposed prices and billing determinants </w:t>
      </w:r>
      <w:r w:rsidR="00637385" w:rsidRPr="006D1E15">
        <w:rPr>
          <w:rFonts w:ascii="Times New Roman" w:hAnsi="Times New Roman"/>
          <w:szCs w:val="24"/>
        </w:rPr>
        <w:t xml:space="preserve">used in calculating the proposed </w:t>
      </w:r>
      <w:r w:rsidRPr="006D1E15">
        <w:rPr>
          <w:rFonts w:ascii="Times New Roman" w:hAnsi="Times New Roman"/>
          <w:szCs w:val="24"/>
        </w:rPr>
        <w:t>prices</w:t>
      </w:r>
      <w:r w:rsidR="00CC0FDC" w:rsidRPr="006D1E15">
        <w:rPr>
          <w:rFonts w:ascii="Times New Roman" w:hAnsi="Times New Roman"/>
          <w:szCs w:val="24"/>
        </w:rPr>
        <w:t xml:space="preserve"> effective </w:t>
      </w:r>
      <w:r w:rsidR="00D476C2" w:rsidRPr="006D1E15">
        <w:rPr>
          <w:rFonts w:ascii="Times New Roman" w:hAnsi="Times New Roman"/>
          <w:szCs w:val="24"/>
        </w:rPr>
        <w:t xml:space="preserve">July </w:t>
      </w:r>
      <w:r w:rsidR="00CC0FDC" w:rsidRPr="006D1E15">
        <w:rPr>
          <w:rFonts w:ascii="Times New Roman" w:hAnsi="Times New Roman"/>
          <w:szCs w:val="24"/>
        </w:rPr>
        <w:t>1</w:t>
      </w:r>
      <w:r w:rsidR="00D476C2" w:rsidRPr="006D1E15">
        <w:rPr>
          <w:rFonts w:ascii="Times New Roman" w:hAnsi="Times New Roman"/>
          <w:szCs w:val="24"/>
        </w:rPr>
        <w:t>, 2016</w:t>
      </w:r>
      <w:r w:rsidRPr="006D1E15">
        <w:rPr>
          <w:rFonts w:ascii="Times New Roman" w:hAnsi="Times New Roman"/>
          <w:szCs w:val="24"/>
        </w:rPr>
        <w:t xml:space="preserve">. </w:t>
      </w:r>
      <w:r w:rsidR="00F02012" w:rsidRPr="006D1E15">
        <w:rPr>
          <w:rFonts w:ascii="Times New Roman" w:hAnsi="Times New Roman"/>
          <w:szCs w:val="24"/>
        </w:rPr>
        <w:t xml:space="preserve"> </w:t>
      </w:r>
      <w:r w:rsidR="00CC0FDC" w:rsidRPr="006D1E15">
        <w:rPr>
          <w:rFonts w:ascii="Times New Roman" w:hAnsi="Times New Roman"/>
          <w:szCs w:val="24"/>
        </w:rPr>
        <w:t>Exhibit No.</w:t>
      </w:r>
      <w:r w:rsidR="004426D1" w:rsidRPr="006D1E15">
        <w:rPr>
          <w:rFonts w:ascii="Times New Roman" w:hAnsi="Times New Roman"/>
          <w:szCs w:val="24"/>
        </w:rPr>
        <w:t xml:space="preserve"> </w:t>
      </w:r>
      <w:r w:rsidR="00CC0FDC" w:rsidRPr="006D1E15">
        <w:rPr>
          <w:rFonts w:ascii="Times New Roman" w:hAnsi="Times New Roman"/>
          <w:szCs w:val="24"/>
        </w:rPr>
        <w:t>JRS-1</w:t>
      </w:r>
      <w:r w:rsidR="00F02B83" w:rsidRPr="006D1E15">
        <w:rPr>
          <w:rFonts w:ascii="Times New Roman" w:hAnsi="Times New Roman"/>
          <w:szCs w:val="24"/>
        </w:rPr>
        <w:t>2</w:t>
      </w:r>
      <w:r w:rsidR="00CC0FDC" w:rsidRPr="006D1E15">
        <w:rPr>
          <w:rFonts w:ascii="Times New Roman" w:hAnsi="Times New Roman"/>
          <w:szCs w:val="24"/>
        </w:rPr>
        <w:t xml:space="preserve"> contains the proposed prices and billing determinants used in calculating the proposed prices effective </w:t>
      </w:r>
      <w:r w:rsidR="00D476C2" w:rsidRPr="006D1E15">
        <w:rPr>
          <w:rFonts w:ascii="Times New Roman" w:hAnsi="Times New Roman"/>
          <w:szCs w:val="24"/>
        </w:rPr>
        <w:t xml:space="preserve">July </w:t>
      </w:r>
      <w:r w:rsidR="00CC0FDC" w:rsidRPr="006D1E15">
        <w:rPr>
          <w:rFonts w:ascii="Times New Roman" w:hAnsi="Times New Roman"/>
          <w:szCs w:val="24"/>
        </w:rPr>
        <w:t>1</w:t>
      </w:r>
      <w:r w:rsidR="00D476C2" w:rsidRPr="006D1E15">
        <w:rPr>
          <w:rFonts w:ascii="Times New Roman" w:hAnsi="Times New Roman"/>
          <w:szCs w:val="24"/>
        </w:rPr>
        <w:t>, 2017</w:t>
      </w:r>
      <w:r w:rsidR="00CC0FDC" w:rsidRPr="006D1E15">
        <w:rPr>
          <w:rFonts w:ascii="Times New Roman" w:hAnsi="Times New Roman"/>
          <w:szCs w:val="24"/>
        </w:rPr>
        <w:t xml:space="preserve">.  </w:t>
      </w:r>
      <w:r w:rsidRPr="006D1E15">
        <w:rPr>
          <w:rFonts w:ascii="Times New Roman" w:hAnsi="Times New Roman"/>
          <w:szCs w:val="24"/>
        </w:rPr>
        <w:t>Exhibit No.</w:t>
      </w:r>
      <w:r w:rsidR="004426D1" w:rsidRPr="006D1E15">
        <w:rPr>
          <w:rFonts w:ascii="Times New Roman" w:hAnsi="Times New Roman"/>
          <w:szCs w:val="24"/>
        </w:rPr>
        <w:t xml:space="preserve"> </w:t>
      </w:r>
      <w:r w:rsidR="00642FE7" w:rsidRPr="006D1E15">
        <w:rPr>
          <w:rFonts w:ascii="Times New Roman" w:hAnsi="Times New Roman"/>
          <w:szCs w:val="24"/>
        </w:rPr>
        <w:t>JRS</w:t>
      </w:r>
      <w:r w:rsidRPr="006D1E15">
        <w:rPr>
          <w:rFonts w:ascii="Times New Roman" w:hAnsi="Times New Roman"/>
          <w:szCs w:val="24"/>
        </w:rPr>
        <w:t>-1</w:t>
      </w:r>
      <w:r w:rsidR="00F02B83" w:rsidRPr="006D1E15">
        <w:rPr>
          <w:rFonts w:ascii="Times New Roman" w:hAnsi="Times New Roman"/>
          <w:szCs w:val="24"/>
        </w:rPr>
        <w:t>3</w:t>
      </w:r>
      <w:r w:rsidR="00637385" w:rsidRPr="006D1E15">
        <w:rPr>
          <w:rFonts w:ascii="Times New Roman" w:hAnsi="Times New Roman"/>
          <w:szCs w:val="24"/>
        </w:rPr>
        <w:t xml:space="preserve"> contains monthly billing comparisons </w:t>
      </w:r>
      <w:r w:rsidR="00B70684" w:rsidRPr="006D1E15">
        <w:rPr>
          <w:rFonts w:ascii="Times New Roman" w:hAnsi="Times New Roman"/>
          <w:szCs w:val="24"/>
        </w:rPr>
        <w:t xml:space="preserve">for the revised proposed prices </w:t>
      </w:r>
      <w:r w:rsidR="00CC0FDC" w:rsidRPr="006D1E15">
        <w:rPr>
          <w:rFonts w:ascii="Times New Roman" w:hAnsi="Times New Roman"/>
          <w:szCs w:val="24"/>
        </w:rPr>
        <w:t xml:space="preserve">effective </w:t>
      </w:r>
      <w:r w:rsidR="00D476C2" w:rsidRPr="006D1E15">
        <w:rPr>
          <w:rFonts w:ascii="Times New Roman" w:hAnsi="Times New Roman"/>
          <w:szCs w:val="24"/>
        </w:rPr>
        <w:t xml:space="preserve">July </w:t>
      </w:r>
      <w:r w:rsidR="00CC0FDC" w:rsidRPr="006D1E15">
        <w:rPr>
          <w:rFonts w:ascii="Times New Roman" w:hAnsi="Times New Roman"/>
          <w:szCs w:val="24"/>
        </w:rPr>
        <w:t>1</w:t>
      </w:r>
      <w:r w:rsidR="00D476C2" w:rsidRPr="006D1E15">
        <w:rPr>
          <w:rFonts w:ascii="Times New Roman" w:hAnsi="Times New Roman"/>
          <w:szCs w:val="24"/>
        </w:rPr>
        <w:t>, 2016</w:t>
      </w:r>
      <w:r w:rsidR="004426D1" w:rsidRPr="006D1E15">
        <w:rPr>
          <w:rFonts w:ascii="Times New Roman" w:hAnsi="Times New Roman"/>
          <w:szCs w:val="24"/>
        </w:rPr>
        <w:t>,</w:t>
      </w:r>
      <w:r w:rsidR="00CC0FDC" w:rsidRPr="006D1E15">
        <w:rPr>
          <w:rFonts w:ascii="Times New Roman" w:hAnsi="Times New Roman"/>
          <w:szCs w:val="24"/>
        </w:rPr>
        <w:t xml:space="preserve"> </w:t>
      </w:r>
      <w:r w:rsidR="007B57CF" w:rsidRPr="006D1E15">
        <w:rPr>
          <w:rFonts w:ascii="Times New Roman" w:hAnsi="Times New Roman"/>
          <w:szCs w:val="24"/>
        </w:rPr>
        <w:t xml:space="preserve">at different usage levels </w:t>
      </w:r>
      <w:r w:rsidR="00637385" w:rsidRPr="006D1E15">
        <w:rPr>
          <w:rFonts w:ascii="Times New Roman" w:hAnsi="Times New Roman"/>
          <w:szCs w:val="24"/>
        </w:rPr>
        <w:t xml:space="preserve">for each rate schedule. </w:t>
      </w:r>
      <w:r w:rsidR="00512133" w:rsidRPr="006D1E15">
        <w:rPr>
          <w:rFonts w:ascii="Times New Roman" w:hAnsi="Times New Roman"/>
          <w:szCs w:val="24"/>
        </w:rPr>
        <w:t xml:space="preserve"> </w:t>
      </w:r>
      <w:r w:rsidR="00CC0FDC" w:rsidRPr="006D1E15">
        <w:rPr>
          <w:rFonts w:ascii="Times New Roman" w:hAnsi="Times New Roman"/>
          <w:szCs w:val="24"/>
        </w:rPr>
        <w:t>Exhibit No.</w:t>
      </w:r>
      <w:r w:rsidR="004426D1" w:rsidRPr="006D1E15">
        <w:rPr>
          <w:rFonts w:ascii="Times New Roman" w:hAnsi="Times New Roman"/>
          <w:szCs w:val="24"/>
        </w:rPr>
        <w:t xml:space="preserve"> </w:t>
      </w:r>
      <w:r w:rsidR="00CC0FDC" w:rsidRPr="006D1E15">
        <w:rPr>
          <w:rFonts w:ascii="Times New Roman" w:hAnsi="Times New Roman"/>
          <w:szCs w:val="24"/>
        </w:rPr>
        <w:t>JRS-1</w:t>
      </w:r>
      <w:r w:rsidR="00F02B83" w:rsidRPr="006D1E15">
        <w:rPr>
          <w:rFonts w:ascii="Times New Roman" w:hAnsi="Times New Roman"/>
          <w:szCs w:val="24"/>
        </w:rPr>
        <w:t>4</w:t>
      </w:r>
      <w:r w:rsidR="004426D1" w:rsidRPr="006D1E15">
        <w:rPr>
          <w:rFonts w:ascii="Times New Roman" w:hAnsi="Times New Roman"/>
          <w:szCs w:val="24"/>
        </w:rPr>
        <w:t xml:space="preserve"> </w:t>
      </w:r>
      <w:r w:rsidR="00CC0FDC" w:rsidRPr="006D1E15">
        <w:rPr>
          <w:rFonts w:ascii="Times New Roman" w:hAnsi="Times New Roman"/>
          <w:szCs w:val="24"/>
        </w:rPr>
        <w:t xml:space="preserve">contains monthly billing comparisons for the revised proposed prices effective </w:t>
      </w:r>
      <w:r w:rsidR="00D476C2" w:rsidRPr="006D1E15">
        <w:rPr>
          <w:rFonts w:ascii="Times New Roman" w:hAnsi="Times New Roman"/>
          <w:szCs w:val="24"/>
        </w:rPr>
        <w:t>July 1, 2017</w:t>
      </w:r>
      <w:r w:rsidR="004426D1" w:rsidRPr="006D1E15">
        <w:rPr>
          <w:rFonts w:ascii="Times New Roman" w:hAnsi="Times New Roman"/>
          <w:szCs w:val="24"/>
        </w:rPr>
        <w:t>,</w:t>
      </w:r>
      <w:r w:rsidR="00CC0FDC" w:rsidRPr="006D1E15">
        <w:rPr>
          <w:rFonts w:ascii="Times New Roman" w:hAnsi="Times New Roman"/>
          <w:szCs w:val="24"/>
        </w:rPr>
        <w:t xml:space="preserve"> at different usage levels for each rate schedule. </w:t>
      </w:r>
      <w:r w:rsidR="00512133" w:rsidRPr="006D1E15">
        <w:rPr>
          <w:rFonts w:ascii="Times New Roman" w:hAnsi="Times New Roman"/>
          <w:szCs w:val="24"/>
        </w:rPr>
        <w:t>Exhibit No.</w:t>
      </w:r>
      <w:r w:rsidR="004426D1" w:rsidRPr="006D1E15">
        <w:rPr>
          <w:rFonts w:ascii="Times New Roman" w:hAnsi="Times New Roman"/>
          <w:szCs w:val="24"/>
        </w:rPr>
        <w:t xml:space="preserve"> </w:t>
      </w:r>
      <w:r w:rsidR="00512133" w:rsidRPr="006D1E15">
        <w:rPr>
          <w:rFonts w:ascii="Times New Roman" w:hAnsi="Times New Roman"/>
          <w:szCs w:val="24"/>
        </w:rPr>
        <w:t>JRS-1</w:t>
      </w:r>
      <w:r w:rsidR="00F02B83" w:rsidRPr="006D1E15">
        <w:rPr>
          <w:rFonts w:ascii="Times New Roman" w:hAnsi="Times New Roman"/>
          <w:szCs w:val="24"/>
        </w:rPr>
        <w:t>5</w:t>
      </w:r>
      <w:r w:rsidR="00512133" w:rsidRPr="006D1E15">
        <w:rPr>
          <w:rFonts w:ascii="Times New Roman" w:hAnsi="Times New Roman"/>
          <w:szCs w:val="24"/>
        </w:rPr>
        <w:t xml:space="preserve"> contains the </w:t>
      </w:r>
      <w:r w:rsidR="006E5440" w:rsidRPr="006D1E15">
        <w:rPr>
          <w:rFonts w:ascii="Times New Roman" w:hAnsi="Times New Roman"/>
          <w:szCs w:val="24"/>
        </w:rPr>
        <w:t>d</w:t>
      </w:r>
      <w:r w:rsidR="00D476C2" w:rsidRPr="006D1E15">
        <w:rPr>
          <w:rFonts w:ascii="Times New Roman" w:hAnsi="Times New Roman"/>
          <w:szCs w:val="24"/>
        </w:rPr>
        <w:t>ecoupling example updated for the rates that go into effect July 1, 2016</w:t>
      </w:r>
      <w:r w:rsidR="004426D1" w:rsidRPr="006D1E15">
        <w:rPr>
          <w:rFonts w:ascii="Times New Roman" w:hAnsi="Times New Roman"/>
          <w:szCs w:val="24"/>
        </w:rPr>
        <w:t>,</w:t>
      </w:r>
      <w:r w:rsidR="00D476C2" w:rsidRPr="006D1E15">
        <w:rPr>
          <w:rFonts w:ascii="Times New Roman" w:hAnsi="Times New Roman"/>
          <w:szCs w:val="24"/>
        </w:rPr>
        <w:t xml:space="preserve"> on page one and rates that go into effect July 1, 2017</w:t>
      </w:r>
      <w:r w:rsidR="004426D1" w:rsidRPr="006D1E15">
        <w:rPr>
          <w:rFonts w:ascii="Times New Roman" w:hAnsi="Times New Roman"/>
          <w:szCs w:val="24"/>
        </w:rPr>
        <w:t>,</w:t>
      </w:r>
      <w:r w:rsidR="00D476C2" w:rsidRPr="006D1E15">
        <w:rPr>
          <w:rFonts w:ascii="Times New Roman" w:hAnsi="Times New Roman"/>
          <w:szCs w:val="24"/>
        </w:rPr>
        <w:t xml:space="preserve"> on page two</w:t>
      </w:r>
      <w:r w:rsidR="00D476C2" w:rsidRPr="006F199C">
        <w:rPr>
          <w:rFonts w:ascii="Times New Roman" w:hAnsi="Times New Roman"/>
          <w:szCs w:val="24"/>
        </w:rPr>
        <w:t>.</w:t>
      </w:r>
    </w:p>
    <w:p w:rsidR="00CE568E" w:rsidRPr="00605385" w:rsidRDefault="00567C19" w:rsidP="005B084B">
      <w:pPr>
        <w:pStyle w:val="Heading1"/>
        <w:rPr>
          <w:rFonts w:ascii="Times New Roman" w:hAnsi="Times New Roman"/>
          <w:szCs w:val="24"/>
        </w:rPr>
      </w:pPr>
      <w:bookmarkStart w:id="4" w:name="OLE_LINK3"/>
      <w:bookmarkStart w:id="5" w:name="OLE_LINK4"/>
      <w:bookmarkStart w:id="6" w:name="_Toc447533891"/>
      <w:r w:rsidRPr="00605385">
        <w:rPr>
          <w:rFonts w:ascii="Times New Roman" w:hAnsi="Times New Roman"/>
          <w:szCs w:val="24"/>
        </w:rPr>
        <w:t>DECOUPLING</w:t>
      </w:r>
      <w:bookmarkEnd w:id="4"/>
      <w:bookmarkEnd w:id="5"/>
      <w:bookmarkEnd w:id="6"/>
    </w:p>
    <w:p w:rsidR="008D4DA3" w:rsidRPr="00605385" w:rsidRDefault="008D4DA3" w:rsidP="008D4DA3">
      <w:pPr>
        <w:rPr>
          <w:rFonts w:ascii="Times New Roman" w:hAnsi="Times New Roman"/>
          <w:b/>
          <w:szCs w:val="24"/>
          <w:u w:val="single"/>
        </w:rPr>
      </w:pPr>
      <w:r w:rsidRPr="006F199C">
        <w:rPr>
          <w:rFonts w:ascii="Times New Roman" w:hAnsi="Times New Roman"/>
          <w:b/>
          <w:szCs w:val="24"/>
          <w:u w:val="single"/>
        </w:rPr>
        <w:t>Re</w:t>
      </w:r>
      <w:r w:rsidR="00567C19" w:rsidRPr="006F199C">
        <w:rPr>
          <w:rFonts w:ascii="Times New Roman" w:hAnsi="Times New Roman"/>
          <w:b/>
          <w:szCs w:val="24"/>
          <w:u w:val="single"/>
        </w:rPr>
        <w:t>sponse</w:t>
      </w:r>
      <w:r w:rsidRPr="006F199C">
        <w:rPr>
          <w:rFonts w:ascii="Times New Roman" w:hAnsi="Times New Roman"/>
          <w:b/>
          <w:szCs w:val="24"/>
          <w:u w:val="single"/>
        </w:rPr>
        <w:t xml:space="preserve"> </w:t>
      </w:r>
      <w:r w:rsidR="007733A7" w:rsidRPr="006D6508">
        <w:rPr>
          <w:rFonts w:ascii="Times New Roman" w:hAnsi="Times New Roman"/>
          <w:b/>
          <w:szCs w:val="24"/>
          <w:u w:val="single"/>
        </w:rPr>
        <w:t xml:space="preserve">to </w:t>
      </w:r>
      <w:r w:rsidR="00567C19" w:rsidRPr="006D6508">
        <w:rPr>
          <w:rFonts w:ascii="Times New Roman" w:hAnsi="Times New Roman"/>
          <w:b/>
          <w:szCs w:val="24"/>
          <w:u w:val="single"/>
        </w:rPr>
        <w:t>Staff</w:t>
      </w:r>
      <w:r w:rsidR="008D7981" w:rsidRPr="00605385">
        <w:rPr>
          <w:rFonts w:ascii="Times New Roman" w:hAnsi="Times New Roman"/>
          <w:b/>
          <w:szCs w:val="24"/>
          <w:u w:val="single"/>
        </w:rPr>
        <w:t xml:space="preserve"> Witness</w:t>
      </w:r>
      <w:r w:rsidR="00322185" w:rsidRPr="00605385">
        <w:rPr>
          <w:rFonts w:ascii="Times New Roman" w:hAnsi="Times New Roman"/>
          <w:b/>
          <w:szCs w:val="24"/>
          <w:u w:val="single"/>
        </w:rPr>
        <w:t xml:space="preserve"> </w:t>
      </w:r>
      <w:r w:rsidR="00B1786E">
        <w:rPr>
          <w:rFonts w:ascii="Times New Roman" w:hAnsi="Times New Roman"/>
          <w:b/>
          <w:szCs w:val="24"/>
          <w:u w:val="single"/>
        </w:rPr>
        <w:t xml:space="preserve">Mr. </w:t>
      </w:r>
      <w:r w:rsidR="00567C19" w:rsidRPr="00605385">
        <w:rPr>
          <w:rFonts w:ascii="Times New Roman" w:hAnsi="Times New Roman"/>
          <w:b/>
          <w:szCs w:val="24"/>
          <w:u w:val="single"/>
        </w:rPr>
        <w:t>Ball</w:t>
      </w:r>
    </w:p>
    <w:p w:rsidR="00954E28" w:rsidRPr="00605385" w:rsidRDefault="00954E28" w:rsidP="00954E28">
      <w:pPr>
        <w:pStyle w:val="Answer-Testimony"/>
      </w:pPr>
      <w:r w:rsidRPr="00605385">
        <w:rPr>
          <w:b/>
        </w:rPr>
        <w:t>Q.</w:t>
      </w:r>
      <w:r w:rsidRPr="00605385">
        <w:rPr>
          <w:b/>
        </w:rPr>
        <w:tab/>
        <w:t xml:space="preserve">Please summarize </w:t>
      </w:r>
      <w:r w:rsidR="008B4C36">
        <w:rPr>
          <w:b/>
        </w:rPr>
        <w:t>Staff’s</w:t>
      </w:r>
      <w:r w:rsidRPr="00605385">
        <w:rPr>
          <w:b/>
        </w:rPr>
        <w:t xml:space="preserve"> testimony regarding the Company’s decoupling proposal.</w:t>
      </w:r>
    </w:p>
    <w:p w:rsidR="00954E28" w:rsidRPr="00605385" w:rsidRDefault="00954E28" w:rsidP="00954E28">
      <w:pPr>
        <w:tabs>
          <w:tab w:val="left" w:pos="-720"/>
          <w:tab w:val="left" w:pos="0"/>
        </w:tabs>
        <w:suppressAutoHyphens/>
        <w:rPr>
          <w:rFonts w:ascii="Times New Roman" w:hAnsi="Times New Roman"/>
          <w:szCs w:val="24"/>
        </w:rPr>
      </w:pPr>
      <w:r w:rsidRPr="00605385">
        <w:rPr>
          <w:rFonts w:ascii="Times New Roman" w:hAnsi="Times New Roman"/>
          <w:szCs w:val="24"/>
        </w:rPr>
        <w:t>A.</w:t>
      </w:r>
      <w:r w:rsidRPr="00605385">
        <w:rPr>
          <w:rFonts w:ascii="Times New Roman" w:hAnsi="Times New Roman"/>
          <w:szCs w:val="24"/>
        </w:rPr>
        <w:tab/>
        <w:t>Generally</w:t>
      </w:r>
      <w:r w:rsidR="00322185" w:rsidRPr="00605385">
        <w:rPr>
          <w:rFonts w:ascii="Times New Roman" w:hAnsi="Times New Roman"/>
          <w:szCs w:val="24"/>
        </w:rPr>
        <w:t>,</w:t>
      </w:r>
      <w:r w:rsidRPr="00605385">
        <w:rPr>
          <w:rFonts w:ascii="Times New Roman" w:hAnsi="Times New Roman"/>
          <w:szCs w:val="24"/>
        </w:rPr>
        <w:t xml:space="preserve"> </w:t>
      </w:r>
      <w:r w:rsidR="008B4C36">
        <w:rPr>
          <w:rFonts w:ascii="Times New Roman" w:hAnsi="Times New Roman"/>
          <w:szCs w:val="24"/>
        </w:rPr>
        <w:t>Staff</w:t>
      </w:r>
      <w:r w:rsidRPr="00605385">
        <w:rPr>
          <w:rFonts w:ascii="Times New Roman" w:hAnsi="Times New Roman"/>
          <w:szCs w:val="24"/>
        </w:rPr>
        <w:t xml:space="preserve"> supports the Company’s proposal but recommends several conditions for its approval</w:t>
      </w:r>
      <w:r w:rsidR="006D1E15">
        <w:rPr>
          <w:rFonts w:ascii="Times New Roman" w:hAnsi="Times New Roman"/>
          <w:szCs w:val="24"/>
        </w:rPr>
        <w:t xml:space="preserve"> and </w:t>
      </w:r>
      <w:r w:rsidR="001A6F96">
        <w:rPr>
          <w:rFonts w:ascii="Times New Roman" w:hAnsi="Times New Roman"/>
          <w:szCs w:val="24"/>
        </w:rPr>
        <w:t>two</w:t>
      </w:r>
      <w:r w:rsidR="009954C0" w:rsidRPr="00605385">
        <w:rPr>
          <w:rFonts w:ascii="Times New Roman" w:hAnsi="Times New Roman"/>
          <w:szCs w:val="24"/>
        </w:rPr>
        <w:t xml:space="preserve"> </w:t>
      </w:r>
      <w:r w:rsidR="00322185" w:rsidRPr="00605385">
        <w:rPr>
          <w:rFonts w:ascii="Times New Roman" w:hAnsi="Times New Roman"/>
          <w:szCs w:val="24"/>
        </w:rPr>
        <w:t xml:space="preserve">small modifications </w:t>
      </w:r>
      <w:r w:rsidR="009954C0" w:rsidRPr="00605385">
        <w:rPr>
          <w:rFonts w:ascii="Times New Roman" w:hAnsi="Times New Roman"/>
          <w:szCs w:val="24"/>
        </w:rPr>
        <w:t xml:space="preserve">to </w:t>
      </w:r>
      <w:r w:rsidR="00322185" w:rsidRPr="00605385">
        <w:rPr>
          <w:rFonts w:ascii="Times New Roman" w:hAnsi="Times New Roman"/>
          <w:szCs w:val="24"/>
        </w:rPr>
        <w:t xml:space="preserve">how </w:t>
      </w:r>
      <w:r w:rsidR="009954C0" w:rsidRPr="00605385">
        <w:rPr>
          <w:rFonts w:ascii="Times New Roman" w:hAnsi="Times New Roman"/>
          <w:szCs w:val="24"/>
        </w:rPr>
        <w:t>the proposed decoupling mechanism’s</w:t>
      </w:r>
      <w:r w:rsidR="00322185" w:rsidRPr="00605385">
        <w:rPr>
          <w:rFonts w:ascii="Times New Roman" w:hAnsi="Times New Roman"/>
          <w:szCs w:val="24"/>
        </w:rPr>
        <w:t xml:space="preserve"> deferral would be implemented in rates</w:t>
      </w:r>
      <w:r w:rsidRPr="00605385">
        <w:rPr>
          <w:rFonts w:ascii="Times New Roman" w:hAnsi="Times New Roman"/>
          <w:szCs w:val="24"/>
        </w:rPr>
        <w:t>.</w:t>
      </w:r>
      <w:r w:rsidR="0012136C" w:rsidRPr="00605385">
        <w:rPr>
          <w:rFonts w:ascii="Times New Roman" w:hAnsi="Times New Roman"/>
          <w:szCs w:val="24"/>
        </w:rPr>
        <w:t xml:space="preserve">  </w:t>
      </w:r>
      <w:r w:rsidR="00322185" w:rsidRPr="00605385">
        <w:rPr>
          <w:rFonts w:ascii="Times New Roman" w:hAnsi="Times New Roman"/>
          <w:szCs w:val="24"/>
        </w:rPr>
        <w:t xml:space="preserve">Specifically, </w:t>
      </w:r>
      <w:r w:rsidR="008B4C36">
        <w:rPr>
          <w:rFonts w:ascii="Times New Roman" w:hAnsi="Times New Roman"/>
          <w:szCs w:val="24"/>
        </w:rPr>
        <w:t>Staff</w:t>
      </w:r>
      <w:r w:rsidR="00F47771" w:rsidRPr="00605385">
        <w:rPr>
          <w:rFonts w:ascii="Times New Roman" w:hAnsi="Times New Roman"/>
          <w:szCs w:val="24"/>
        </w:rPr>
        <w:t xml:space="preserve"> proposes the following conditions for approval of the Company’s decoupling proposal:</w:t>
      </w:r>
      <w:r w:rsidR="008B4C36">
        <w:rPr>
          <w:rFonts w:ascii="Times New Roman" w:hAnsi="Times New Roman"/>
          <w:szCs w:val="24"/>
        </w:rPr>
        <w:t xml:space="preserve"> </w:t>
      </w:r>
      <w:r w:rsidR="00F47771" w:rsidRPr="00605385">
        <w:rPr>
          <w:rFonts w:ascii="Times New Roman" w:hAnsi="Times New Roman"/>
          <w:szCs w:val="24"/>
        </w:rPr>
        <w:t xml:space="preserve"> </w:t>
      </w:r>
      <w:r w:rsidR="008B4C36">
        <w:rPr>
          <w:rFonts w:ascii="Times New Roman" w:hAnsi="Times New Roman"/>
          <w:szCs w:val="24"/>
        </w:rPr>
        <w:t>(</w:t>
      </w:r>
      <w:r w:rsidR="00F47771" w:rsidRPr="00605385">
        <w:rPr>
          <w:rFonts w:ascii="Times New Roman" w:hAnsi="Times New Roman"/>
          <w:szCs w:val="24"/>
        </w:rPr>
        <w:t xml:space="preserve">1) an increase in the Company’s annual conservation targets; </w:t>
      </w:r>
      <w:r w:rsidR="008B4C36">
        <w:rPr>
          <w:rFonts w:ascii="Times New Roman" w:hAnsi="Times New Roman"/>
          <w:szCs w:val="24"/>
        </w:rPr>
        <w:t>(</w:t>
      </w:r>
      <w:r w:rsidR="00F47771" w:rsidRPr="00605385">
        <w:rPr>
          <w:rFonts w:ascii="Times New Roman" w:hAnsi="Times New Roman"/>
          <w:szCs w:val="24"/>
        </w:rPr>
        <w:t>2) $50,000 in shareholder fund</w:t>
      </w:r>
      <w:r w:rsidR="00322185" w:rsidRPr="00605385">
        <w:rPr>
          <w:rFonts w:ascii="Times New Roman" w:hAnsi="Times New Roman"/>
          <w:szCs w:val="24"/>
        </w:rPr>
        <w:t>ing for</w:t>
      </w:r>
      <w:r w:rsidR="00F47771" w:rsidRPr="00605385">
        <w:rPr>
          <w:rFonts w:ascii="Times New Roman" w:hAnsi="Times New Roman"/>
          <w:szCs w:val="24"/>
        </w:rPr>
        <w:t xml:space="preserve"> low-income </w:t>
      </w:r>
      <w:r w:rsidR="00322185" w:rsidRPr="00605385">
        <w:rPr>
          <w:rFonts w:ascii="Times New Roman" w:hAnsi="Times New Roman"/>
          <w:szCs w:val="24"/>
        </w:rPr>
        <w:t>conservation programs</w:t>
      </w:r>
      <w:r w:rsidR="00F47771" w:rsidRPr="00605385">
        <w:rPr>
          <w:rFonts w:ascii="Times New Roman" w:hAnsi="Times New Roman"/>
          <w:szCs w:val="24"/>
        </w:rPr>
        <w:t xml:space="preserve">; </w:t>
      </w:r>
      <w:r w:rsidR="008B4C36">
        <w:rPr>
          <w:rFonts w:ascii="Times New Roman" w:hAnsi="Times New Roman"/>
          <w:szCs w:val="24"/>
        </w:rPr>
        <w:t>(</w:t>
      </w:r>
      <w:r w:rsidR="00F47771" w:rsidRPr="00605385">
        <w:rPr>
          <w:rFonts w:ascii="Times New Roman" w:hAnsi="Times New Roman"/>
          <w:szCs w:val="24"/>
        </w:rPr>
        <w:t xml:space="preserve">3) the Company’s participation in Staff’s investigation on reliability metrics in </w:t>
      </w:r>
      <w:r w:rsidR="007D2F7A" w:rsidRPr="007D2F7A">
        <w:rPr>
          <w:rFonts w:ascii="Times New Roman" w:hAnsi="Times New Roman"/>
          <w:szCs w:val="24"/>
        </w:rPr>
        <w:t>Docket U-15195</w:t>
      </w:r>
      <w:r w:rsidR="00F47771" w:rsidRPr="007D2F7A">
        <w:rPr>
          <w:rFonts w:ascii="Times New Roman" w:hAnsi="Times New Roman"/>
          <w:szCs w:val="24"/>
        </w:rPr>
        <w:t>8</w:t>
      </w:r>
      <w:r w:rsidR="00F47771" w:rsidRPr="00605385">
        <w:rPr>
          <w:rFonts w:ascii="Times New Roman" w:hAnsi="Times New Roman"/>
          <w:szCs w:val="24"/>
        </w:rPr>
        <w:t xml:space="preserve">; </w:t>
      </w:r>
      <w:r w:rsidR="008B4C36">
        <w:rPr>
          <w:rFonts w:ascii="Times New Roman" w:hAnsi="Times New Roman"/>
          <w:szCs w:val="24"/>
        </w:rPr>
        <w:t>(</w:t>
      </w:r>
      <w:r w:rsidR="00F47771" w:rsidRPr="00605385">
        <w:rPr>
          <w:rFonts w:ascii="Times New Roman" w:hAnsi="Times New Roman"/>
          <w:szCs w:val="24"/>
        </w:rPr>
        <w:t xml:space="preserve">4) continuation of the Company’s customer guarantee program </w:t>
      </w:r>
      <w:r w:rsidR="00322185" w:rsidRPr="00605385">
        <w:rPr>
          <w:rFonts w:ascii="Times New Roman" w:hAnsi="Times New Roman"/>
          <w:szCs w:val="24"/>
        </w:rPr>
        <w:t>on a permanent basis</w:t>
      </w:r>
      <w:r w:rsidR="00F47771" w:rsidRPr="00605385">
        <w:rPr>
          <w:rFonts w:ascii="Times New Roman" w:hAnsi="Times New Roman"/>
          <w:szCs w:val="24"/>
        </w:rPr>
        <w:t xml:space="preserve">; and </w:t>
      </w:r>
      <w:r w:rsidR="008B4C36">
        <w:rPr>
          <w:rFonts w:ascii="Times New Roman" w:hAnsi="Times New Roman"/>
          <w:szCs w:val="24"/>
        </w:rPr>
        <w:t>(</w:t>
      </w:r>
      <w:r w:rsidR="00F47771" w:rsidRPr="00605385">
        <w:rPr>
          <w:rFonts w:ascii="Times New Roman" w:hAnsi="Times New Roman"/>
          <w:szCs w:val="24"/>
        </w:rPr>
        <w:t>5)</w:t>
      </w:r>
      <w:r w:rsidR="008C2070" w:rsidRPr="00605385">
        <w:rPr>
          <w:rFonts w:ascii="Times New Roman" w:hAnsi="Times New Roman"/>
          <w:szCs w:val="24"/>
        </w:rPr>
        <w:t xml:space="preserve"> a detailed report of decoupling mechanism following the completion of its third year.</w:t>
      </w:r>
      <w:r w:rsidR="00B2306E" w:rsidRPr="00B2306E">
        <w:rPr>
          <w:rStyle w:val="FootnoteReference"/>
          <w:rFonts w:ascii="Times New Roman" w:hAnsi="Times New Roman"/>
          <w:szCs w:val="24"/>
          <w:vertAlign w:val="superscript"/>
        </w:rPr>
        <w:footnoteReference w:id="1"/>
      </w:r>
      <w:r w:rsidR="0057659A">
        <w:rPr>
          <w:rFonts w:ascii="Times New Roman" w:hAnsi="Times New Roman"/>
          <w:szCs w:val="24"/>
        </w:rPr>
        <w:t xml:space="preserve">  </w:t>
      </w:r>
      <w:r w:rsidR="008B4C36">
        <w:rPr>
          <w:rFonts w:ascii="Times New Roman" w:hAnsi="Times New Roman"/>
          <w:szCs w:val="24"/>
        </w:rPr>
        <w:t>Staff</w:t>
      </w:r>
      <w:r w:rsidR="009954C0" w:rsidRPr="00605385">
        <w:rPr>
          <w:rFonts w:ascii="Times New Roman" w:hAnsi="Times New Roman"/>
          <w:szCs w:val="24"/>
        </w:rPr>
        <w:t xml:space="preserve"> </w:t>
      </w:r>
      <w:r w:rsidR="00566460" w:rsidRPr="00605385">
        <w:rPr>
          <w:rFonts w:ascii="Times New Roman" w:hAnsi="Times New Roman"/>
          <w:szCs w:val="24"/>
        </w:rPr>
        <w:t xml:space="preserve">also </w:t>
      </w:r>
      <w:r w:rsidR="009954C0" w:rsidRPr="00605385">
        <w:rPr>
          <w:rFonts w:ascii="Times New Roman" w:hAnsi="Times New Roman"/>
          <w:szCs w:val="24"/>
        </w:rPr>
        <w:t xml:space="preserve">recommends </w:t>
      </w:r>
      <w:r w:rsidR="001A6F96">
        <w:rPr>
          <w:rFonts w:ascii="Times New Roman" w:hAnsi="Times New Roman"/>
          <w:szCs w:val="24"/>
        </w:rPr>
        <w:t xml:space="preserve">a trigger mechanism, requiring </w:t>
      </w:r>
      <w:r w:rsidR="009954C0" w:rsidRPr="00605385">
        <w:rPr>
          <w:rFonts w:ascii="Times New Roman" w:hAnsi="Times New Roman"/>
          <w:szCs w:val="24"/>
        </w:rPr>
        <w:t xml:space="preserve">that the total </w:t>
      </w:r>
      <w:r w:rsidR="00757B03" w:rsidRPr="00605385">
        <w:rPr>
          <w:rFonts w:ascii="Times New Roman" w:hAnsi="Times New Roman"/>
          <w:szCs w:val="24"/>
        </w:rPr>
        <w:t xml:space="preserve">decoupling </w:t>
      </w:r>
      <w:r w:rsidR="009954C0" w:rsidRPr="00605385">
        <w:rPr>
          <w:rFonts w:ascii="Times New Roman" w:hAnsi="Times New Roman"/>
          <w:szCs w:val="24"/>
        </w:rPr>
        <w:t xml:space="preserve">deferral for any class of customers must reach a threshold </w:t>
      </w:r>
      <w:r w:rsidR="00757B03" w:rsidRPr="00605385">
        <w:rPr>
          <w:rFonts w:ascii="Times New Roman" w:hAnsi="Times New Roman"/>
          <w:szCs w:val="24"/>
        </w:rPr>
        <w:t xml:space="preserve">that is equivalent of </w:t>
      </w:r>
      <w:r w:rsidR="008B4C36">
        <w:rPr>
          <w:rFonts w:ascii="Times New Roman" w:hAnsi="Times New Roman"/>
          <w:szCs w:val="24"/>
        </w:rPr>
        <w:t>plus or minus 2.5 </w:t>
      </w:r>
      <w:r w:rsidR="009954C0" w:rsidRPr="00605385">
        <w:rPr>
          <w:rFonts w:ascii="Times New Roman" w:hAnsi="Times New Roman"/>
          <w:szCs w:val="24"/>
        </w:rPr>
        <w:t>percent of allowed decoupled revenue before any rate adjustments occur.</w:t>
      </w:r>
      <w:r w:rsidR="00B2306E" w:rsidRPr="00B2306E">
        <w:rPr>
          <w:rStyle w:val="FootnoteReference"/>
          <w:rFonts w:ascii="Times New Roman" w:hAnsi="Times New Roman"/>
          <w:szCs w:val="24"/>
          <w:vertAlign w:val="superscript"/>
        </w:rPr>
        <w:footnoteReference w:id="2"/>
      </w:r>
      <w:r w:rsidR="009954C0" w:rsidRPr="00605385">
        <w:rPr>
          <w:rFonts w:ascii="Times New Roman" w:hAnsi="Times New Roman"/>
          <w:szCs w:val="24"/>
        </w:rPr>
        <w:t xml:space="preserve">  Along with this proposed trigger, he recommends increasing the Company’s proposed rate cap of three percent to five percent.</w:t>
      </w:r>
      <w:r w:rsidR="00B2306E" w:rsidRPr="00B2306E">
        <w:rPr>
          <w:rStyle w:val="FootnoteReference"/>
          <w:rFonts w:ascii="Times New Roman" w:hAnsi="Times New Roman"/>
          <w:szCs w:val="24"/>
          <w:vertAlign w:val="superscript"/>
        </w:rPr>
        <w:footnoteReference w:id="3"/>
      </w:r>
      <w:r w:rsidR="00477179" w:rsidRPr="00605385">
        <w:rPr>
          <w:rFonts w:ascii="Times New Roman" w:hAnsi="Times New Roman"/>
          <w:szCs w:val="24"/>
        </w:rPr>
        <w:t xml:space="preserve">  I address each of these items </w:t>
      </w:r>
      <w:r w:rsidR="00E4314E" w:rsidRPr="00605385">
        <w:rPr>
          <w:rFonts w:ascii="Times New Roman" w:hAnsi="Times New Roman"/>
          <w:szCs w:val="24"/>
        </w:rPr>
        <w:t>below</w:t>
      </w:r>
      <w:r w:rsidR="00477179" w:rsidRPr="00605385">
        <w:rPr>
          <w:rFonts w:ascii="Times New Roman" w:hAnsi="Times New Roman"/>
          <w:szCs w:val="24"/>
        </w:rPr>
        <w:t>.</w:t>
      </w:r>
    </w:p>
    <w:p w:rsidR="00A94527" w:rsidRPr="00605385" w:rsidRDefault="00A94527" w:rsidP="00A94527">
      <w:pPr>
        <w:pStyle w:val="Answer-Testimony"/>
      </w:pPr>
      <w:r w:rsidRPr="00605385">
        <w:rPr>
          <w:b/>
        </w:rPr>
        <w:t>Q.</w:t>
      </w:r>
      <w:r w:rsidRPr="00605385">
        <w:rPr>
          <w:b/>
        </w:rPr>
        <w:tab/>
      </w:r>
      <w:r w:rsidR="00DB7283" w:rsidRPr="00605385">
        <w:rPr>
          <w:b/>
        </w:rPr>
        <w:t xml:space="preserve">What is your understanding of </w:t>
      </w:r>
      <w:r w:rsidR="008B4C36">
        <w:rPr>
          <w:b/>
        </w:rPr>
        <w:t>Staff’s</w:t>
      </w:r>
      <w:r w:rsidR="00DB7283" w:rsidRPr="00605385">
        <w:rPr>
          <w:b/>
        </w:rPr>
        <w:t xml:space="preserve"> proposed increase to the Company’s conservation target?</w:t>
      </w:r>
    </w:p>
    <w:p w:rsidR="00A94527" w:rsidRPr="00605385" w:rsidRDefault="00A94527" w:rsidP="00A94527">
      <w:pPr>
        <w:tabs>
          <w:tab w:val="left" w:pos="-720"/>
          <w:tab w:val="left" w:pos="0"/>
        </w:tabs>
        <w:suppressAutoHyphens/>
        <w:rPr>
          <w:rFonts w:ascii="Times New Roman" w:hAnsi="Times New Roman"/>
          <w:szCs w:val="24"/>
        </w:rPr>
      </w:pPr>
      <w:r w:rsidRPr="00605385">
        <w:rPr>
          <w:rFonts w:ascii="Times New Roman" w:hAnsi="Times New Roman"/>
          <w:szCs w:val="24"/>
        </w:rPr>
        <w:t>A.</w:t>
      </w:r>
      <w:r w:rsidRPr="00605385">
        <w:rPr>
          <w:rFonts w:ascii="Times New Roman" w:hAnsi="Times New Roman"/>
          <w:szCs w:val="24"/>
        </w:rPr>
        <w:tab/>
      </w:r>
      <w:r w:rsidR="008B4C36">
        <w:rPr>
          <w:rFonts w:ascii="Times New Roman" w:hAnsi="Times New Roman"/>
          <w:szCs w:val="24"/>
        </w:rPr>
        <w:t>Staff</w:t>
      </w:r>
      <w:r w:rsidR="00DB7283" w:rsidRPr="00605385">
        <w:rPr>
          <w:rFonts w:ascii="Times New Roman" w:hAnsi="Times New Roman"/>
          <w:szCs w:val="24"/>
        </w:rPr>
        <w:t xml:space="preserve"> recommends that the Company’s annual conservation target be increased by </w:t>
      </w:r>
      <w:r w:rsidR="00AC34AB" w:rsidRPr="00605385">
        <w:rPr>
          <w:rFonts w:ascii="Times New Roman" w:hAnsi="Times New Roman"/>
          <w:szCs w:val="24"/>
        </w:rPr>
        <w:t>2.5</w:t>
      </w:r>
      <w:r w:rsidR="008B4C36">
        <w:rPr>
          <w:rFonts w:ascii="Times New Roman" w:hAnsi="Times New Roman"/>
          <w:szCs w:val="24"/>
        </w:rPr>
        <w:t> </w:t>
      </w:r>
      <w:r w:rsidR="00DB7283" w:rsidRPr="00605385">
        <w:rPr>
          <w:rFonts w:ascii="Times New Roman" w:hAnsi="Times New Roman"/>
          <w:szCs w:val="24"/>
        </w:rPr>
        <w:t>percent</w:t>
      </w:r>
      <w:r w:rsidR="00AC34AB" w:rsidRPr="00605385">
        <w:rPr>
          <w:rFonts w:ascii="Times New Roman" w:hAnsi="Times New Roman"/>
          <w:szCs w:val="24"/>
        </w:rPr>
        <w:t xml:space="preserve"> </w:t>
      </w:r>
      <w:r w:rsidR="005D5632">
        <w:rPr>
          <w:rFonts w:ascii="Times New Roman" w:hAnsi="Times New Roman"/>
          <w:szCs w:val="24"/>
        </w:rPr>
        <w:t>for</w:t>
      </w:r>
      <w:r w:rsidR="000F7762" w:rsidRPr="00605385">
        <w:rPr>
          <w:rFonts w:ascii="Times New Roman" w:hAnsi="Times New Roman"/>
          <w:szCs w:val="24"/>
        </w:rPr>
        <w:t xml:space="preserve"> the Company’s current 2016-2017 biennium</w:t>
      </w:r>
      <w:r w:rsidR="00DE54ED">
        <w:rPr>
          <w:rFonts w:ascii="Times New Roman" w:hAnsi="Times New Roman"/>
          <w:szCs w:val="24"/>
        </w:rPr>
        <w:t>,</w:t>
      </w:r>
      <w:r w:rsidR="0050012F" w:rsidRPr="00C953D0">
        <w:rPr>
          <w:rStyle w:val="FootnoteReference"/>
          <w:rFonts w:ascii="Times New Roman" w:hAnsi="Times New Roman"/>
          <w:szCs w:val="24"/>
          <w:vertAlign w:val="superscript"/>
        </w:rPr>
        <w:footnoteReference w:id="4"/>
      </w:r>
      <w:r w:rsidR="00AC34AB" w:rsidRPr="00605385">
        <w:rPr>
          <w:rFonts w:ascii="Times New Roman" w:hAnsi="Times New Roman"/>
          <w:szCs w:val="24"/>
        </w:rPr>
        <w:t xml:space="preserve"> and </w:t>
      </w:r>
      <w:r w:rsidR="006B0C5B">
        <w:rPr>
          <w:rFonts w:ascii="Times New Roman" w:hAnsi="Times New Roman"/>
          <w:szCs w:val="24"/>
        </w:rPr>
        <w:t>five</w:t>
      </w:r>
      <w:r w:rsidR="000F7762" w:rsidRPr="00605385">
        <w:rPr>
          <w:rFonts w:ascii="Times New Roman" w:hAnsi="Times New Roman"/>
          <w:szCs w:val="24"/>
        </w:rPr>
        <w:t xml:space="preserve"> </w:t>
      </w:r>
      <w:r w:rsidR="00AC34AB" w:rsidRPr="00605385">
        <w:rPr>
          <w:rFonts w:ascii="Times New Roman" w:hAnsi="Times New Roman"/>
          <w:szCs w:val="24"/>
        </w:rPr>
        <w:t>percent thereafter through the period when decoupling is in effect</w:t>
      </w:r>
      <w:r w:rsidR="00DB7283" w:rsidRPr="00605385">
        <w:rPr>
          <w:rFonts w:ascii="Times New Roman" w:hAnsi="Times New Roman"/>
          <w:szCs w:val="24"/>
        </w:rPr>
        <w:t>.</w:t>
      </w:r>
    </w:p>
    <w:p w:rsidR="00DB7283" w:rsidRPr="00605385" w:rsidRDefault="00DB7283" w:rsidP="00DB7283">
      <w:pPr>
        <w:pStyle w:val="Answer-Testimony"/>
      </w:pPr>
      <w:r w:rsidRPr="00605385">
        <w:rPr>
          <w:b/>
        </w:rPr>
        <w:t>Q.</w:t>
      </w:r>
      <w:r w:rsidRPr="00605385">
        <w:rPr>
          <w:b/>
        </w:rPr>
        <w:tab/>
        <w:t xml:space="preserve">Does the Company accept this </w:t>
      </w:r>
      <w:r w:rsidR="000F7762" w:rsidRPr="00605385">
        <w:rPr>
          <w:b/>
        </w:rPr>
        <w:t>condition</w:t>
      </w:r>
      <w:r w:rsidRPr="00605385">
        <w:rPr>
          <w:b/>
        </w:rPr>
        <w:t>?</w:t>
      </w:r>
    </w:p>
    <w:p w:rsidR="0068276C" w:rsidRPr="0068276C" w:rsidRDefault="00DB7283" w:rsidP="0068276C">
      <w:pPr>
        <w:tabs>
          <w:tab w:val="left" w:pos="-720"/>
          <w:tab w:val="left" w:pos="0"/>
        </w:tabs>
        <w:suppressAutoHyphens/>
        <w:rPr>
          <w:rFonts w:ascii="Times New Roman" w:hAnsi="Times New Roman"/>
          <w:szCs w:val="24"/>
        </w:rPr>
      </w:pPr>
      <w:r w:rsidRPr="00605385">
        <w:rPr>
          <w:rFonts w:ascii="Times New Roman" w:hAnsi="Times New Roman"/>
          <w:szCs w:val="24"/>
        </w:rPr>
        <w:t>A.</w:t>
      </w:r>
      <w:r w:rsidRPr="00605385">
        <w:rPr>
          <w:rFonts w:ascii="Times New Roman" w:hAnsi="Times New Roman"/>
          <w:szCs w:val="24"/>
        </w:rPr>
        <w:tab/>
        <w:t>Yes.</w:t>
      </w:r>
      <w:r w:rsidR="0068276C">
        <w:rPr>
          <w:rFonts w:ascii="Times New Roman" w:hAnsi="Times New Roman"/>
          <w:b/>
          <w:szCs w:val="24"/>
        </w:rPr>
        <w:br w:type="page"/>
      </w:r>
    </w:p>
    <w:p w:rsidR="0039334B" w:rsidRPr="006F199C" w:rsidRDefault="00D27F09" w:rsidP="0039334B">
      <w:pPr>
        <w:tabs>
          <w:tab w:val="left" w:pos="-720"/>
          <w:tab w:val="left" w:pos="0"/>
        </w:tabs>
        <w:suppressAutoHyphens/>
        <w:rPr>
          <w:rFonts w:ascii="Times New Roman" w:hAnsi="Times New Roman"/>
          <w:b/>
          <w:szCs w:val="24"/>
        </w:rPr>
      </w:pPr>
      <w:r>
        <w:rPr>
          <w:rFonts w:ascii="Times New Roman" w:hAnsi="Times New Roman"/>
          <w:b/>
          <w:szCs w:val="24"/>
        </w:rPr>
        <w:t>Q.</w:t>
      </w:r>
      <w:r>
        <w:rPr>
          <w:rFonts w:ascii="Times New Roman" w:hAnsi="Times New Roman"/>
          <w:b/>
          <w:szCs w:val="24"/>
        </w:rPr>
        <w:tab/>
      </w:r>
      <w:r w:rsidR="0039334B" w:rsidRPr="00605385">
        <w:rPr>
          <w:rFonts w:ascii="Times New Roman" w:hAnsi="Times New Roman"/>
          <w:b/>
          <w:szCs w:val="24"/>
        </w:rPr>
        <w:t xml:space="preserve">Do you agree with </w:t>
      </w:r>
      <w:r w:rsidR="008B4C36">
        <w:rPr>
          <w:rFonts w:ascii="Times New Roman" w:hAnsi="Times New Roman"/>
          <w:b/>
          <w:szCs w:val="24"/>
        </w:rPr>
        <w:t>Staff</w:t>
      </w:r>
      <w:r w:rsidR="0039334B" w:rsidRPr="00605385">
        <w:rPr>
          <w:rFonts w:ascii="Times New Roman" w:hAnsi="Times New Roman"/>
          <w:b/>
          <w:szCs w:val="24"/>
        </w:rPr>
        <w:t xml:space="preserve"> that the additional conservation should be “subject to the same penalty as current conservation described by the EIA”?</w:t>
      </w:r>
      <w:r w:rsidR="000F7762" w:rsidRPr="006F199C">
        <w:rPr>
          <w:rStyle w:val="FootnoteReference"/>
          <w:rFonts w:ascii="Times New Roman" w:hAnsi="Times New Roman"/>
          <w:b/>
          <w:szCs w:val="24"/>
          <w:vertAlign w:val="superscript"/>
        </w:rPr>
        <w:footnoteReference w:id="5"/>
      </w:r>
    </w:p>
    <w:p w:rsidR="0039334B" w:rsidRPr="00605385" w:rsidRDefault="00D27F09" w:rsidP="0039334B">
      <w:pPr>
        <w:tabs>
          <w:tab w:val="left" w:pos="-720"/>
          <w:tab w:val="left" w:pos="0"/>
        </w:tabs>
        <w:suppressAutoHyphens/>
        <w:rPr>
          <w:rFonts w:ascii="Times New Roman" w:hAnsi="Times New Roman"/>
          <w:szCs w:val="24"/>
        </w:rPr>
      </w:pPr>
      <w:r>
        <w:rPr>
          <w:rFonts w:ascii="Times New Roman" w:hAnsi="Times New Roman"/>
          <w:szCs w:val="24"/>
        </w:rPr>
        <w:t>A.</w:t>
      </w:r>
      <w:r>
        <w:rPr>
          <w:rFonts w:ascii="Times New Roman" w:hAnsi="Times New Roman"/>
          <w:szCs w:val="24"/>
        </w:rPr>
        <w:tab/>
      </w:r>
      <w:r w:rsidR="0039334B" w:rsidRPr="00605385">
        <w:rPr>
          <w:rFonts w:ascii="Times New Roman" w:hAnsi="Times New Roman"/>
          <w:szCs w:val="24"/>
        </w:rPr>
        <w:t xml:space="preserve">The administrative penalties described in </w:t>
      </w:r>
      <w:r w:rsidR="006E5440" w:rsidRPr="00605385">
        <w:rPr>
          <w:rFonts w:ascii="Times New Roman" w:hAnsi="Times New Roman"/>
          <w:szCs w:val="24"/>
        </w:rPr>
        <w:t>the Energy Independence Act (</w:t>
      </w:r>
      <w:r w:rsidR="0039334B" w:rsidRPr="00605385">
        <w:rPr>
          <w:rFonts w:ascii="Times New Roman" w:hAnsi="Times New Roman"/>
          <w:szCs w:val="24"/>
        </w:rPr>
        <w:t>EIA</w:t>
      </w:r>
      <w:r w:rsidR="006E5440" w:rsidRPr="00605385">
        <w:rPr>
          <w:rFonts w:ascii="Times New Roman" w:hAnsi="Times New Roman"/>
          <w:szCs w:val="24"/>
        </w:rPr>
        <w:t>)</w:t>
      </w:r>
      <w:r w:rsidR="0039334B" w:rsidRPr="00605385">
        <w:rPr>
          <w:rFonts w:ascii="Times New Roman" w:hAnsi="Times New Roman"/>
          <w:szCs w:val="24"/>
        </w:rPr>
        <w:t xml:space="preserve"> were established to penalize utilities for not acquiring all cost-effective conservation, as defined through the biennial target-setting process. </w:t>
      </w:r>
      <w:r w:rsidR="002F2CE4">
        <w:rPr>
          <w:rFonts w:ascii="Times New Roman" w:hAnsi="Times New Roman"/>
          <w:szCs w:val="24"/>
        </w:rPr>
        <w:t xml:space="preserve"> </w:t>
      </w:r>
      <w:r w:rsidR="0039334B" w:rsidRPr="00605385">
        <w:rPr>
          <w:rFonts w:ascii="Times New Roman" w:hAnsi="Times New Roman"/>
          <w:szCs w:val="24"/>
        </w:rPr>
        <w:t xml:space="preserve">While the Company does not believe the additional decoupling conservation should be directly tied to the EIA, it is willing to voluntarily submit to financial penalties for failing to meet this higher level of conservation achievement. </w:t>
      </w:r>
    </w:p>
    <w:p w:rsidR="00BB4920" w:rsidRPr="00605385" w:rsidRDefault="00BB4920" w:rsidP="00BB4920">
      <w:pPr>
        <w:rPr>
          <w:rFonts w:ascii="Times New Roman" w:hAnsi="Times New Roman"/>
          <w:b/>
          <w:szCs w:val="24"/>
        </w:rPr>
      </w:pPr>
      <w:r w:rsidRPr="00605385">
        <w:rPr>
          <w:rFonts w:ascii="Times New Roman" w:hAnsi="Times New Roman"/>
          <w:b/>
          <w:szCs w:val="24"/>
        </w:rPr>
        <w:t>Q.</w:t>
      </w:r>
      <w:r w:rsidRPr="00605385">
        <w:rPr>
          <w:rFonts w:ascii="Times New Roman" w:hAnsi="Times New Roman"/>
          <w:b/>
          <w:szCs w:val="24"/>
        </w:rPr>
        <w:tab/>
        <w:t xml:space="preserve">Do you agree with </w:t>
      </w:r>
      <w:r w:rsidR="008B4C36">
        <w:rPr>
          <w:rFonts w:ascii="Times New Roman" w:hAnsi="Times New Roman"/>
          <w:b/>
          <w:szCs w:val="24"/>
        </w:rPr>
        <w:t>Staff’s</w:t>
      </w:r>
      <w:r w:rsidRPr="00605385">
        <w:rPr>
          <w:rFonts w:ascii="Times New Roman" w:hAnsi="Times New Roman"/>
          <w:b/>
          <w:szCs w:val="24"/>
        </w:rPr>
        <w:t xml:space="preserve"> recommendation to increase funding for cons</w:t>
      </w:r>
      <w:r w:rsidR="008B4C36">
        <w:rPr>
          <w:rFonts w:ascii="Times New Roman" w:hAnsi="Times New Roman"/>
          <w:b/>
          <w:szCs w:val="24"/>
        </w:rPr>
        <w:t>ervation programs targeting low-</w:t>
      </w:r>
      <w:r w:rsidRPr="00605385">
        <w:rPr>
          <w:rFonts w:ascii="Times New Roman" w:hAnsi="Times New Roman"/>
          <w:b/>
          <w:szCs w:val="24"/>
        </w:rPr>
        <w:t>income customers?</w:t>
      </w:r>
    </w:p>
    <w:p w:rsidR="00BB4920" w:rsidRPr="00605385" w:rsidRDefault="00BB4920" w:rsidP="00BB4920">
      <w:pPr>
        <w:tabs>
          <w:tab w:val="left" w:pos="-720"/>
          <w:tab w:val="left" w:pos="0"/>
        </w:tabs>
        <w:suppressAutoHyphens/>
        <w:rPr>
          <w:rFonts w:ascii="Times New Roman" w:hAnsi="Times New Roman"/>
          <w:szCs w:val="24"/>
        </w:rPr>
      </w:pPr>
      <w:r w:rsidRPr="00605385">
        <w:rPr>
          <w:rFonts w:ascii="Times New Roman" w:hAnsi="Times New Roman"/>
          <w:szCs w:val="24"/>
        </w:rPr>
        <w:t>A.</w:t>
      </w:r>
      <w:r w:rsidRPr="00605385">
        <w:rPr>
          <w:rFonts w:ascii="Times New Roman" w:hAnsi="Times New Roman"/>
          <w:b/>
          <w:szCs w:val="24"/>
        </w:rPr>
        <w:tab/>
      </w:r>
      <w:r w:rsidRPr="00605385">
        <w:rPr>
          <w:rFonts w:ascii="Times New Roman" w:hAnsi="Times New Roman"/>
          <w:szCs w:val="24"/>
        </w:rPr>
        <w:t>No</w:t>
      </w:r>
      <w:r w:rsidR="006E5440" w:rsidRPr="00605385">
        <w:rPr>
          <w:rFonts w:ascii="Times New Roman" w:hAnsi="Times New Roman"/>
          <w:szCs w:val="24"/>
        </w:rPr>
        <w:t>, the Company does not believe it is necessary at this time</w:t>
      </w:r>
      <w:r w:rsidR="008B4C36">
        <w:rPr>
          <w:rFonts w:ascii="Times New Roman" w:hAnsi="Times New Roman"/>
          <w:szCs w:val="24"/>
        </w:rPr>
        <w:t>.  The Company has a low-</w:t>
      </w:r>
      <w:r w:rsidRPr="00605385">
        <w:rPr>
          <w:rFonts w:ascii="Times New Roman" w:hAnsi="Times New Roman"/>
          <w:szCs w:val="24"/>
        </w:rPr>
        <w:t>income weatherization program in place through Schedule 114 and funded through the Schedule 191 System Benefits Charge Adjustment.  This is a long-term program that installs energy conservation measures at no cost to income</w:t>
      </w:r>
      <w:r w:rsidR="000835CC">
        <w:rPr>
          <w:rFonts w:ascii="Times New Roman" w:hAnsi="Times New Roman"/>
          <w:szCs w:val="24"/>
        </w:rPr>
        <w:t>-</w:t>
      </w:r>
      <w:r w:rsidRPr="00605385">
        <w:rPr>
          <w:rFonts w:ascii="Times New Roman" w:hAnsi="Times New Roman"/>
          <w:szCs w:val="24"/>
        </w:rPr>
        <w:t>eligibl</w:t>
      </w:r>
      <w:r w:rsidR="008B4C36">
        <w:rPr>
          <w:rFonts w:ascii="Times New Roman" w:hAnsi="Times New Roman"/>
          <w:szCs w:val="24"/>
        </w:rPr>
        <w:t>e households residing in single-</w:t>
      </w:r>
      <w:r w:rsidRPr="00605385">
        <w:rPr>
          <w:rFonts w:ascii="Times New Roman" w:hAnsi="Times New Roman"/>
          <w:szCs w:val="24"/>
        </w:rPr>
        <w:t>family, manufactured</w:t>
      </w:r>
      <w:r w:rsidR="00B1786E">
        <w:rPr>
          <w:rFonts w:ascii="Times New Roman" w:hAnsi="Times New Roman"/>
          <w:szCs w:val="24"/>
        </w:rPr>
        <w:t>,</w:t>
      </w:r>
      <w:r w:rsidRPr="00605385">
        <w:rPr>
          <w:rFonts w:ascii="Times New Roman" w:hAnsi="Times New Roman"/>
          <w:szCs w:val="24"/>
        </w:rPr>
        <w:t xml:space="preserve"> and multi-family homes.  Participants can either rent or own their home. </w:t>
      </w:r>
    </w:p>
    <w:p w:rsidR="00BB4920" w:rsidRPr="00605385" w:rsidRDefault="00BB4920" w:rsidP="00BB4920">
      <w:pPr>
        <w:tabs>
          <w:tab w:val="left" w:pos="-720"/>
          <w:tab w:val="left" w:pos="0"/>
        </w:tabs>
        <w:suppressAutoHyphens/>
        <w:rPr>
          <w:rFonts w:ascii="Times New Roman" w:hAnsi="Times New Roman"/>
          <w:szCs w:val="24"/>
        </w:rPr>
      </w:pPr>
      <w:r w:rsidRPr="00605385">
        <w:rPr>
          <w:rFonts w:ascii="Times New Roman" w:hAnsi="Times New Roman"/>
          <w:szCs w:val="24"/>
        </w:rPr>
        <w:tab/>
      </w:r>
      <w:r w:rsidRPr="00605385">
        <w:rPr>
          <w:rFonts w:ascii="Times New Roman" w:hAnsi="Times New Roman"/>
          <w:szCs w:val="24"/>
        </w:rPr>
        <w:tab/>
        <w:t>The Company partners with three non-profit weatherizing agencies</w:t>
      </w:r>
      <w:r w:rsidR="000835CC">
        <w:rPr>
          <w:rFonts w:ascii="Times New Roman" w:hAnsi="Times New Roman"/>
          <w:szCs w:val="24"/>
        </w:rPr>
        <w:t xml:space="preserve"> to implement the programs offered through Schedule 114</w:t>
      </w:r>
      <w:r w:rsidR="00343BA9">
        <w:rPr>
          <w:rFonts w:ascii="Times New Roman" w:hAnsi="Times New Roman"/>
          <w:szCs w:val="24"/>
        </w:rPr>
        <w:t xml:space="preserve">: </w:t>
      </w:r>
      <w:r w:rsidR="004F5828" w:rsidRPr="00605385">
        <w:rPr>
          <w:rFonts w:ascii="Times New Roman" w:hAnsi="Times New Roman"/>
          <w:szCs w:val="24"/>
        </w:rPr>
        <w:t xml:space="preserve">Blue </w:t>
      </w:r>
      <w:r w:rsidRPr="00605385">
        <w:rPr>
          <w:rFonts w:ascii="Times New Roman" w:hAnsi="Times New Roman"/>
          <w:szCs w:val="24"/>
        </w:rPr>
        <w:t>Mountai</w:t>
      </w:r>
      <w:r w:rsidR="008B4C36">
        <w:rPr>
          <w:rFonts w:ascii="Times New Roman" w:hAnsi="Times New Roman"/>
          <w:szCs w:val="24"/>
        </w:rPr>
        <w:t>n Action Council in Walla Walla;</w:t>
      </w:r>
      <w:r w:rsidRPr="00605385">
        <w:rPr>
          <w:rFonts w:ascii="Times New Roman" w:hAnsi="Times New Roman"/>
          <w:szCs w:val="24"/>
        </w:rPr>
        <w:t xml:space="preserve"> Northwest Community Action Center in Toppenish</w:t>
      </w:r>
      <w:r w:rsidR="008B4C36">
        <w:rPr>
          <w:rFonts w:ascii="Times New Roman" w:hAnsi="Times New Roman"/>
          <w:szCs w:val="24"/>
        </w:rPr>
        <w:t>;</w:t>
      </w:r>
      <w:r w:rsidRPr="00605385">
        <w:rPr>
          <w:rFonts w:ascii="Times New Roman" w:hAnsi="Times New Roman"/>
          <w:szCs w:val="24"/>
        </w:rPr>
        <w:t xml:space="preserve"> and the Opportunity Industrialization Center of Washington located in Yakima.  The</w:t>
      </w:r>
      <w:r w:rsidR="000835CC">
        <w:rPr>
          <w:rFonts w:ascii="Times New Roman" w:hAnsi="Times New Roman"/>
          <w:szCs w:val="24"/>
        </w:rPr>
        <w:t>se</w:t>
      </w:r>
      <w:r w:rsidRPr="00605385">
        <w:rPr>
          <w:rFonts w:ascii="Times New Roman" w:hAnsi="Times New Roman"/>
          <w:szCs w:val="24"/>
        </w:rPr>
        <w:t xml:space="preserve"> agencies leverage </w:t>
      </w:r>
      <w:r w:rsidR="005D5632">
        <w:rPr>
          <w:rFonts w:ascii="Times New Roman" w:hAnsi="Times New Roman"/>
          <w:szCs w:val="24"/>
        </w:rPr>
        <w:t>Schedule 191</w:t>
      </w:r>
      <w:r w:rsidR="005D5632" w:rsidRPr="00605385">
        <w:rPr>
          <w:rFonts w:ascii="Times New Roman" w:hAnsi="Times New Roman"/>
          <w:szCs w:val="24"/>
        </w:rPr>
        <w:t xml:space="preserve"> </w:t>
      </w:r>
      <w:r w:rsidRPr="00605385">
        <w:rPr>
          <w:rFonts w:ascii="Times New Roman" w:hAnsi="Times New Roman"/>
          <w:szCs w:val="24"/>
        </w:rPr>
        <w:t>funds with state Match Maker program funds</w:t>
      </w:r>
      <w:r w:rsidR="000835CC">
        <w:rPr>
          <w:rFonts w:ascii="Times New Roman" w:hAnsi="Times New Roman"/>
          <w:szCs w:val="24"/>
        </w:rPr>
        <w:t xml:space="preserve"> to </w:t>
      </w:r>
      <w:r w:rsidRPr="00605385">
        <w:rPr>
          <w:rFonts w:ascii="Times New Roman" w:hAnsi="Times New Roman"/>
          <w:szCs w:val="24"/>
        </w:rPr>
        <w:t>cover 50 percent of the cost of installing efficiency measures included in Schedule</w:t>
      </w:r>
      <w:r w:rsidR="0068276C">
        <w:rPr>
          <w:rFonts w:ascii="Times New Roman" w:hAnsi="Times New Roman"/>
          <w:szCs w:val="24"/>
        </w:rPr>
        <w:t> </w:t>
      </w:r>
      <w:r w:rsidRPr="00605385">
        <w:rPr>
          <w:rFonts w:ascii="Times New Roman" w:hAnsi="Times New Roman"/>
          <w:szCs w:val="24"/>
        </w:rPr>
        <w:t xml:space="preserve">114 </w:t>
      </w:r>
      <w:r w:rsidR="005D5632">
        <w:rPr>
          <w:rFonts w:ascii="Times New Roman" w:hAnsi="Times New Roman"/>
          <w:szCs w:val="24"/>
        </w:rPr>
        <w:t>and</w:t>
      </w:r>
      <w:r w:rsidR="00B1786E" w:rsidRPr="00605385">
        <w:rPr>
          <w:rFonts w:ascii="Times New Roman" w:hAnsi="Times New Roman"/>
          <w:szCs w:val="24"/>
        </w:rPr>
        <w:t xml:space="preserve"> </w:t>
      </w:r>
      <w:r w:rsidR="008B4C36">
        <w:rPr>
          <w:rFonts w:ascii="Times New Roman" w:hAnsi="Times New Roman"/>
          <w:szCs w:val="24"/>
        </w:rPr>
        <w:t>determined to be cost-</w:t>
      </w:r>
      <w:r w:rsidRPr="00605385">
        <w:rPr>
          <w:rFonts w:ascii="Times New Roman" w:hAnsi="Times New Roman"/>
          <w:szCs w:val="24"/>
        </w:rPr>
        <w:t xml:space="preserve">effective through an U.S. Department of Energy approved audit.  When Match Maker monies are depleted, the Company reimburses 100 percent of the measure costs.  Total </w:t>
      </w:r>
      <w:r w:rsidR="007D45BD" w:rsidRPr="00605385">
        <w:rPr>
          <w:rFonts w:ascii="Times New Roman" w:hAnsi="Times New Roman"/>
          <w:szCs w:val="24"/>
        </w:rPr>
        <w:t xml:space="preserve">available </w:t>
      </w:r>
      <w:r w:rsidRPr="00605385">
        <w:rPr>
          <w:rFonts w:ascii="Times New Roman" w:hAnsi="Times New Roman"/>
          <w:szCs w:val="24"/>
        </w:rPr>
        <w:t>funding</w:t>
      </w:r>
      <w:r w:rsidR="005D5632">
        <w:rPr>
          <w:rFonts w:ascii="Times New Roman" w:hAnsi="Times New Roman"/>
          <w:szCs w:val="24"/>
        </w:rPr>
        <w:t xml:space="preserve"> under Schedule 191</w:t>
      </w:r>
      <w:r w:rsidRPr="00605385">
        <w:rPr>
          <w:rFonts w:ascii="Times New Roman" w:hAnsi="Times New Roman"/>
          <w:szCs w:val="24"/>
        </w:rPr>
        <w:t xml:space="preserve"> for all program components is $1</w:t>
      </w:r>
      <w:r w:rsidR="00052047" w:rsidRPr="00605385">
        <w:rPr>
          <w:rFonts w:ascii="Times New Roman" w:hAnsi="Times New Roman"/>
          <w:szCs w:val="24"/>
        </w:rPr>
        <w:t xml:space="preserve"> million</w:t>
      </w:r>
      <w:r w:rsidRPr="00605385">
        <w:rPr>
          <w:rFonts w:ascii="Times New Roman" w:hAnsi="Times New Roman"/>
          <w:szCs w:val="24"/>
        </w:rPr>
        <w:t xml:space="preserve"> per calendar year.</w:t>
      </w:r>
    </w:p>
    <w:p w:rsidR="00BB4920" w:rsidRPr="00B1786E" w:rsidRDefault="00BB4920" w:rsidP="00BB4920">
      <w:pPr>
        <w:tabs>
          <w:tab w:val="left" w:pos="-720"/>
          <w:tab w:val="left" w:pos="0"/>
        </w:tabs>
        <w:suppressAutoHyphens/>
        <w:rPr>
          <w:rFonts w:ascii="Times New Roman" w:hAnsi="Times New Roman"/>
          <w:szCs w:val="24"/>
        </w:rPr>
      </w:pPr>
      <w:r w:rsidRPr="00605385">
        <w:rPr>
          <w:rFonts w:ascii="Times New Roman" w:hAnsi="Times New Roman"/>
          <w:szCs w:val="24"/>
        </w:rPr>
        <w:tab/>
      </w:r>
      <w:r w:rsidRPr="00605385">
        <w:rPr>
          <w:rFonts w:ascii="Times New Roman" w:hAnsi="Times New Roman"/>
          <w:szCs w:val="24"/>
        </w:rPr>
        <w:tab/>
        <w:t>The $1</w:t>
      </w:r>
      <w:r w:rsidR="00052047" w:rsidRPr="00605385">
        <w:rPr>
          <w:rFonts w:ascii="Times New Roman" w:hAnsi="Times New Roman"/>
          <w:szCs w:val="24"/>
        </w:rPr>
        <w:t xml:space="preserve"> million</w:t>
      </w:r>
      <w:r w:rsidRPr="00605385">
        <w:rPr>
          <w:rFonts w:ascii="Times New Roman" w:hAnsi="Times New Roman"/>
          <w:szCs w:val="24"/>
        </w:rPr>
        <w:t xml:space="preserve"> annual cap has never been reached.  In 2015, </w:t>
      </w:r>
      <w:r w:rsidR="00A7047F">
        <w:rPr>
          <w:rFonts w:ascii="Times New Roman" w:hAnsi="Times New Roman"/>
          <w:szCs w:val="24"/>
        </w:rPr>
        <w:t>the Company’s partnering agencies com</w:t>
      </w:r>
      <w:r w:rsidR="008B4C36">
        <w:rPr>
          <w:rFonts w:ascii="Times New Roman" w:hAnsi="Times New Roman"/>
          <w:szCs w:val="24"/>
        </w:rPr>
        <w:t>pleted weatherization of 98 low-</w:t>
      </w:r>
      <w:r w:rsidR="00A7047F">
        <w:rPr>
          <w:rFonts w:ascii="Times New Roman" w:hAnsi="Times New Roman"/>
          <w:szCs w:val="24"/>
        </w:rPr>
        <w:t xml:space="preserve">income homes, and </w:t>
      </w:r>
      <w:r w:rsidRPr="00605385">
        <w:rPr>
          <w:rFonts w:ascii="Times New Roman" w:hAnsi="Times New Roman"/>
          <w:szCs w:val="24"/>
        </w:rPr>
        <w:t xml:space="preserve">program costs totaled $858,122.  </w:t>
      </w:r>
    </w:p>
    <w:p w:rsidR="00BB4920" w:rsidRPr="006F199C" w:rsidRDefault="00BB4920" w:rsidP="00BB4920">
      <w:pPr>
        <w:tabs>
          <w:tab w:val="left" w:pos="-720"/>
          <w:tab w:val="left" w:pos="0"/>
        </w:tabs>
        <w:suppressAutoHyphens/>
        <w:rPr>
          <w:rFonts w:ascii="Times New Roman" w:hAnsi="Times New Roman"/>
          <w:szCs w:val="24"/>
        </w:rPr>
      </w:pPr>
      <w:r w:rsidRPr="006F199C">
        <w:rPr>
          <w:rFonts w:ascii="Times New Roman" w:hAnsi="Times New Roman"/>
          <w:szCs w:val="24"/>
        </w:rPr>
        <w:tab/>
      </w:r>
      <w:r w:rsidRPr="006F199C">
        <w:rPr>
          <w:rFonts w:ascii="Times New Roman" w:hAnsi="Times New Roman"/>
          <w:szCs w:val="24"/>
        </w:rPr>
        <w:tab/>
        <w:t xml:space="preserve">The maximum cap is set at a level </w:t>
      </w:r>
      <w:r w:rsidR="004F5828" w:rsidRPr="006F199C">
        <w:rPr>
          <w:rFonts w:ascii="Times New Roman" w:hAnsi="Times New Roman"/>
          <w:szCs w:val="24"/>
        </w:rPr>
        <w:t xml:space="preserve">that will allow the program to grow without the </w:t>
      </w:r>
      <w:r w:rsidRPr="006F199C">
        <w:rPr>
          <w:rFonts w:ascii="Times New Roman" w:hAnsi="Times New Roman"/>
          <w:szCs w:val="24"/>
        </w:rPr>
        <w:t xml:space="preserve">need to be adjusted for a number of years. </w:t>
      </w:r>
      <w:r w:rsidR="00B1786E">
        <w:rPr>
          <w:rFonts w:ascii="Times New Roman" w:hAnsi="Times New Roman"/>
          <w:szCs w:val="24"/>
        </w:rPr>
        <w:t xml:space="preserve"> </w:t>
      </w:r>
      <w:r w:rsidRPr="00B1786E">
        <w:rPr>
          <w:rFonts w:ascii="Times New Roman" w:hAnsi="Times New Roman"/>
          <w:szCs w:val="24"/>
        </w:rPr>
        <w:t>Because there is still funding available for the agencies to increase their services</w:t>
      </w:r>
      <w:r w:rsidR="004F5828" w:rsidRPr="006F199C">
        <w:rPr>
          <w:rFonts w:ascii="Times New Roman" w:hAnsi="Times New Roman"/>
          <w:szCs w:val="24"/>
        </w:rPr>
        <w:t xml:space="preserve"> and</w:t>
      </w:r>
      <w:r w:rsidRPr="006F199C">
        <w:rPr>
          <w:rFonts w:ascii="Times New Roman" w:hAnsi="Times New Roman"/>
          <w:szCs w:val="24"/>
        </w:rPr>
        <w:t xml:space="preserve"> the program is achieving a reasonable level of success in meeting the conservation needs of </w:t>
      </w:r>
      <w:r w:rsidR="004764C7" w:rsidRPr="006F199C">
        <w:rPr>
          <w:rFonts w:ascii="Times New Roman" w:hAnsi="Times New Roman"/>
          <w:szCs w:val="24"/>
        </w:rPr>
        <w:t xml:space="preserve">the Company’s </w:t>
      </w:r>
      <w:r w:rsidRPr="006F199C">
        <w:rPr>
          <w:rFonts w:ascii="Times New Roman" w:hAnsi="Times New Roman"/>
          <w:szCs w:val="24"/>
        </w:rPr>
        <w:t>low</w:t>
      </w:r>
      <w:r w:rsidR="00C43EFB" w:rsidRPr="006F199C">
        <w:rPr>
          <w:rFonts w:ascii="Times New Roman" w:hAnsi="Times New Roman"/>
          <w:szCs w:val="24"/>
        </w:rPr>
        <w:t>-</w:t>
      </w:r>
      <w:r w:rsidRPr="006F199C">
        <w:rPr>
          <w:rFonts w:ascii="Times New Roman" w:hAnsi="Times New Roman"/>
          <w:szCs w:val="24"/>
        </w:rPr>
        <w:t>income customers</w:t>
      </w:r>
      <w:r w:rsidR="004F5828" w:rsidRPr="006F199C">
        <w:rPr>
          <w:rFonts w:ascii="Times New Roman" w:hAnsi="Times New Roman"/>
          <w:szCs w:val="24"/>
        </w:rPr>
        <w:t xml:space="preserve">, </w:t>
      </w:r>
      <w:r w:rsidR="007D45BD" w:rsidRPr="006F199C">
        <w:rPr>
          <w:rFonts w:ascii="Times New Roman" w:hAnsi="Times New Roman"/>
          <w:szCs w:val="24"/>
        </w:rPr>
        <w:t>it is unnecessary to expand the program</w:t>
      </w:r>
      <w:r w:rsidR="004F5828" w:rsidRPr="006F199C">
        <w:rPr>
          <w:rFonts w:ascii="Times New Roman" w:hAnsi="Times New Roman"/>
          <w:szCs w:val="24"/>
        </w:rPr>
        <w:t xml:space="preserve"> at this time</w:t>
      </w:r>
      <w:r w:rsidRPr="006F199C">
        <w:rPr>
          <w:rFonts w:ascii="Times New Roman" w:hAnsi="Times New Roman"/>
          <w:szCs w:val="24"/>
        </w:rPr>
        <w:t xml:space="preserve">.  For these reasons, </w:t>
      </w:r>
      <w:r w:rsidR="004764C7" w:rsidRPr="006F199C">
        <w:rPr>
          <w:rFonts w:ascii="Times New Roman" w:hAnsi="Times New Roman"/>
          <w:szCs w:val="24"/>
        </w:rPr>
        <w:t>The Company</w:t>
      </w:r>
      <w:r w:rsidRPr="006F199C">
        <w:rPr>
          <w:rFonts w:ascii="Times New Roman" w:hAnsi="Times New Roman"/>
          <w:szCs w:val="24"/>
        </w:rPr>
        <w:t xml:space="preserve"> does not support </w:t>
      </w:r>
      <w:r w:rsidR="008B4C36">
        <w:rPr>
          <w:rFonts w:ascii="Times New Roman" w:hAnsi="Times New Roman"/>
          <w:szCs w:val="24"/>
        </w:rPr>
        <w:t>Staff’s</w:t>
      </w:r>
      <w:r w:rsidR="004764C7" w:rsidRPr="006F199C">
        <w:rPr>
          <w:rFonts w:ascii="Times New Roman" w:hAnsi="Times New Roman"/>
          <w:szCs w:val="24"/>
        </w:rPr>
        <w:t xml:space="preserve"> </w:t>
      </w:r>
      <w:r w:rsidR="004F5828" w:rsidRPr="006F199C">
        <w:rPr>
          <w:rFonts w:ascii="Times New Roman" w:hAnsi="Times New Roman"/>
          <w:szCs w:val="24"/>
        </w:rPr>
        <w:t xml:space="preserve">condition to </w:t>
      </w:r>
      <w:r w:rsidR="008B4C36">
        <w:rPr>
          <w:rFonts w:ascii="Times New Roman" w:hAnsi="Times New Roman"/>
          <w:szCs w:val="24"/>
        </w:rPr>
        <w:t>increase low-</w:t>
      </w:r>
      <w:r w:rsidRPr="006F199C">
        <w:rPr>
          <w:rFonts w:ascii="Times New Roman" w:hAnsi="Times New Roman"/>
          <w:szCs w:val="24"/>
        </w:rPr>
        <w:t>income conservation funding.</w:t>
      </w:r>
    </w:p>
    <w:p w:rsidR="007D45BD" w:rsidRPr="006F199C" w:rsidRDefault="007D45BD" w:rsidP="007D45BD">
      <w:pPr>
        <w:rPr>
          <w:rFonts w:ascii="Times New Roman" w:hAnsi="Times New Roman"/>
          <w:b/>
          <w:szCs w:val="24"/>
        </w:rPr>
      </w:pPr>
      <w:r w:rsidRPr="006F199C">
        <w:rPr>
          <w:rFonts w:ascii="Times New Roman" w:hAnsi="Times New Roman"/>
          <w:b/>
          <w:szCs w:val="24"/>
        </w:rPr>
        <w:t>Q.</w:t>
      </w:r>
      <w:r w:rsidRPr="006F199C">
        <w:rPr>
          <w:rFonts w:ascii="Times New Roman" w:hAnsi="Times New Roman"/>
          <w:b/>
          <w:szCs w:val="24"/>
        </w:rPr>
        <w:tab/>
      </w:r>
      <w:r w:rsidR="008B4C36">
        <w:rPr>
          <w:rFonts w:ascii="Times New Roman" w:hAnsi="Times New Roman"/>
          <w:b/>
          <w:szCs w:val="24"/>
        </w:rPr>
        <w:t>Staff compares the Company’s low-</w:t>
      </w:r>
      <w:r w:rsidR="00A7047F">
        <w:rPr>
          <w:rFonts w:ascii="Times New Roman" w:hAnsi="Times New Roman"/>
          <w:b/>
          <w:szCs w:val="24"/>
        </w:rPr>
        <w:t>income weatherization fundi</w:t>
      </w:r>
      <w:r w:rsidR="00343BA9">
        <w:rPr>
          <w:rFonts w:ascii="Times New Roman" w:hAnsi="Times New Roman"/>
          <w:b/>
          <w:szCs w:val="24"/>
        </w:rPr>
        <w:t>ng with that provided by Avista</w:t>
      </w:r>
      <w:r w:rsidR="00A7047F">
        <w:rPr>
          <w:rFonts w:ascii="Times New Roman" w:hAnsi="Times New Roman"/>
          <w:b/>
          <w:szCs w:val="24"/>
        </w:rPr>
        <w:t xml:space="preserve"> to argue that the Company’s </w:t>
      </w:r>
      <w:r w:rsidRPr="006F199C">
        <w:rPr>
          <w:rFonts w:ascii="Times New Roman" w:hAnsi="Times New Roman"/>
          <w:b/>
          <w:szCs w:val="24"/>
        </w:rPr>
        <w:t>funding is insufficient</w:t>
      </w:r>
      <w:r w:rsidR="00A7047F">
        <w:rPr>
          <w:rFonts w:ascii="Times New Roman" w:hAnsi="Times New Roman"/>
          <w:b/>
          <w:szCs w:val="24"/>
        </w:rPr>
        <w:t>.</w:t>
      </w:r>
      <w:r w:rsidR="006C30D1" w:rsidRPr="006C30D1">
        <w:rPr>
          <w:rStyle w:val="FootnoteReference"/>
          <w:rFonts w:ascii="Times New Roman" w:hAnsi="Times New Roman"/>
          <w:b/>
          <w:szCs w:val="24"/>
          <w:vertAlign w:val="superscript"/>
        </w:rPr>
        <w:footnoteReference w:id="6"/>
      </w:r>
      <w:r w:rsidR="00A7047F" w:rsidRPr="006C30D1">
        <w:rPr>
          <w:rFonts w:ascii="Times New Roman" w:hAnsi="Times New Roman"/>
          <w:b/>
          <w:szCs w:val="24"/>
          <w:vertAlign w:val="superscript"/>
        </w:rPr>
        <w:t xml:space="preserve"> </w:t>
      </w:r>
      <w:r w:rsidR="00A7047F">
        <w:rPr>
          <w:rFonts w:ascii="Times New Roman" w:hAnsi="Times New Roman"/>
          <w:b/>
          <w:szCs w:val="24"/>
        </w:rPr>
        <w:t xml:space="preserve"> </w:t>
      </w:r>
      <w:r w:rsidR="00C062E5">
        <w:rPr>
          <w:rFonts w:ascii="Times New Roman" w:hAnsi="Times New Roman"/>
          <w:b/>
          <w:szCs w:val="24"/>
        </w:rPr>
        <w:t>How do you respond?</w:t>
      </w:r>
    </w:p>
    <w:p w:rsidR="007D45BD" w:rsidRPr="00B1786E" w:rsidRDefault="007D45BD" w:rsidP="007D45BD">
      <w:pPr>
        <w:tabs>
          <w:tab w:val="left" w:pos="-720"/>
          <w:tab w:val="left" w:pos="0"/>
        </w:tabs>
        <w:suppressAutoHyphens/>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t xml:space="preserve">It can be difficult to compare the expenditures on energy efficiency activities of one utility to another.  Staff reviewed the percentage of </w:t>
      </w:r>
      <w:r w:rsidR="007E050A" w:rsidRPr="006F199C">
        <w:rPr>
          <w:rFonts w:ascii="Times New Roman" w:hAnsi="Times New Roman"/>
          <w:szCs w:val="24"/>
        </w:rPr>
        <w:t xml:space="preserve">demand-side management </w:t>
      </w:r>
      <w:r w:rsidR="008B4C36">
        <w:rPr>
          <w:rFonts w:ascii="Times New Roman" w:hAnsi="Times New Roman"/>
          <w:szCs w:val="24"/>
        </w:rPr>
        <w:t>expenditures on low-</w:t>
      </w:r>
      <w:r w:rsidRPr="006F199C">
        <w:rPr>
          <w:rFonts w:ascii="Times New Roman" w:hAnsi="Times New Roman"/>
          <w:szCs w:val="24"/>
        </w:rPr>
        <w:t xml:space="preserve">income activities compared to overall expenditures on residential programs.  Another way to compare funding is by determining expenditures per customer. </w:t>
      </w:r>
      <w:r w:rsidR="0068276C">
        <w:rPr>
          <w:rFonts w:ascii="Times New Roman" w:hAnsi="Times New Roman"/>
          <w:szCs w:val="24"/>
        </w:rPr>
        <w:t xml:space="preserve"> </w:t>
      </w:r>
      <w:r w:rsidRPr="006F199C">
        <w:rPr>
          <w:rFonts w:ascii="Times New Roman" w:hAnsi="Times New Roman"/>
          <w:szCs w:val="24"/>
        </w:rPr>
        <w:t xml:space="preserve">Pacific Power has 105,259 residential customers and with </w:t>
      </w:r>
      <w:r w:rsidR="004677BC">
        <w:rPr>
          <w:rFonts w:ascii="Times New Roman" w:hAnsi="Times New Roman"/>
          <w:szCs w:val="24"/>
        </w:rPr>
        <w:t>low-income w</w:t>
      </w:r>
      <w:r w:rsidRPr="006F199C">
        <w:rPr>
          <w:rFonts w:ascii="Times New Roman" w:hAnsi="Times New Roman"/>
          <w:szCs w:val="24"/>
        </w:rPr>
        <w:t xml:space="preserve">eatherization program expenditures of $858,122 in 2015, the investment per residential customer was approximately $8.15. </w:t>
      </w:r>
      <w:r w:rsidR="00052047" w:rsidRPr="006F199C">
        <w:rPr>
          <w:rFonts w:ascii="Times New Roman" w:hAnsi="Times New Roman"/>
          <w:szCs w:val="24"/>
        </w:rPr>
        <w:t xml:space="preserve"> </w:t>
      </w:r>
      <w:r w:rsidRPr="006F199C">
        <w:rPr>
          <w:rFonts w:ascii="Times New Roman" w:hAnsi="Times New Roman"/>
          <w:szCs w:val="24"/>
        </w:rPr>
        <w:t>Evaluat</w:t>
      </w:r>
      <w:r w:rsidR="004677BC">
        <w:rPr>
          <w:rFonts w:ascii="Times New Roman" w:hAnsi="Times New Roman"/>
          <w:szCs w:val="24"/>
        </w:rPr>
        <w:t>ing funding on the basis of low-</w:t>
      </w:r>
      <w:r w:rsidRPr="006F199C">
        <w:rPr>
          <w:rFonts w:ascii="Times New Roman" w:hAnsi="Times New Roman"/>
          <w:szCs w:val="24"/>
        </w:rPr>
        <w:t xml:space="preserve">income weatherization program funding per customer may reflect </w:t>
      </w:r>
      <w:r w:rsidR="00CE59A0">
        <w:rPr>
          <w:rFonts w:ascii="Times New Roman" w:hAnsi="Times New Roman"/>
          <w:szCs w:val="24"/>
        </w:rPr>
        <w:t>more comparable</w:t>
      </w:r>
      <w:r w:rsidR="00CE59A0" w:rsidRPr="00B1786E">
        <w:rPr>
          <w:rFonts w:ascii="Times New Roman" w:hAnsi="Times New Roman"/>
          <w:szCs w:val="24"/>
        </w:rPr>
        <w:t xml:space="preserve"> </w:t>
      </w:r>
      <w:r w:rsidRPr="00B1786E">
        <w:rPr>
          <w:rFonts w:ascii="Times New Roman" w:hAnsi="Times New Roman"/>
          <w:szCs w:val="24"/>
        </w:rPr>
        <w:t>funding levels among the utilities.</w:t>
      </w:r>
    </w:p>
    <w:p w:rsidR="00566FB6" w:rsidRPr="00094ED5" w:rsidRDefault="00566FB6" w:rsidP="00BB4920">
      <w:pPr>
        <w:tabs>
          <w:tab w:val="left" w:pos="-720"/>
          <w:tab w:val="left" w:pos="0"/>
        </w:tabs>
        <w:suppressAutoHyphens/>
        <w:rPr>
          <w:rFonts w:ascii="Times New Roman" w:hAnsi="Times New Roman"/>
          <w:szCs w:val="24"/>
        </w:rPr>
      </w:pPr>
      <w:r w:rsidRPr="00094ED5">
        <w:rPr>
          <w:rFonts w:ascii="Times New Roman" w:hAnsi="Times New Roman"/>
          <w:b/>
          <w:szCs w:val="24"/>
        </w:rPr>
        <w:t>Q.</w:t>
      </w:r>
      <w:r w:rsidRPr="00094ED5">
        <w:rPr>
          <w:rFonts w:ascii="Times New Roman" w:hAnsi="Times New Roman"/>
          <w:b/>
          <w:szCs w:val="24"/>
        </w:rPr>
        <w:tab/>
        <w:t>Does the Company</w:t>
      </w:r>
      <w:r w:rsidR="0068276C">
        <w:rPr>
          <w:rFonts w:ascii="Times New Roman" w:hAnsi="Times New Roman"/>
          <w:b/>
          <w:szCs w:val="24"/>
        </w:rPr>
        <w:t xml:space="preserve"> agree to participate in Docket </w:t>
      </w:r>
      <w:r w:rsidRPr="00094ED5">
        <w:rPr>
          <w:rFonts w:ascii="Times New Roman" w:hAnsi="Times New Roman"/>
          <w:b/>
          <w:szCs w:val="24"/>
        </w:rPr>
        <w:t>U</w:t>
      </w:r>
      <w:r w:rsidR="0068276C">
        <w:rPr>
          <w:rFonts w:ascii="Times New Roman" w:hAnsi="Times New Roman"/>
          <w:b/>
          <w:szCs w:val="24"/>
        </w:rPr>
        <w:t>-</w:t>
      </w:r>
      <w:r w:rsidR="0011657E">
        <w:rPr>
          <w:rFonts w:ascii="Times New Roman" w:hAnsi="Times New Roman"/>
          <w:b/>
          <w:szCs w:val="24"/>
        </w:rPr>
        <w:t>15195</w:t>
      </w:r>
      <w:r w:rsidRPr="00094ED5">
        <w:rPr>
          <w:rFonts w:ascii="Times New Roman" w:hAnsi="Times New Roman"/>
          <w:b/>
          <w:szCs w:val="24"/>
        </w:rPr>
        <w:t>8</w:t>
      </w:r>
      <w:r w:rsidR="007E050A" w:rsidRPr="00094ED5">
        <w:rPr>
          <w:rFonts w:ascii="Times New Roman" w:hAnsi="Times New Roman"/>
          <w:b/>
          <w:szCs w:val="24"/>
        </w:rPr>
        <w:t xml:space="preserve"> regarding reliability metrics</w:t>
      </w:r>
      <w:r w:rsidRPr="00094ED5">
        <w:rPr>
          <w:rFonts w:ascii="Times New Roman" w:hAnsi="Times New Roman"/>
          <w:b/>
          <w:szCs w:val="24"/>
        </w:rPr>
        <w:t>?</w:t>
      </w:r>
    </w:p>
    <w:p w:rsidR="00566FB6" w:rsidRPr="006F199C" w:rsidRDefault="00566FB6" w:rsidP="00566FB6">
      <w:pPr>
        <w:tabs>
          <w:tab w:val="left" w:pos="-720"/>
          <w:tab w:val="left" w:pos="0"/>
        </w:tabs>
        <w:suppressAutoHyphens/>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t xml:space="preserve">Yes.  The Company </w:t>
      </w:r>
      <w:r w:rsidR="007E050A" w:rsidRPr="006F199C">
        <w:rPr>
          <w:rFonts w:ascii="Times New Roman" w:hAnsi="Times New Roman"/>
          <w:szCs w:val="24"/>
        </w:rPr>
        <w:t xml:space="preserve">plans </w:t>
      </w:r>
      <w:r w:rsidRPr="006F199C">
        <w:rPr>
          <w:rFonts w:ascii="Times New Roman" w:hAnsi="Times New Roman"/>
          <w:szCs w:val="24"/>
        </w:rPr>
        <w:t>to participate in this proceeding.</w:t>
      </w:r>
    </w:p>
    <w:p w:rsidR="00566FB6" w:rsidRPr="006F199C" w:rsidRDefault="00566FB6" w:rsidP="00566FB6">
      <w:pPr>
        <w:pStyle w:val="Answer-Testimony"/>
      </w:pPr>
      <w:r w:rsidRPr="006F199C">
        <w:rPr>
          <w:b/>
        </w:rPr>
        <w:t>Q.</w:t>
      </w:r>
      <w:r w:rsidRPr="006F199C">
        <w:rPr>
          <w:b/>
        </w:rPr>
        <w:tab/>
      </w:r>
      <w:r w:rsidR="007E050A" w:rsidRPr="006F199C">
        <w:rPr>
          <w:b/>
        </w:rPr>
        <w:t xml:space="preserve">Does the </w:t>
      </w:r>
      <w:r w:rsidRPr="006F199C">
        <w:rPr>
          <w:b/>
        </w:rPr>
        <w:t>Company</w:t>
      </w:r>
      <w:r w:rsidR="007E050A" w:rsidRPr="006F199C">
        <w:rPr>
          <w:b/>
        </w:rPr>
        <w:t xml:space="preserve"> agree to make it</w:t>
      </w:r>
      <w:r w:rsidRPr="006F199C">
        <w:rPr>
          <w:b/>
        </w:rPr>
        <w:t xml:space="preserve">s customer guarantee program permanent as </w:t>
      </w:r>
      <w:r w:rsidR="004677BC">
        <w:rPr>
          <w:b/>
        </w:rPr>
        <w:t>Staff</w:t>
      </w:r>
      <w:r w:rsidRPr="006F199C">
        <w:rPr>
          <w:b/>
        </w:rPr>
        <w:t xml:space="preserve"> recommends?</w:t>
      </w:r>
    </w:p>
    <w:p w:rsidR="00566FB6" w:rsidRPr="006F199C" w:rsidRDefault="00566FB6" w:rsidP="00566FB6">
      <w:pPr>
        <w:tabs>
          <w:tab w:val="left" w:pos="-720"/>
          <w:tab w:val="left" w:pos="0"/>
        </w:tabs>
        <w:suppressAutoHyphens/>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r>
      <w:r w:rsidR="007E050A" w:rsidRPr="006F199C">
        <w:rPr>
          <w:rFonts w:ascii="Times New Roman" w:hAnsi="Times New Roman"/>
          <w:szCs w:val="24"/>
        </w:rPr>
        <w:t xml:space="preserve">Instead of making the customer guarantee program permanent, the Company agrees </w:t>
      </w:r>
      <w:r w:rsidR="00B94467" w:rsidRPr="006F199C">
        <w:rPr>
          <w:rFonts w:ascii="Times New Roman" w:hAnsi="Times New Roman"/>
          <w:szCs w:val="24"/>
        </w:rPr>
        <w:t>to</w:t>
      </w:r>
      <w:r w:rsidR="007E050A" w:rsidRPr="006F199C">
        <w:rPr>
          <w:rFonts w:ascii="Times New Roman" w:hAnsi="Times New Roman"/>
          <w:szCs w:val="24"/>
        </w:rPr>
        <w:t xml:space="preserve"> extend the current program through the decoupling mechanism’s currently proposed five-year term. </w:t>
      </w:r>
      <w:r w:rsidR="00B1786E">
        <w:rPr>
          <w:rFonts w:ascii="Times New Roman" w:hAnsi="Times New Roman"/>
          <w:szCs w:val="24"/>
        </w:rPr>
        <w:t xml:space="preserve"> </w:t>
      </w:r>
      <w:r w:rsidRPr="00B1786E">
        <w:rPr>
          <w:rFonts w:ascii="Times New Roman" w:hAnsi="Times New Roman"/>
          <w:szCs w:val="24"/>
        </w:rPr>
        <w:t>The Company is firmly committed to excellent customer service.</w:t>
      </w:r>
      <w:r w:rsidR="00D81D7A" w:rsidRPr="006F199C">
        <w:rPr>
          <w:rFonts w:ascii="Times New Roman" w:hAnsi="Times New Roman"/>
          <w:szCs w:val="24"/>
        </w:rPr>
        <w:t xml:space="preserve">  While the formal </w:t>
      </w:r>
      <w:r w:rsidR="00A704BA" w:rsidRPr="006F199C">
        <w:rPr>
          <w:rFonts w:ascii="Times New Roman" w:hAnsi="Times New Roman"/>
          <w:szCs w:val="24"/>
        </w:rPr>
        <w:t>obligation to offer</w:t>
      </w:r>
      <w:r w:rsidR="00D81D7A" w:rsidRPr="006F199C">
        <w:rPr>
          <w:rFonts w:ascii="Times New Roman" w:hAnsi="Times New Roman"/>
          <w:szCs w:val="24"/>
        </w:rPr>
        <w:t xml:space="preserve"> the customer gua</w:t>
      </w:r>
      <w:r w:rsidR="00A704BA" w:rsidRPr="006F199C">
        <w:rPr>
          <w:rFonts w:ascii="Times New Roman" w:hAnsi="Times New Roman"/>
          <w:szCs w:val="24"/>
        </w:rPr>
        <w:t>rantee program concluded in 2011</w:t>
      </w:r>
      <w:r w:rsidR="00D81D7A" w:rsidRPr="006F199C">
        <w:rPr>
          <w:rFonts w:ascii="Times New Roman" w:hAnsi="Times New Roman"/>
          <w:szCs w:val="24"/>
        </w:rPr>
        <w:t>, the Company has not proposed to cancel or otherwise diminish the program since that time.</w:t>
      </w:r>
      <w:r w:rsidRPr="006F199C">
        <w:rPr>
          <w:rFonts w:ascii="Times New Roman" w:hAnsi="Times New Roman"/>
          <w:szCs w:val="24"/>
        </w:rPr>
        <w:t xml:space="preserve">  The </w:t>
      </w:r>
      <w:r w:rsidR="00D81D7A" w:rsidRPr="006F199C">
        <w:rPr>
          <w:rFonts w:ascii="Times New Roman" w:hAnsi="Times New Roman"/>
          <w:szCs w:val="24"/>
        </w:rPr>
        <w:t xml:space="preserve">adoption </w:t>
      </w:r>
      <w:r w:rsidRPr="006F199C">
        <w:rPr>
          <w:rFonts w:ascii="Times New Roman" w:hAnsi="Times New Roman"/>
          <w:szCs w:val="24"/>
        </w:rPr>
        <w:t xml:space="preserve">of a decoupling mechanism would not change </w:t>
      </w:r>
      <w:r w:rsidR="001D179E" w:rsidRPr="006F199C">
        <w:rPr>
          <w:rFonts w:ascii="Times New Roman" w:hAnsi="Times New Roman"/>
          <w:szCs w:val="24"/>
        </w:rPr>
        <w:t>the Company’s emphasis on customer service</w:t>
      </w:r>
      <w:r w:rsidRPr="006F199C">
        <w:rPr>
          <w:rFonts w:ascii="Times New Roman" w:hAnsi="Times New Roman"/>
          <w:szCs w:val="24"/>
        </w:rPr>
        <w:t xml:space="preserve">.  The Company has no plans to cancel its customer guarantee program, and since it is in tariff Rule 25, discontinuing </w:t>
      </w:r>
      <w:r w:rsidR="007E050A" w:rsidRPr="006F199C">
        <w:rPr>
          <w:rFonts w:ascii="Times New Roman" w:hAnsi="Times New Roman"/>
          <w:szCs w:val="24"/>
        </w:rPr>
        <w:t xml:space="preserve">or altering </w:t>
      </w:r>
      <w:r w:rsidRPr="006F199C">
        <w:rPr>
          <w:rFonts w:ascii="Times New Roman" w:hAnsi="Times New Roman"/>
          <w:szCs w:val="24"/>
        </w:rPr>
        <w:t xml:space="preserve">the program would require approval by the Commission.  </w:t>
      </w:r>
      <w:r w:rsidR="007E050A" w:rsidRPr="006F199C">
        <w:rPr>
          <w:rFonts w:ascii="Times New Roman" w:hAnsi="Times New Roman"/>
          <w:szCs w:val="24"/>
        </w:rPr>
        <w:t xml:space="preserve">The Company’s concern with agreeing to extend the program on a permanent basis is that it </w:t>
      </w:r>
      <w:r w:rsidR="00D81D7A" w:rsidRPr="006F199C">
        <w:rPr>
          <w:rFonts w:ascii="Times New Roman" w:hAnsi="Times New Roman"/>
          <w:szCs w:val="24"/>
        </w:rPr>
        <w:t>c</w:t>
      </w:r>
      <w:r w:rsidR="007E050A" w:rsidRPr="006F199C">
        <w:rPr>
          <w:rFonts w:ascii="Times New Roman" w:hAnsi="Times New Roman"/>
          <w:szCs w:val="24"/>
        </w:rPr>
        <w:t xml:space="preserve">ould preclude the ability for the Company or other stakeholders to </w:t>
      </w:r>
      <w:r w:rsidR="00D81D7A" w:rsidRPr="006F199C">
        <w:rPr>
          <w:rFonts w:ascii="Times New Roman" w:hAnsi="Times New Roman"/>
          <w:szCs w:val="24"/>
        </w:rPr>
        <w:t xml:space="preserve">re-evaluate and propose modifications in the future </w:t>
      </w:r>
      <w:r w:rsidRPr="006F199C">
        <w:rPr>
          <w:rFonts w:ascii="Times New Roman" w:hAnsi="Times New Roman"/>
          <w:szCs w:val="24"/>
        </w:rPr>
        <w:t xml:space="preserve">to align with changing customer expectations.  </w:t>
      </w:r>
      <w:r w:rsidR="001D179E" w:rsidRPr="006F199C">
        <w:rPr>
          <w:rFonts w:ascii="Times New Roman" w:hAnsi="Times New Roman"/>
          <w:szCs w:val="24"/>
        </w:rPr>
        <w:t>Accordingly, the Company commits to continue the current customer guarantee program through the propose</w:t>
      </w:r>
      <w:r w:rsidR="00B94467" w:rsidRPr="006F199C">
        <w:rPr>
          <w:rFonts w:ascii="Times New Roman" w:hAnsi="Times New Roman"/>
          <w:szCs w:val="24"/>
        </w:rPr>
        <w:t>d</w:t>
      </w:r>
      <w:r w:rsidR="001D179E" w:rsidRPr="006F199C">
        <w:rPr>
          <w:rFonts w:ascii="Times New Roman" w:hAnsi="Times New Roman"/>
          <w:szCs w:val="24"/>
        </w:rPr>
        <w:t xml:space="preserve"> five-year program term for the decoupling mechanism.  </w:t>
      </w:r>
      <w:r w:rsidR="00AD73ED" w:rsidRPr="006F199C">
        <w:rPr>
          <w:rFonts w:ascii="Times New Roman" w:hAnsi="Times New Roman"/>
          <w:szCs w:val="24"/>
        </w:rPr>
        <w:t>In this way, i</w:t>
      </w:r>
      <w:r w:rsidR="001D179E" w:rsidRPr="006F199C">
        <w:rPr>
          <w:rFonts w:ascii="Times New Roman" w:hAnsi="Times New Roman"/>
          <w:szCs w:val="24"/>
        </w:rPr>
        <w:t xml:space="preserve">f any concerns arise in regards to changes in customer service in conjunction with the implementation of the decoupling mechanism, they can be addressed at that time.    </w:t>
      </w:r>
    </w:p>
    <w:p w:rsidR="00566FB6" w:rsidRPr="006F199C" w:rsidRDefault="00566FB6" w:rsidP="00566FB6">
      <w:pPr>
        <w:pStyle w:val="Answer-Testimony"/>
      </w:pPr>
      <w:r w:rsidRPr="006F199C">
        <w:rPr>
          <w:b/>
        </w:rPr>
        <w:t>Q.</w:t>
      </w:r>
      <w:r w:rsidRPr="006F199C">
        <w:rPr>
          <w:b/>
        </w:rPr>
        <w:tab/>
        <w:t xml:space="preserve">Does the Company agree with </w:t>
      </w:r>
      <w:r w:rsidR="004677BC">
        <w:rPr>
          <w:b/>
        </w:rPr>
        <w:t>Staff’s</w:t>
      </w:r>
      <w:r w:rsidRPr="006F199C">
        <w:rPr>
          <w:b/>
        </w:rPr>
        <w:t xml:space="preserve"> recommendations </w:t>
      </w:r>
      <w:r w:rsidR="00AD73ED" w:rsidRPr="006F199C">
        <w:rPr>
          <w:b/>
        </w:rPr>
        <w:t xml:space="preserve">for </w:t>
      </w:r>
      <w:r w:rsidRPr="006F199C">
        <w:rPr>
          <w:b/>
        </w:rPr>
        <w:t xml:space="preserve">a </w:t>
      </w:r>
      <w:r w:rsidR="00AD73ED" w:rsidRPr="006F199C">
        <w:rPr>
          <w:b/>
        </w:rPr>
        <w:t>r</w:t>
      </w:r>
      <w:r w:rsidRPr="006F199C">
        <w:rPr>
          <w:b/>
        </w:rPr>
        <w:t>eview</w:t>
      </w:r>
      <w:r w:rsidR="00AD73ED" w:rsidRPr="006F199C">
        <w:rPr>
          <w:b/>
        </w:rPr>
        <w:t xml:space="preserve"> of</w:t>
      </w:r>
      <w:r w:rsidRPr="006F199C">
        <w:rPr>
          <w:b/>
        </w:rPr>
        <w:t xml:space="preserve"> the decoupling mechanism after its first three years of operation?</w:t>
      </w:r>
    </w:p>
    <w:p w:rsidR="00DB7283" w:rsidRPr="006F199C" w:rsidRDefault="00566FB6" w:rsidP="00566FB6">
      <w:pPr>
        <w:tabs>
          <w:tab w:val="left" w:pos="-720"/>
          <w:tab w:val="left" w:pos="0"/>
        </w:tabs>
        <w:suppressAutoHyphens/>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t>Yes.  As I indicated in my direct testimony, the Company plans to</w:t>
      </w:r>
      <w:r w:rsidR="00B94467" w:rsidRPr="006F199C">
        <w:rPr>
          <w:rFonts w:ascii="Times New Roman" w:hAnsi="Times New Roman"/>
          <w:szCs w:val="24"/>
        </w:rPr>
        <w:t xml:space="preserve"> </w:t>
      </w:r>
      <w:r w:rsidRPr="006F199C">
        <w:rPr>
          <w:rFonts w:ascii="Times New Roman" w:hAnsi="Times New Roman"/>
          <w:szCs w:val="24"/>
        </w:rPr>
        <w:t xml:space="preserve">evaluate the mechanism consistent with the Commission’s requirement for </w:t>
      </w:r>
      <w:proofErr w:type="spellStart"/>
      <w:r w:rsidRPr="006F199C">
        <w:rPr>
          <w:rFonts w:ascii="Times New Roman" w:hAnsi="Times New Roman"/>
          <w:szCs w:val="24"/>
        </w:rPr>
        <w:t>Avista’s</w:t>
      </w:r>
      <w:proofErr w:type="spellEnd"/>
      <w:r w:rsidRPr="006F199C">
        <w:rPr>
          <w:rFonts w:ascii="Times New Roman" w:hAnsi="Times New Roman"/>
          <w:szCs w:val="24"/>
        </w:rPr>
        <w:t xml:space="preserve"> </w:t>
      </w:r>
      <w:r w:rsidR="00AD73ED" w:rsidRPr="006F199C">
        <w:rPr>
          <w:rFonts w:ascii="Times New Roman" w:hAnsi="Times New Roman"/>
          <w:szCs w:val="24"/>
        </w:rPr>
        <w:t xml:space="preserve">and </w:t>
      </w:r>
      <w:r w:rsidR="00B94467" w:rsidRPr="006F199C">
        <w:rPr>
          <w:rFonts w:ascii="Times New Roman" w:hAnsi="Times New Roman"/>
          <w:szCs w:val="24"/>
        </w:rPr>
        <w:t xml:space="preserve">PSE’s </w:t>
      </w:r>
      <w:r w:rsidRPr="006F199C">
        <w:rPr>
          <w:rFonts w:ascii="Times New Roman" w:hAnsi="Times New Roman"/>
          <w:szCs w:val="24"/>
        </w:rPr>
        <w:t>decoupling mechanism</w:t>
      </w:r>
      <w:r w:rsidR="00AD73ED" w:rsidRPr="006F199C">
        <w:rPr>
          <w:rFonts w:ascii="Times New Roman" w:hAnsi="Times New Roman"/>
          <w:szCs w:val="24"/>
        </w:rPr>
        <w:t>s</w:t>
      </w:r>
      <w:r w:rsidRPr="006F199C">
        <w:rPr>
          <w:rFonts w:ascii="Times New Roman" w:hAnsi="Times New Roman"/>
          <w:szCs w:val="24"/>
        </w:rPr>
        <w:t>.</w:t>
      </w:r>
    </w:p>
    <w:p w:rsidR="00D11F80" w:rsidRPr="006F199C" w:rsidRDefault="00D11F80" w:rsidP="00D11F80">
      <w:pPr>
        <w:rPr>
          <w:rFonts w:ascii="Times New Roman" w:hAnsi="Times New Roman"/>
          <w:b/>
          <w:szCs w:val="24"/>
        </w:rPr>
      </w:pPr>
      <w:r w:rsidRPr="006F199C">
        <w:rPr>
          <w:rFonts w:ascii="Times New Roman" w:hAnsi="Times New Roman"/>
          <w:b/>
          <w:szCs w:val="24"/>
        </w:rPr>
        <w:t>Q.</w:t>
      </w:r>
      <w:r w:rsidRPr="006F199C">
        <w:rPr>
          <w:rFonts w:ascii="Times New Roman" w:hAnsi="Times New Roman"/>
          <w:b/>
          <w:szCs w:val="24"/>
        </w:rPr>
        <w:tab/>
        <w:t xml:space="preserve">Can you please </w:t>
      </w:r>
      <w:r w:rsidR="00C062E5">
        <w:rPr>
          <w:rFonts w:ascii="Times New Roman" w:hAnsi="Times New Roman"/>
          <w:b/>
          <w:szCs w:val="24"/>
        </w:rPr>
        <w:t>summarize</w:t>
      </w:r>
      <w:r w:rsidRPr="006F199C">
        <w:rPr>
          <w:rFonts w:ascii="Times New Roman" w:hAnsi="Times New Roman"/>
          <w:b/>
          <w:szCs w:val="24"/>
        </w:rPr>
        <w:t xml:space="preserve"> the Company’s proposed process for filing rate adjustments</w:t>
      </w:r>
      <w:r w:rsidR="00B94467" w:rsidRPr="006F199C">
        <w:rPr>
          <w:rFonts w:ascii="Times New Roman" w:hAnsi="Times New Roman"/>
          <w:b/>
          <w:szCs w:val="24"/>
        </w:rPr>
        <w:t xml:space="preserve"> outlined in your direct testimony</w:t>
      </w:r>
      <w:r w:rsidRPr="006F199C">
        <w:rPr>
          <w:rFonts w:ascii="Times New Roman" w:hAnsi="Times New Roman"/>
          <w:b/>
          <w:szCs w:val="24"/>
        </w:rPr>
        <w:t xml:space="preserve">?  </w:t>
      </w:r>
    </w:p>
    <w:p w:rsidR="00D11F80" w:rsidRPr="006F199C" w:rsidRDefault="00D11F80" w:rsidP="00D11F80">
      <w:pPr>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t xml:space="preserve">Yes. </w:t>
      </w:r>
      <w:r w:rsidR="00213EA4" w:rsidRPr="006F199C">
        <w:rPr>
          <w:rFonts w:ascii="Times New Roman" w:hAnsi="Times New Roman"/>
          <w:szCs w:val="24"/>
        </w:rPr>
        <w:t xml:space="preserve"> </w:t>
      </w:r>
      <w:r w:rsidRPr="006F199C">
        <w:rPr>
          <w:rFonts w:ascii="Times New Roman" w:hAnsi="Times New Roman"/>
          <w:szCs w:val="24"/>
        </w:rPr>
        <w:t xml:space="preserve">As described in my original testimony and in proposed </w:t>
      </w:r>
      <w:r w:rsidR="00213EA4" w:rsidRPr="006F199C">
        <w:rPr>
          <w:rFonts w:ascii="Times New Roman" w:hAnsi="Times New Roman"/>
          <w:szCs w:val="24"/>
        </w:rPr>
        <w:t>S</w:t>
      </w:r>
      <w:r w:rsidRPr="006F199C">
        <w:rPr>
          <w:rFonts w:ascii="Times New Roman" w:hAnsi="Times New Roman"/>
          <w:szCs w:val="24"/>
        </w:rPr>
        <w:t xml:space="preserve">chedule 93, the Company proposes to file a rate adjustment (surcharge or </w:t>
      </w:r>
      <w:proofErr w:type="spellStart"/>
      <w:r w:rsidRPr="006F199C">
        <w:rPr>
          <w:rFonts w:ascii="Times New Roman" w:hAnsi="Times New Roman"/>
          <w:szCs w:val="24"/>
        </w:rPr>
        <w:t>surcredit</w:t>
      </w:r>
      <w:proofErr w:type="spellEnd"/>
      <w:r w:rsidRPr="006F199C">
        <w:rPr>
          <w:rFonts w:ascii="Times New Roman" w:hAnsi="Times New Roman"/>
          <w:szCs w:val="24"/>
        </w:rPr>
        <w:t>) on Schedule</w:t>
      </w:r>
      <w:r w:rsidR="005C4EE5" w:rsidRPr="006F199C">
        <w:rPr>
          <w:rFonts w:ascii="Times New Roman" w:hAnsi="Times New Roman"/>
          <w:szCs w:val="24"/>
        </w:rPr>
        <w:t> </w:t>
      </w:r>
      <w:r w:rsidRPr="006F199C">
        <w:rPr>
          <w:rFonts w:ascii="Times New Roman" w:hAnsi="Times New Roman"/>
          <w:szCs w:val="24"/>
        </w:rPr>
        <w:t>93 by December 1 of each year.</w:t>
      </w:r>
      <w:r w:rsidR="00594F34" w:rsidRPr="00594F34">
        <w:rPr>
          <w:rStyle w:val="FootnoteReference"/>
          <w:rFonts w:ascii="Times New Roman" w:hAnsi="Times New Roman"/>
          <w:szCs w:val="24"/>
          <w:vertAlign w:val="superscript"/>
        </w:rPr>
        <w:footnoteReference w:id="7"/>
      </w:r>
      <w:r w:rsidRPr="00594F34">
        <w:rPr>
          <w:rFonts w:ascii="Times New Roman" w:hAnsi="Times New Roman"/>
          <w:szCs w:val="24"/>
          <w:vertAlign w:val="superscript"/>
        </w:rPr>
        <w:t xml:space="preserve"> </w:t>
      </w:r>
      <w:r w:rsidRPr="006F199C">
        <w:rPr>
          <w:rFonts w:ascii="Times New Roman" w:hAnsi="Times New Roman"/>
          <w:szCs w:val="24"/>
        </w:rPr>
        <w:t xml:space="preserve">The Company proposes that the Schedule 93 rates depend on the results of an </w:t>
      </w:r>
      <w:r w:rsidR="00AD73ED" w:rsidRPr="006F199C">
        <w:rPr>
          <w:rFonts w:ascii="Times New Roman" w:hAnsi="Times New Roman"/>
          <w:szCs w:val="24"/>
        </w:rPr>
        <w:t>e</w:t>
      </w:r>
      <w:r w:rsidRPr="006F199C">
        <w:rPr>
          <w:rFonts w:ascii="Times New Roman" w:hAnsi="Times New Roman"/>
          <w:szCs w:val="24"/>
        </w:rPr>
        <w:t xml:space="preserve">arnings </w:t>
      </w:r>
      <w:r w:rsidR="00B94467" w:rsidRPr="006F199C">
        <w:rPr>
          <w:rFonts w:ascii="Times New Roman" w:hAnsi="Times New Roman"/>
          <w:szCs w:val="24"/>
        </w:rPr>
        <w:t>t</w:t>
      </w:r>
      <w:r w:rsidRPr="006F199C">
        <w:rPr>
          <w:rFonts w:ascii="Times New Roman" w:hAnsi="Times New Roman"/>
          <w:szCs w:val="24"/>
        </w:rPr>
        <w:t>est</w:t>
      </w:r>
      <w:r w:rsidR="00B94467" w:rsidRPr="006F199C">
        <w:rPr>
          <w:rFonts w:ascii="Times New Roman" w:hAnsi="Times New Roman"/>
          <w:szCs w:val="24"/>
        </w:rPr>
        <w:t xml:space="preserve">, as described in the direct testimony of </w:t>
      </w:r>
      <w:r w:rsidR="005C4EE5" w:rsidRPr="006F199C">
        <w:rPr>
          <w:rFonts w:ascii="Times New Roman" w:hAnsi="Times New Roman"/>
          <w:szCs w:val="24"/>
        </w:rPr>
        <w:t>Ms.</w:t>
      </w:r>
      <w:r w:rsidR="004677BC">
        <w:rPr>
          <w:rFonts w:ascii="Times New Roman" w:hAnsi="Times New Roman"/>
          <w:szCs w:val="24"/>
        </w:rPr>
        <w:t> </w:t>
      </w:r>
      <w:r w:rsidR="00B94467" w:rsidRPr="006F199C">
        <w:rPr>
          <w:rFonts w:ascii="Times New Roman" w:hAnsi="Times New Roman"/>
          <w:szCs w:val="24"/>
        </w:rPr>
        <w:t xml:space="preserve">Shelley </w:t>
      </w:r>
      <w:r w:rsidR="005C4EE5" w:rsidRPr="006F199C">
        <w:rPr>
          <w:rFonts w:ascii="Times New Roman" w:hAnsi="Times New Roman"/>
          <w:szCs w:val="24"/>
        </w:rPr>
        <w:t xml:space="preserve">E. </w:t>
      </w:r>
      <w:r w:rsidR="00B94467" w:rsidRPr="006F199C">
        <w:rPr>
          <w:rFonts w:ascii="Times New Roman" w:hAnsi="Times New Roman"/>
          <w:szCs w:val="24"/>
        </w:rPr>
        <w:t xml:space="preserve">McCoy, </w:t>
      </w:r>
      <w:r w:rsidRPr="006F199C">
        <w:rPr>
          <w:rFonts w:ascii="Times New Roman" w:hAnsi="Times New Roman"/>
          <w:szCs w:val="24"/>
        </w:rPr>
        <w:t xml:space="preserve">and </w:t>
      </w:r>
      <w:r w:rsidR="00213EA4" w:rsidRPr="006F199C">
        <w:rPr>
          <w:rFonts w:ascii="Times New Roman" w:hAnsi="Times New Roman"/>
          <w:szCs w:val="24"/>
        </w:rPr>
        <w:t xml:space="preserve">a </w:t>
      </w:r>
      <w:r w:rsidR="00BB1B8B">
        <w:rPr>
          <w:rFonts w:ascii="Times New Roman" w:hAnsi="Times New Roman"/>
          <w:szCs w:val="24"/>
        </w:rPr>
        <w:t>three</w:t>
      </w:r>
      <w:r w:rsidR="00B94467" w:rsidRPr="006F199C">
        <w:rPr>
          <w:rFonts w:ascii="Times New Roman" w:hAnsi="Times New Roman"/>
          <w:szCs w:val="24"/>
        </w:rPr>
        <w:t xml:space="preserve"> </w:t>
      </w:r>
      <w:r w:rsidR="00213EA4" w:rsidRPr="006F199C">
        <w:rPr>
          <w:rFonts w:ascii="Times New Roman" w:hAnsi="Times New Roman"/>
          <w:szCs w:val="24"/>
        </w:rPr>
        <w:t>percent</w:t>
      </w:r>
      <w:r w:rsidRPr="006F199C">
        <w:rPr>
          <w:rFonts w:ascii="Times New Roman" w:hAnsi="Times New Roman"/>
          <w:szCs w:val="24"/>
        </w:rPr>
        <w:t xml:space="preserve"> annual increase limitation similar to those currently </w:t>
      </w:r>
      <w:r w:rsidR="00B94467" w:rsidRPr="006F199C">
        <w:rPr>
          <w:rFonts w:ascii="Times New Roman" w:hAnsi="Times New Roman"/>
          <w:szCs w:val="24"/>
        </w:rPr>
        <w:t xml:space="preserve">adopted for </w:t>
      </w:r>
      <w:proofErr w:type="spellStart"/>
      <w:r w:rsidRPr="006F199C">
        <w:rPr>
          <w:rFonts w:ascii="Times New Roman" w:hAnsi="Times New Roman"/>
          <w:szCs w:val="24"/>
        </w:rPr>
        <w:t>Avista’s</w:t>
      </w:r>
      <w:proofErr w:type="spellEnd"/>
      <w:r w:rsidRPr="006F199C">
        <w:rPr>
          <w:rFonts w:ascii="Times New Roman" w:hAnsi="Times New Roman"/>
          <w:szCs w:val="24"/>
        </w:rPr>
        <w:t xml:space="preserve"> </w:t>
      </w:r>
      <w:r w:rsidR="00AD73ED" w:rsidRPr="006F199C">
        <w:rPr>
          <w:rFonts w:ascii="Times New Roman" w:hAnsi="Times New Roman"/>
          <w:szCs w:val="24"/>
        </w:rPr>
        <w:t xml:space="preserve">and </w:t>
      </w:r>
      <w:r w:rsidR="00B94467" w:rsidRPr="006F199C">
        <w:rPr>
          <w:rFonts w:ascii="Times New Roman" w:hAnsi="Times New Roman"/>
          <w:szCs w:val="24"/>
        </w:rPr>
        <w:t xml:space="preserve">PSE’s </w:t>
      </w:r>
      <w:r w:rsidR="00AD73ED" w:rsidRPr="006F199C">
        <w:rPr>
          <w:rFonts w:ascii="Times New Roman" w:hAnsi="Times New Roman"/>
          <w:szCs w:val="24"/>
        </w:rPr>
        <w:t>d</w:t>
      </w:r>
      <w:r w:rsidRPr="006F199C">
        <w:rPr>
          <w:rFonts w:ascii="Times New Roman" w:hAnsi="Times New Roman"/>
          <w:szCs w:val="24"/>
        </w:rPr>
        <w:t xml:space="preserve">ecoupling </w:t>
      </w:r>
      <w:r w:rsidR="00AD73ED" w:rsidRPr="006F199C">
        <w:rPr>
          <w:rFonts w:ascii="Times New Roman" w:hAnsi="Times New Roman"/>
          <w:szCs w:val="24"/>
        </w:rPr>
        <w:t>m</w:t>
      </w:r>
      <w:r w:rsidRPr="006F199C">
        <w:rPr>
          <w:rFonts w:ascii="Times New Roman" w:hAnsi="Times New Roman"/>
          <w:szCs w:val="24"/>
        </w:rPr>
        <w:t>echanism</w:t>
      </w:r>
      <w:r w:rsidR="00AD73ED" w:rsidRPr="006F199C">
        <w:rPr>
          <w:rFonts w:ascii="Times New Roman" w:hAnsi="Times New Roman"/>
          <w:szCs w:val="24"/>
        </w:rPr>
        <w:t>s</w:t>
      </w:r>
      <w:r w:rsidRPr="006F199C">
        <w:rPr>
          <w:rFonts w:ascii="Times New Roman" w:hAnsi="Times New Roman"/>
          <w:szCs w:val="24"/>
        </w:rPr>
        <w:t>.</w:t>
      </w:r>
      <w:r w:rsidR="00594F34" w:rsidRPr="00594F34">
        <w:rPr>
          <w:rStyle w:val="FootnoteReference"/>
          <w:rFonts w:ascii="Times New Roman" w:hAnsi="Times New Roman"/>
          <w:szCs w:val="24"/>
          <w:vertAlign w:val="superscript"/>
        </w:rPr>
        <w:footnoteReference w:id="8"/>
      </w:r>
      <w:r w:rsidR="00AD73ED" w:rsidRPr="006F199C">
        <w:rPr>
          <w:rFonts w:ascii="Times New Roman" w:hAnsi="Times New Roman"/>
          <w:szCs w:val="24"/>
        </w:rPr>
        <w:t xml:space="preserve">  No cap was proposed for credits back to customers under the mechanism.</w:t>
      </w:r>
      <w:r w:rsidR="00594F34" w:rsidRPr="00594F34">
        <w:rPr>
          <w:rStyle w:val="FootnoteReference"/>
          <w:rFonts w:ascii="Times New Roman" w:hAnsi="Times New Roman"/>
          <w:szCs w:val="24"/>
          <w:vertAlign w:val="superscript"/>
        </w:rPr>
        <w:footnoteReference w:id="9"/>
      </w:r>
      <w:r w:rsidR="00AD73ED" w:rsidRPr="00594F34">
        <w:rPr>
          <w:rFonts w:ascii="Times New Roman" w:hAnsi="Times New Roman"/>
          <w:szCs w:val="24"/>
          <w:vertAlign w:val="superscript"/>
        </w:rPr>
        <w:t xml:space="preserve"> </w:t>
      </w:r>
      <w:r w:rsidR="00AD73ED" w:rsidRPr="006F199C">
        <w:rPr>
          <w:rFonts w:ascii="Times New Roman" w:hAnsi="Times New Roman"/>
          <w:szCs w:val="24"/>
        </w:rPr>
        <w:t xml:space="preserve"> </w:t>
      </w:r>
    </w:p>
    <w:p w:rsidR="00D11F80" w:rsidRPr="006F199C" w:rsidRDefault="00D11F80" w:rsidP="00D11F80">
      <w:pPr>
        <w:rPr>
          <w:rFonts w:ascii="Times New Roman" w:hAnsi="Times New Roman"/>
          <w:b/>
          <w:szCs w:val="24"/>
        </w:rPr>
      </w:pPr>
      <w:r w:rsidRPr="006F199C">
        <w:rPr>
          <w:rFonts w:ascii="Times New Roman" w:hAnsi="Times New Roman"/>
          <w:b/>
          <w:szCs w:val="24"/>
        </w:rPr>
        <w:t>Q.</w:t>
      </w:r>
      <w:r w:rsidRPr="006F199C">
        <w:rPr>
          <w:rFonts w:ascii="Times New Roman" w:hAnsi="Times New Roman"/>
          <w:b/>
          <w:szCs w:val="24"/>
        </w:rPr>
        <w:tab/>
        <w:t xml:space="preserve">Does </w:t>
      </w:r>
      <w:r w:rsidR="004677BC">
        <w:rPr>
          <w:rFonts w:ascii="Times New Roman" w:hAnsi="Times New Roman"/>
          <w:b/>
          <w:szCs w:val="24"/>
        </w:rPr>
        <w:t>Staff</w:t>
      </w:r>
      <w:r w:rsidRPr="006F199C">
        <w:rPr>
          <w:rFonts w:ascii="Times New Roman" w:hAnsi="Times New Roman"/>
          <w:b/>
          <w:szCs w:val="24"/>
        </w:rPr>
        <w:t xml:space="preserve"> recommend any changes to the </w:t>
      </w:r>
      <w:r w:rsidR="00B94467" w:rsidRPr="006F199C">
        <w:rPr>
          <w:rFonts w:ascii="Times New Roman" w:hAnsi="Times New Roman"/>
          <w:b/>
          <w:szCs w:val="24"/>
        </w:rPr>
        <w:t xml:space="preserve">implementation </w:t>
      </w:r>
      <w:r w:rsidR="00213EA4" w:rsidRPr="006F199C">
        <w:rPr>
          <w:rFonts w:ascii="Times New Roman" w:hAnsi="Times New Roman"/>
          <w:b/>
          <w:szCs w:val="24"/>
        </w:rPr>
        <w:t>of the Company’s proposed decoupling mechanism</w:t>
      </w:r>
      <w:r w:rsidRPr="006F199C">
        <w:rPr>
          <w:rFonts w:ascii="Times New Roman" w:hAnsi="Times New Roman"/>
          <w:b/>
          <w:szCs w:val="24"/>
        </w:rPr>
        <w:t>?</w:t>
      </w:r>
    </w:p>
    <w:p w:rsidR="00D11F80" w:rsidRPr="006F199C" w:rsidRDefault="00D11F80" w:rsidP="00D11F80">
      <w:pPr>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r>
      <w:r w:rsidR="00213EA4" w:rsidRPr="006F199C">
        <w:rPr>
          <w:rFonts w:ascii="Times New Roman" w:hAnsi="Times New Roman"/>
          <w:szCs w:val="24"/>
        </w:rPr>
        <w:t>Yes</w:t>
      </w:r>
      <w:r w:rsidR="00B94467" w:rsidRPr="006F199C">
        <w:rPr>
          <w:rFonts w:ascii="Times New Roman" w:hAnsi="Times New Roman"/>
          <w:szCs w:val="24"/>
        </w:rPr>
        <w:t xml:space="preserve">. </w:t>
      </w:r>
      <w:r w:rsidRPr="006F199C">
        <w:rPr>
          <w:rFonts w:ascii="Times New Roman" w:hAnsi="Times New Roman"/>
          <w:szCs w:val="24"/>
        </w:rPr>
        <w:t xml:space="preserve"> </w:t>
      </w:r>
      <w:r w:rsidR="004677BC">
        <w:rPr>
          <w:rFonts w:ascii="Times New Roman" w:hAnsi="Times New Roman"/>
          <w:szCs w:val="24"/>
        </w:rPr>
        <w:t>Staff</w:t>
      </w:r>
      <w:r w:rsidR="00AD73ED" w:rsidRPr="006F199C">
        <w:rPr>
          <w:rFonts w:ascii="Times New Roman" w:hAnsi="Times New Roman"/>
          <w:szCs w:val="24"/>
        </w:rPr>
        <w:t xml:space="preserve"> </w:t>
      </w:r>
      <w:r w:rsidRPr="006F199C">
        <w:rPr>
          <w:rFonts w:ascii="Times New Roman" w:hAnsi="Times New Roman"/>
          <w:szCs w:val="24"/>
        </w:rPr>
        <w:t>recommend</w:t>
      </w:r>
      <w:r w:rsidR="00213EA4" w:rsidRPr="006F199C">
        <w:rPr>
          <w:rFonts w:ascii="Times New Roman" w:hAnsi="Times New Roman"/>
          <w:szCs w:val="24"/>
        </w:rPr>
        <w:t>s</w:t>
      </w:r>
      <w:r w:rsidRPr="006F199C">
        <w:rPr>
          <w:rFonts w:ascii="Times New Roman" w:hAnsi="Times New Roman"/>
          <w:szCs w:val="24"/>
        </w:rPr>
        <w:t xml:space="preserve"> that the annual increase limitation be increased to </w:t>
      </w:r>
      <w:r w:rsidR="00BB1B8B">
        <w:rPr>
          <w:rFonts w:ascii="Times New Roman" w:hAnsi="Times New Roman"/>
          <w:szCs w:val="24"/>
        </w:rPr>
        <w:t>five</w:t>
      </w:r>
      <w:r w:rsidR="005C4EE5" w:rsidRPr="006F199C">
        <w:rPr>
          <w:rFonts w:ascii="Times New Roman" w:hAnsi="Times New Roman"/>
          <w:szCs w:val="24"/>
        </w:rPr>
        <w:t> </w:t>
      </w:r>
      <w:r w:rsidR="00213EA4" w:rsidRPr="006F199C">
        <w:rPr>
          <w:rFonts w:ascii="Times New Roman" w:hAnsi="Times New Roman"/>
          <w:szCs w:val="24"/>
        </w:rPr>
        <w:t>percent</w:t>
      </w:r>
      <w:r w:rsidRPr="006F199C">
        <w:rPr>
          <w:rFonts w:ascii="Times New Roman" w:hAnsi="Times New Roman"/>
          <w:szCs w:val="24"/>
        </w:rPr>
        <w:t xml:space="preserve">, and that a “trigger” be imposed </w:t>
      </w:r>
      <w:r w:rsidR="00AD73ED" w:rsidRPr="006F199C">
        <w:rPr>
          <w:rFonts w:ascii="Times New Roman" w:hAnsi="Times New Roman"/>
          <w:szCs w:val="24"/>
        </w:rPr>
        <w:t>when a specific dollar threshold for each rate schedule is reach</w:t>
      </w:r>
      <w:r w:rsidR="006C055D" w:rsidRPr="006F199C">
        <w:rPr>
          <w:rFonts w:ascii="Times New Roman" w:hAnsi="Times New Roman"/>
          <w:szCs w:val="24"/>
        </w:rPr>
        <w:t>ed</w:t>
      </w:r>
      <w:r w:rsidR="00AD73ED" w:rsidRPr="006F199C">
        <w:rPr>
          <w:rFonts w:ascii="Times New Roman" w:hAnsi="Times New Roman"/>
          <w:szCs w:val="24"/>
        </w:rPr>
        <w:t>.</w:t>
      </w:r>
      <w:r w:rsidR="00594F34" w:rsidRPr="00594F34">
        <w:rPr>
          <w:rStyle w:val="FootnoteReference"/>
          <w:rFonts w:ascii="Times New Roman" w:hAnsi="Times New Roman"/>
          <w:szCs w:val="24"/>
          <w:vertAlign w:val="superscript"/>
        </w:rPr>
        <w:footnoteReference w:id="10"/>
      </w:r>
      <w:r w:rsidR="00AD73ED" w:rsidRPr="00594F34">
        <w:rPr>
          <w:rFonts w:ascii="Times New Roman" w:hAnsi="Times New Roman"/>
          <w:szCs w:val="24"/>
          <w:vertAlign w:val="superscript"/>
        </w:rPr>
        <w:t xml:space="preserve"> </w:t>
      </w:r>
      <w:r w:rsidR="00AD73ED" w:rsidRPr="006F199C">
        <w:rPr>
          <w:rFonts w:ascii="Times New Roman" w:hAnsi="Times New Roman"/>
          <w:szCs w:val="24"/>
        </w:rPr>
        <w:t xml:space="preserve"> </w:t>
      </w:r>
      <w:r w:rsidR="004677BC">
        <w:rPr>
          <w:rFonts w:ascii="Times New Roman" w:hAnsi="Times New Roman"/>
          <w:szCs w:val="24"/>
        </w:rPr>
        <w:t>Staff</w:t>
      </w:r>
      <w:r w:rsidR="00AD73ED" w:rsidRPr="006F199C">
        <w:rPr>
          <w:rFonts w:ascii="Times New Roman" w:hAnsi="Times New Roman"/>
          <w:szCs w:val="24"/>
        </w:rPr>
        <w:t xml:space="preserve"> proposes to set the dollar threshold </w:t>
      </w:r>
      <w:r w:rsidRPr="006F199C">
        <w:rPr>
          <w:rFonts w:ascii="Times New Roman" w:hAnsi="Times New Roman"/>
          <w:szCs w:val="24"/>
        </w:rPr>
        <w:t>s</w:t>
      </w:r>
      <w:r w:rsidR="00213EA4" w:rsidRPr="006F199C">
        <w:rPr>
          <w:rFonts w:ascii="Times New Roman" w:hAnsi="Times New Roman"/>
          <w:szCs w:val="24"/>
        </w:rPr>
        <w:t>uch</w:t>
      </w:r>
      <w:r w:rsidRPr="006F199C">
        <w:rPr>
          <w:rFonts w:ascii="Times New Roman" w:hAnsi="Times New Roman"/>
          <w:szCs w:val="24"/>
        </w:rPr>
        <w:t xml:space="preserve"> that </w:t>
      </w:r>
      <w:r w:rsidR="008D703C" w:rsidRPr="006F199C">
        <w:rPr>
          <w:rFonts w:ascii="Times New Roman" w:hAnsi="Times New Roman"/>
          <w:szCs w:val="24"/>
        </w:rPr>
        <w:t xml:space="preserve">rate adjustments to Schedule 93 to recover </w:t>
      </w:r>
      <w:r w:rsidRPr="006F199C">
        <w:rPr>
          <w:rFonts w:ascii="Times New Roman" w:hAnsi="Times New Roman"/>
          <w:szCs w:val="24"/>
        </w:rPr>
        <w:t xml:space="preserve">deferral balances </w:t>
      </w:r>
      <w:r w:rsidR="007D32BE">
        <w:rPr>
          <w:rFonts w:ascii="Times New Roman" w:hAnsi="Times New Roman"/>
          <w:szCs w:val="24"/>
        </w:rPr>
        <w:t>are</w:t>
      </w:r>
      <w:r w:rsidR="00C062E5">
        <w:rPr>
          <w:rFonts w:ascii="Times New Roman" w:hAnsi="Times New Roman"/>
          <w:szCs w:val="24"/>
        </w:rPr>
        <w:t xml:space="preserve"> triggered </w:t>
      </w:r>
      <w:r w:rsidR="008D703C" w:rsidRPr="006F199C">
        <w:rPr>
          <w:rFonts w:ascii="Times New Roman" w:hAnsi="Times New Roman"/>
          <w:szCs w:val="24"/>
        </w:rPr>
        <w:t xml:space="preserve">only if the </w:t>
      </w:r>
      <w:r w:rsidR="00FA14A7">
        <w:rPr>
          <w:rFonts w:ascii="Times New Roman" w:hAnsi="Times New Roman"/>
          <w:szCs w:val="24"/>
        </w:rPr>
        <w:t>amount in the deferral account exceeds</w:t>
      </w:r>
      <w:r w:rsidRPr="006F199C">
        <w:rPr>
          <w:rFonts w:ascii="Times New Roman" w:hAnsi="Times New Roman"/>
          <w:szCs w:val="24"/>
        </w:rPr>
        <w:t xml:space="preserve"> approximately </w:t>
      </w:r>
      <w:r w:rsidR="00213EA4" w:rsidRPr="006F199C">
        <w:rPr>
          <w:rFonts w:ascii="Times New Roman" w:hAnsi="Times New Roman"/>
          <w:szCs w:val="24"/>
        </w:rPr>
        <w:t>plus</w:t>
      </w:r>
      <w:r w:rsidR="00B94467" w:rsidRPr="006F199C">
        <w:rPr>
          <w:rFonts w:ascii="Times New Roman" w:hAnsi="Times New Roman"/>
          <w:szCs w:val="24"/>
        </w:rPr>
        <w:t xml:space="preserve"> or </w:t>
      </w:r>
      <w:r w:rsidR="00213EA4" w:rsidRPr="006F199C">
        <w:rPr>
          <w:rFonts w:ascii="Times New Roman" w:hAnsi="Times New Roman"/>
          <w:szCs w:val="24"/>
        </w:rPr>
        <w:t xml:space="preserve">minus </w:t>
      </w:r>
      <w:r w:rsidRPr="006F199C">
        <w:rPr>
          <w:rFonts w:ascii="Times New Roman" w:hAnsi="Times New Roman"/>
          <w:szCs w:val="24"/>
        </w:rPr>
        <w:t>2.5</w:t>
      </w:r>
      <w:r w:rsidR="00213EA4" w:rsidRPr="006F199C">
        <w:rPr>
          <w:rFonts w:ascii="Times New Roman" w:hAnsi="Times New Roman"/>
          <w:szCs w:val="24"/>
        </w:rPr>
        <w:t xml:space="preserve"> percent</w:t>
      </w:r>
      <w:r w:rsidRPr="006F199C">
        <w:rPr>
          <w:rFonts w:ascii="Times New Roman" w:hAnsi="Times New Roman"/>
          <w:szCs w:val="24"/>
        </w:rPr>
        <w:t xml:space="preserve"> of allowed revenue at the end of the deferral period.</w:t>
      </w:r>
      <w:r w:rsidR="00594F34" w:rsidRPr="00594F34">
        <w:rPr>
          <w:rStyle w:val="FootnoteReference"/>
          <w:rFonts w:ascii="Times New Roman" w:hAnsi="Times New Roman"/>
          <w:szCs w:val="24"/>
          <w:vertAlign w:val="superscript"/>
        </w:rPr>
        <w:footnoteReference w:id="11"/>
      </w:r>
      <w:r w:rsidRPr="00594F34">
        <w:rPr>
          <w:rFonts w:ascii="Times New Roman" w:hAnsi="Times New Roman"/>
          <w:szCs w:val="24"/>
          <w:vertAlign w:val="superscript"/>
        </w:rPr>
        <w:t xml:space="preserve"> </w:t>
      </w:r>
    </w:p>
    <w:p w:rsidR="00D11F80" w:rsidRPr="006F199C" w:rsidRDefault="00D11F80" w:rsidP="00D11F80">
      <w:pPr>
        <w:rPr>
          <w:rFonts w:ascii="Times New Roman" w:hAnsi="Times New Roman"/>
          <w:b/>
          <w:szCs w:val="24"/>
        </w:rPr>
      </w:pPr>
      <w:r w:rsidRPr="006F199C">
        <w:rPr>
          <w:rFonts w:ascii="Times New Roman" w:hAnsi="Times New Roman"/>
          <w:b/>
          <w:szCs w:val="24"/>
        </w:rPr>
        <w:t>Q.</w:t>
      </w:r>
      <w:r w:rsidRPr="006F199C">
        <w:rPr>
          <w:rFonts w:ascii="Times New Roman" w:hAnsi="Times New Roman"/>
          <w:b/>
          <w:szCs w:val="24"/>
        </w:rPr>
        <w:tab/>
        <w:t xml:space="preserve">Do you agree with </w:t>
      </w:r>
      <w:r w:rsidR="004677BC">
        <w:rPr>
          <w:rFonts w:ascii="Times New Roman" w:hAnsi="Times New Roman"/>
          <w:b/>
          <w:szCs w:val="24"/>
        </w:rPr>
        <w:t>Staff’s</w:t>
      </w:r>
      <w:r w:rsidRPr="006F199C">
        <w:rPr>
          <w:rFonts w:ascii="Times New Roman" w:hAnsi="Times New Roman"/>
          <w:b/>
          <w:szCs w:val="24"/>
        </w:rPr>
        <w:t xml:space="preserve"> proposed changes?</w:t>
      </w:r>
    </w:p>
    <w:p w:rsidR="0068276C" w:rsidRPr="0068276C" w:rsidRDefault="00D11F80" w:rsidP="0068276C">
      <w:pPr>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r>
      <w:r w:rsidR="00213EA4" w:rsidRPr="006F199C">
        <w:rPr>
          <w:rFonts w:ascii="Times New Roman" w:hAnsi="Times New Roman"/>
          <w:szCs w:val="24"/>
        </w:rPr>
        <w:t xml:space="preserve">In principle, </w:t>
      </w:r>
      <w:r w:rsidRPr="006F199C">
        <w:rPr>
          <w:rFonts w:ascii="Times New Roman" w:hAnsi="Times New Roman"/>
          <w:szCs w:val="24"/>
        </w:rPr>
        <w:t xml:space="preserve">I agree that a trigger such as the one described by </w:t>
      </w:r>
      <w:r w:rsidR="004677BC">
        <w:rPr>
          <w:rFonts w:ascii="Times New Roman" w:hAnsi="Times New Roman"/>
          <w:szCs w:val="24"/>
        </w:rPr>
        <w:t>Staff</w:t>
      </w:r>
      <w:r w:rsidRPr="006F199C">
        <w:rPr>
          <w:rFonts w:ascii="Times New Roman" w:hAnsi="Times New Roman"/>
          <w:szCs w:val="24"/>
        </w:rPr>
        <w:t xml:space="preserve"> </w:t>
      </w:r>
      <w:r w:rsidR="00213EA4" w:rsidRPr="006F199C">
        <w:rPr>
          <w:rFonts w:ascii="Times New Roman" w:hAnsi="Times New Roman"/>
          <w:szCs w:val="24"/>
        </w:rPr>
        <w:t>can be</w:t>
      </w:r>
      <w:r w:rsidRPr="006F199C">
        <w:rPr>
          <w:rFonts w:ascii="Times New Roman" w:hAnsi="Times New Roman"/>
          <w:szCs w:val="24"/>
        </w:rPr>
        <w:t xml:space="preserve"> a </w:t>
      </w:r>
      <w:r w:rsidR="00213EA4" w:rsidRPr="006F199C">
        <w:rPr>
          <w:rFonts w:ascii="Times New Roman" w:hAnsi="Times New Roman"/>
          <w:szCs w:val="24"/>
        </w:rPr>
        <w:t>helpful design feature</w:t>
      </w:r>
      <w:r w:rsidRPr="006F199C">
        <w:rPr>
          <w:rFonts w:ascii="Times New Roman" w:hAnsi="Times New Roman"/>
          <w:szCs w:val="24"/>
        </w:rPr>
        <w:t xml:space="preserve"> to improve rate stability and avoid </w:t>
      </w:r>
      <w:r w:rsidR="00AD73ED" w:rsidRPr="006F199C">
        <w:rPr>
          <w:rFonts w:ascii="Times New Roman" w:hAnsi="Times New Roman"/>
          <w:szCs w:val="24"/>
        </w:rPr>
        <w:t>small</w:t>
      </w:r>
      <w:r w:rsidRPr="006F199C">
        <w:rPr>
          <w:rFonts w:ascii="Times New Roman" w:hAnsi="Times New Roman"/>
          <w:szCs w:val="24"/>
        </w:rPr>
        <w:t xml:space="preserve"> Schedule 93 rate </w:t>
      </w:r>
      <w:r w:rsidR="00213EA4" w:rsidRPr="006F199C">
        <w:rPr>
          <w:rFonts w:ascii="Times New Roman" w:hAnsi="Times New Roman"/>
          <w:szCs w:val="24"/>
        </w:rPr>
        <w:t>adjustments that may be confusing for customers</w:t>
      </w:r>
      <w:r w:rsidRPr="006F199C">
        <w:rPr>
          <w:rFonts w:ascii="Times New Roman" w:hAnsi="Times New Roman"/>
          <w:szCs w:val="24"/>
        </w:rPr>
        <w:t xml:space="preserve">. </w:t>
      </w:r>
      <w:r w:rsidR="002B58F6" w:rsidRPr="006F199C">
        <w:rPr>
          <w:rFonts w:ascii="Times New Roman" w:hAnsi="Times New Roman"/>
          <w:szCs w:val="24"/>
        </w:rPr>
        <w:t xml:space="preserve"> </w:t>
      </w:r>
      <w:r w:rsidR="00085355" w:rsidRPr="006F199C">
        <w:rPr>
          <w:rFonts w:ascii="Times New Roman" w:hAnsi="Times New Roman"/>
          <w:szCs w:val="24"/>
        </w:rPr>
        <w:t xml:space="preserve">However, I am concerned that </w:t>
      </w:r>
      <w:r w:rsidR="008D703C" w:rsidRPr="006F199C">
        <w:rPr>
          <w:rFonts w:ascii="Times New Roman" w:hAnsi="Times New Roman"/>
          <w:szCs w:val="24"/>
        </w:rPr>
        <w:t xml:space="preserve">the </w:t>
      </w:r>
      <w:r w:rsidR="00085355" w:rsidRPr="006F199C">
        <w:rPr>
          <w:rFonts w:ascii="Times New Roman" w:hAnsi="Times New Roman"/>
          <w:szCs w:val="24"/>
        </w:rPr>
        <w:t xml:space="preserve">proposed threshold level of 2.5 percent is too high, and may make it more challenging for the decoupling mechanism to achieve its </w:t>
      </w:r>
      <w:r w:rsidR="004D1C25" w:rsidRPr="006F199C">
        <w:rPr>
          <w:rFonts w:ascii="Times New Roman" w:hAnsi="Times New Roman"/>
          <w:szCs w:val="24"/>
        </w:rPr>
        <w:t xml:space="preserve">goal of providing the Company with better fixed cost recovery. </w:t>
      </w:r>
      <w:r w:rsidR="00085355" w:rsidRPr="006F199C">
        <w:rPr>
          <w:rFonts w:ascii="Times New Roman" w:hAnsi="Times New Roman"/>
          <w:szCs w:val="24"/>
        </w:rPr>
        <w:t xml:space="preserve"> </w:t>
      </w:r>
      <w:r w:rsidR="004C042A" w:rsidRPr="006F199C">
        <w:rPr>
          <w:rFonts w:ascii="Times New Roman" w:hAnsi="Times New Roman"/>
          <w:szCs w:val="24"/>
        </w:rPr>
        <w:t>Neither Avista nor PSE have such triggers</w:t>
      </w:r>
      <w:r w:rsidR="004677BC">
        <w:rPr>
          <w:rFonts w:ascii="Times New Roman" w:hAnsi="Times New Roman"/>
          <w:szCs w:val="24"/>
        </w:rPr>
        <w:t>,</w:t>
      </w:r>
      <w:r w:rsidR="004C042A" w:rsidRPr="006F199C">
        <w:rPr>
          <w:rFonts w:ascii="Times New Roman" w:hAnsi="Times New Roman"/>
          <w:szCs w:val="24"/>
        </w:rPr>
        <w:t xml:space="preserve"> and Staff’s proposed threshold </w:t>
      </w:r>
      <w:r w:rsidR="008D703C" w:rsidRPr="006F199C">
        <w:rPr>
          <w:rFonts w:ascii="Times New Roman" w:hAnsi="Times New Roman"/>
          <w:szCs w:val="24"/>
        </w:rPr>
        <w:t xml:space="preserve">is nearly as large as the </w:t>
      </w:r>
      <w:r w:rsidR="00BB1B8B">
        <w:rPr>
          <w:rFonts w:ascii="Times New Roman" w:hAnsi="Times New Roman"/>
          <w:szCs w:val="24"/>
        </w:rPr>
        <w:t>three</w:t>
      </w:r>
      <w:r w:rsidR="004C042A" w:rsidRPr="006F199C">
        <w:rPr>
          <w:rFonts w:ascii="Times New Roman" w:hAnsi="Times New Roman"/>
          <w:szCs w:val="24"/>
        </w:rPr>
        <w:t xml:space="preserve"> percent </w:t>
      </w:r>
      <w:r w:rsidR="008D703C" w:rsidRPr="006F199C">
        <w:rPr>
          <w:rFonts w:ascii="Times New Roman" w:hAnsi="Times New Roman"/>
          <w:szCs w:val="24"/>
        </w:rPr>
        <w:t>cap adopted for both Avista and PSE</w:t>
      </w:r>
      <w:r w:rsidR="004C042A" w:rsidRPr="006F199C">
        <w:rPr>
          <w:rFonts w:ascii="Times New Roman" w:hAnsi="Times New Roman"/>
          <w:szCs w:val="24"/>
        </w:rPr>
        <w:t xml:space="preserve"> and proposed by the Company</w:t>
      </w:r>
      <w:r w:rsidR="008D703C" w:rsidRPr="006F199C">
        <w:rPr>
          <w:rFonts w:ascii="Times New Roman" w:hAnsi="Times New Roman"/>
          <w:szCs w:val="24"/>
        </w:rPr>
        <w:t xml:space="preserve">.  </w:t>
      </w:r>
      <w:r w:rsidR="007733A7" w:rsidRPr="006F199C">
        <w:rPr>
          <w:rFonts w:ascii="Times New Roman" w:hAnsi="Times New Roman"/>
          <w:szCs w:val="24"/>
        </w:rPr>
        <w:t xml:space="preserve">While </w:t>
      </w:r>
      <w:r w:rsidR="004D1C25" w:rsidRPr="006F199C">
        <w:rPr>
          <w:rFonts w:ascii="Times New Roman" w:hAnsi="Times New Roman"/>
          <w:szCs w:val="24"/>
        </w:rPr>
        <w:t>Mr. Ball’s propos</w:t>
      </w:r>
      <w:r w:rsidR="008D703C" w:rsidRPr="006F199C">
        <w:rPr>
          <w:rFonts w:ascii="Times New Roman" w:hAnsi="Times New Roman"/>
          <w:szCs w:val="24"/>
        </w:rPr>
        <w:t>al to</w:t>
      </w:r>
      <w:r w:rsidR="004D1C25" w:rsidRPr="006F199C">
        <w:rPr>
          <w:rFonts w:ascii="Times New Roman" w:hAnsi="Times New Roman"/>
          <w:szCs w:val="24"/>
        </w:rPr>
        <w:t xml:space="preserve"> increase the cap </w:t>
      </w:r>
      <w:r w:rsidR="008D703C" w:rsidRPr="006F199C">
        <w:rPr>
          <w:rFonts w:ascii="Times New Roman" w:hAnsi="Times New Roman"/>
          <w:szCs w:val="24"/>
        </w:rPr>
        <w:t xml:space="preserve">to </w:t>
      </w:r>
      <w:r w:rsidR="006C055D" w:rsidRPr="006F199C">
        <w:rPr>
          <w:rFonts w:ascii="Times New Roman" w:hAnsi="Times New Roman"/>
          <w:szCs w:val="24"/>
        </w:rPr>
        <w:t xml:space="preserve">five </w:t>
      </w:r>
      <w:r w:rsidR="008D703C" w:rsidRPr="006F199C">
        <w:rPr>
          <w:rFonts w:ascii="Times New Roman" w:hAnsi="Times New Roman"/>
          <w:szCs w:val="24"/>
        </w:rPr>
        <w:t xml:space="preserve">percent </w:t>
      </w:r>
      <w:r w:rsidR="004D1C25" w:rsidRPr="006F199C">
        <w:rPr>
          <w:rFonts w:ascii="Times New Roman" w:hAnsi="Times New Roman"/>
          <w:szCs w:val="24"/>
        </w:rPr>
        <w:t>on annual rate increases along with his proposed 2.5 percent trigger may result in fewer annual adjustments</w:t>
      </w:r>
      <w:r w:rsidR="007733A7" w:rsidRPr="006F199C">
        <w:rPr>
          <w:rFonts w:ascii="Times New Roman" w:hAnsi="Times New Roman"/>
          <w:szCs w:val="24"/>
        </w:rPr>
        <w:t>, they may result in adjustments</w:t>
      </w:r>
      <w:r w:rsidR="004D1C25" w:rsidRPr="006F199C">
        <w:rPr>
          <w:rFonts w:ascii="Times New Roman" w:hAnsi="Times New Roman"/>
          <w:szCs w:val="24"/>
        </w:rPr>
        <w:t xml:space="preserve"> that are larger in magnitude.  </w:t>
      </w:r>
      <w:r w:rsidR="00AF4C76" w:rsidRPr="006F199C">
        <w:rPr>
          <w:rFonts w:ascii="Times New Roman" w:hAnsi="Times New Roman"/>
          <w:szCs w:val="24"/>
        </w:rPr>
        <w:t xml:space="preserve">The Company </w:t>
      </w:r>
      <w:r w:rsidR="00A766AE" w:rsidRPr="006F199C">
        <w:rPr>
          <w:rFonts w:ascii="Times New Roman" w:hAnsi="Times New Roman"/>
          <w:szCs w:val="24"/>
        </w:rPr>
        <w:t xml:space="preserve">recommends </w:t>
      </w:r>
      <w:r w:rsidR="00AF4C76" w:rsidRPr="006F199C">
        <w:rPr>
          <w:rFonts w:ascii="Times New Roman" w:hAnsi="Times New Roman"/>
          <w:szCs w:val="24"/>
        </w:rPr>
        <w:t xml:space="preserve">that </w:t>
      </w:r>
      <w:r w:rsidRPr="006F199C">
        <w:rPr>
          <w:rFonts w:ascii="Times New Roman" w:hAnsi="Times New Roman"/>
          <w:szCs w:val="24"/>
        </w:rPr>
        <w:t xml:space="preserve">a </w:t>
      </w:r>
      <w:r w:rsidR="00A766AE" w:rsidRPr="006F199C">
        <w:rPr>
          <w:rFonts w:ascii="Times New Roman" w:hAnsi="Times New Roman"/>
          <w:szCs w:val="24"/>
        </w:rPr>
        <w:t xml:space="preserve">more reasonable </w:t>
      </w:r>
      <w:r w:rsidRPr="006F199C">
        <w:rPr>
          <w:rFonts w:ascii="Times New Roman" w:hAnsi="Times New Roman"/>
          <w:szCs w:val="24"/>
        </w:rPr>
        <w:t>0.5</w:t>
      </w:r>
      <w:r w:rsidR="00A766AE" w:rsidRPr="006F199C">
        <w:rPr>
          <w:rFonts w:ascii="Times New Roman" w:hAnsi="Times New Roman"/>
          <w:szCs w:val="24"/>
        </w:rPr>
        <w:t xml:space="preserve"> percent</w:t>
      </w:r>
      <w:r w:rsidRPr="006F199C">
        <w:rPr>
          <w:rFonts w:ascii="Times New Roman" w:hAnsi="Times New Roman"/>
          <w:szCs w:val="24"/>
        </w:rPr>
        <w:t xml:space="preserve"> trigger </w:t>
      </w:r>
      <w:r w:rsidR="00594E61" w:rsidRPr="006F199C">
        <w:rPr>
          <w:rFonts w:ascii="Times New Roman" w:hAnsi="Times New Roman"/>
          <w:szCs w:val="24"/>
        </w:rPr>
        <w:t>be adopted in the proposed decoupling mechanism and that the Co</w:t>
      </w:r>
      <w:r w:rsidR="004677BC">
        <w:rPr>
          <w:rFonts w:ascii="Times New Roman" w:hAnsi="Times New Roman"/>
          <w:szCs w:val="24"/>
        </w:rPr>
        <w:t>mpany’</w:t>
      </w:r>
      <w:r w:rsidR="00594E61" w:rsidRPr="006F199C">
        <w:rPr>
          <w:rFonts w:ascii="Times New Roman" w:hAnsi="Times New Roman"/>
          <w:szCs w:val="24"/>
        </w:rPr>
        <w:t>s</w:t>
      </w:r>
      <w:r w:rsidRPr="006F199C">
        <w:rPr>
          <w:rFonts w:ascii="Times New Roman" w:hAnsi="Times New Roman"/>
          <w:szCs w:val="24"/>
        </w:rPr>
        <w:t xml:space="preserve"> originally proposed annual increase limit for filing Schedule 93 rate adjustments</w:t>
      </w:r>
      <w:r w:rsidR="00594E61" w:rsidRPr="006F199C">
        <w:rPr>
          <w:rFonts w:ascii="Times New Roman" w:hAnsi="Times New Roman"/>
          <w:szCs w:val="24"/>
        </w:rPr>
        <w:t xml:space="preserve"> remain at </w:t>
      </w:r>
      <w:r w:rsidR="006C055D" w:rsidRPr="006F199C">
        <w:rPr>
          <w:rFonts w:ascii="Times New Roman" w:hAnsi="Times New Roman"/>
          <w:szCs w:val="24"/>
        </w:rPr>
        <w:t xml:space="preserve">three </w:t>
      </w:r>
      <w:r w:rsidR="00594E61" w:rsidRPr="0068276C">
        <w:rPr>
          <w:rFonts w:ascii="Times New Roman" w:hAnsi="Times New Roman"/>
          <w:szCs w:val="24"/>
        </w:rPr>
        <w:t>percent</w:t>
      </w:r>
      <w:r w:rsidRPr="0068276C">
        <w:rPr>
          <w:rFonts w:ascii="Times New Roman" w:hAnsi="Times New Roman"/>
          <w:szCs w:val="24"/>
        </w:rPr>
        <w:t xml:space="preserve">. </w:t>
      </w:r>
      <w:r w:rsidR="00566FB6" w:rsidRPr="0068276C">
        <w:rPr>
          <w:rFonts w:ascii="Times New Roman" w:hAnsi="Times New Roman"/>
          <w:szCs w:val="24"/>
        </w:rPr>
        <w:t xml:space="preserve"> </w:t>
      </w:r>
      <w:r w:rsidR="00F539AA" w:rsidRPr="0068276C">
        <w:rPr>
          <w:rFonts w:ascii="Times New Roman" w:hAnsi="Times New Roman"/>
          <w:szCs w:val="24"/>
        </w:rPr>
        <w:t>The Company’s proposed</w:t>
      </w:r>
      <w:r w:rsidRPr="0068276C">
        <w:rPr>
          <w:rFonts w:ascii="Times New Roman" w:hAnsi="Times New Roman"/>
          <w:szCs w:val="24"/>
        </w:rPr>
        <w:t xml:space="preserve"> trigger will ensure a </w:t>
      </w:r>
      <w:r w:rsidR="00594E61" w:rsidRPr="0068276C">
        <w:rPr>
          <w:rFonts w:ascii="Times New Roman" w:hAnsi="Times New Roman"/>
          <w:szCs w:val="24"/>
        </w:rPr>
        <w:t xml:space="preserve">more </w:t>
      </w:r>
      <w:r w:rsidRPr="0068276C">
        <w:rPr>
          <w:rFonts w:ascii="Times New Roman" w:hAnsi="Times New Roman"/>
          <w:szCs w:val="24"/>
        </w:rPr>
        <w:t>continual collection of the balancing account and avoid the risk of rate shock.</w:t>
      </w:r>
      <w:r w:rsidR="00594E61" w:rsidRPr="0068276C">
        <w:rPr>
          <w:rFonts w:ascii="Times New Roman" w:hAnsi="Times New Roman"/>
          <w:szCs w:val="24"/>
        </w:rPr>
        <w:t xml:space="preserve">  Please refer to Exhibit No.</w:t>
      </w:r>
      <w:r w:rsidR="005C4EE5" w:rsidRPr="0068276C">
        <w:rPr>
          <w:rFonts w:ascii="Times New Roman" w:hAnsi="Times New Roman"/>
          <w:szCs w:val="24"/>
        </w:rPr>
        <w:t xml:space="preserve"> </w:t>
      </w:r>
      <w:r w:rsidR="00594E61" w:rsidRPr="0068276C">
        <w:rPr>
          <w:rFonts w:ascii="Times New Roman" w:hAnsi="Times New Roman"/>
          <w:szCs w:val="24"/>
        </w:rPr>
        <w:t>JRS-1</w:t>
      </w:r>
      <w:r w:rsidR="006A01DF" w:rsidRPr="0068276C">
        <w:rPr>
          <w:rFonts w:ascii="Times New Roman" w:hAnsi="Times New Roman"/>
          <w:szCs w:val="24"/>
        </w:rPr>
        <w:t>5</w:t>
      </w:r>
      <w:r w:rsidR="00594E61" w:rsidRPr="0068276C">
        <w:rPr>
          <w:rFonts w:ascii="Times New Roman" w:hAnsi="Times New Roman"/>
          <w:szCs w:val="24"/>
        </w:rPr>
        <w:t xml:space="preserve"> for the Company’s proposed</w:t>
      </w:r>
      <w:r w:rsidR="00594E61" w:rsidRPr="006F199C">
        <w:rPr>
          <w:rFonts w:ascii="Times New Roman" w:hAnsi="Times New Roman"/>
          <w:szCs w:val="24"/>
        </w:rPr>
        <w:t xml:space="preserve"> </w:t>
      </w:r>
      <w:r w:rsidR="005175A0" w:rsidRPr="006F199C">
        <w:rPr>
          <w:rFonts w:ascii="Times New Roman" w:hAnsi="Times New Roman"/>
          <w:szCs w:val="24"/>
        </w:rPr>
        <w:t>Schedule 93 tariff</w:t>
      </w:r>
      <w:r w:rsidR="005C4EE5" w:rsidRPr="006F199C">
        <w:rPr>
          <w:rFonts w:ascii="Times New Roman" w:hAnsi="Times New Roman"/>
          <w:szCs w:val="24"/>
        </w:rPr>
        <w:t>,</w:t>
      </w:r>
      <w:r w:rsidR="005175A0" w:rsidRPr="006F199C">
        <w:rPr>
          <w:rFonts w:ascii="Times New Roman" w:hAnsi="Times New Roman"/>
          <w:szCs w:val="24"/>
        </w:rPr>
        <w:t xml:space="preserve"> which has been revised from </w:t>
      </w:r>
      <w:r w:rsidR="00F539AA" w:rsidRPr="006F199C">
        <w:rPr>
          <w:rFonts w:ascii="Times New Roman" w:hAnsi="Times New Roman"/>
          <w:szCs w:val="24"/>
        </w:rPr>
        <w:t xml:space="preserve">the </w:t>
      </w:r>
      <w:r w:rsidR="005175A0" w:rsidRPr="006F199C">
        <w:rPr>
          <w:rFonts w:ascii="Times New Roman" w:hAnsi="Times New Roman"/>
          <w:szCs w:val="24"/>
        </w:rPr>
        <w:t>tariff presented in the Company’s direct filing to include a description of the proposed 0.5 percent trigger.</w:t>
      </w:r>
      <w:r w:rsidR="0068276C">
        <w:rPr>
          <w:rFonts w:ascii="Times New Roman" w:hAnsi="Times New Roman"/>
          <w:b/>
          <w:szCs w:val="24"/>
          <w:u w:val="single"/>
        </w:rPr>
        <w:br w:type="page"/>
      </w:r>
    </w:p>
    <w:p w:rsidR="00567C19" w:rsidRPr="00B1786E" w:rsidRDefault="00567C19" w:rsidP="00567C19">
      <w:pPr>
        <w:rPr>
          <w:rFonts w:ascii="Times New Roman" w:hAnsi="Times New Roman"/>
          <w:b/>
          <w:szCs w:val="24"/>
          <w:u w:val="single"/>
        </w:rPr>
      </w:pPr>
      <w:r w:rsidRPr="00094ED5">
        <w:rPr>
          <w:rFonts w:ascii="Times New Roman" w:hAnsi="Times New Roman"/>
          <w:b/>
          <w:szCs w:val="24"/>
          <w:u w:val="single"/>
        </w:rPr>
        <w:t xml:space="preserve">Response </w:t>
      </w:r>
      <w:r w:rsidR="007733A7" w:rsidRPr="00094ED5">
        <w:rPr>
          <w:rFonts w:ascii="Times New Roman" w:hAnsi="Times New Roman"/>
          <w:b/>
          <w:szCs w:val="24"/>
          <w:u w:val="single"/>
        </w:rPr>
        <w:t>to</w:t>
      </w:r>
      <w:r w:rsidRPr="00094ED5">
        <w:rPr>
          <w:rFonts w:ascii="Times New Roman" w:hAnsi="Times New Roman"/>
          <w:b/>
          <w:szCs w:val="24"/>
          <w:u w:val="single"/>
        </w:rPr>
        <w:t xml:space="preserve"> </w:t>
      </w:r>
      <w:r w:rsidR="00B1786E">
        <w:rPr>
          <w:rFonts w:ascii="Times New Roman" w:hAnsi="Times New Roman"/>
          <w:b/>
          <w:szCs w:val="24"/>
          <w:u w:val="single"/>
        </w:rPr>
        <w:t>NWEC</w:t>
      </w:r>
      <w:r w:rsidR="00594F34">
        <w:rPr>
          <w:rFonts w:ascii="Times New Roman" w:hAnsi="Times New Roman"/>
          <w:b/>
          <w:szCs w:val="24"/>
          <w:u w:val="single"/>
        </w:rPr>
        <w:t xml:space="preserve"> Witness Mr. Cavana</w:t>
      </w:r>
      <w:r w:rsidRPr="00B1786E">
        <w:rPr>
          <w:rFonts w:ascii="Times New Roman" w:hAnsi="Times New Roman"/>
          <w:b/>
          <w:szCs w:val="24"/>
          <w:u w:val="single"/>
        </w:rPr>
        <w:t>gh</w:t>
      </w:r>
    </w:p>
    <w:p w:rsidR="00905546" w:rsidRPr="006F199C" w:rsidRDefault="00905546" w:rsidP="00905546">
      <w:pPr>
        <w:pStyle w:val="Answer-Testimony"/>
      </w:pPr>
      <w:r w:rsidRPr="00B1786E">
        <w:rPr>
          <w:b/>
        </w:rPr>
        <w:t>Q.</w:t>
      </w:r>
      <w:r w:rsidRPr="00B1786E">
        <w:rPr>
          <w:b/>
        </w:rPr>
        <w:tab/>
        <w:t xml:space="preserve">Please summarize </w:t>
      </w:r>
      <w:r w:rsidR="004677BC">
        <w:rPr>
          <w:b/>
        </w:rPr>
        <w:t>NWEC’s</w:t>
      </w:r>
      <w:r w:rsidRPr="00B1786E">
        <w:rPr>
          <w:b/>
        </w:rPr>
        <w:t xml:space="preserve"> testimony concerning decoupling.</w:t>
      </w:r>
    </w:p>
    <w:p w:rsidR="00905546" w:rsidRPr="006F199C" w:rsidRDefault="007A16D8" w:rsidP="00905546">
      <w:pPr>
        <w:rPr>
          <w:rFonts w:ascii="Times New Roman" w:hAnsi="Times New Roman"/>
          <w:szCs w:val="24"/>
        </w:rPr>
      </w:pPr>
      <w:r>
        <w:rPr>
          <w:rFonts w:ascii="Times New Roman" w:hAnsi="Times New Roman"/>
          <w:szCs w:val="24"/>
        </w:rPr>
        <w:t>A.</w:t>
      </w:r>
      <w:r>
        <w:rPr>
          <w:rFonts w:ascii="Times New Roman" w:hAnsi="Times New Roman"/>
          <w:szCs w:val="24"/>
        </w:rPr>
        <w:tab/>
      </w:r>
      <w:r w:rsidR="004677BC">
        <w:rPr>
          <w:rFonts w:ascii="Times New Roman" w:hAnsi="Times New Roman"/>
          <w:szCs w:val="24"/>
        </w:rPr>
        <w:t>NWEC</w:t>
      </w:r>
      <w:r w:rsidR="00905546" w:rsidRPr="006F199C">
        <w:rPr>
          <w:rFonts w:ascii="Times New Roman" w:hAnsi="Times New Roman"/>
          <w:szCs w:val="24"/>
        </w:rPr>
        <w:t xml:space="preserve"> strongly endorses the Company’s decoupling proposal, but </w:t>
      </w:r>
      <w:r w:rsidR="00C54282" w:rsidRPr="006F199C">
        <w:rPr>
          <w:rFonts w:ascii="Times New Roman" w:hAnsi="Times New Roman"/>
          <w:szCs w:val="24"/>
        </w:rPr>
        <w:t xml:space="preserve">similar to Staff, </w:t>
      </w:r>
      <w:r w:rsidR="00905546" w:rsidRPr="006F199C">
        <w:rPr>
          <w:rFonts w:ascii="Times New Roman" w:hAnsi="Times New Roman"/>
          <w:szCs w:val="24"/>
        </w:rPr>
        <w:t>recommends</w:t>
      </w:r>
      <w:r w:rsidR="00622DBA" w:rsidRPr="006F199C">
        <w:rPr>
          <w:rFonts w:ascii="Times New Roman" w:hAnsi="Times New Roman"/>
          <w:szCs w:val="24"/>
        </w:rPr>
        <w:t xml:space="preserve"> that the Company’s annual conservations targets be increased by </w:t>
      </w:r>
      <w:r w:rsidR="00BB1B8B">
        <w:rPr>
          <w:rFonts w:ascii="Times New Roman" w:hAnsi="Times New Roman"/>
          <w:szCs w:val="24"/>
        </w:rPr>
        <w:t>five</w:t>
      </w:r>
      <w:r w:rsidR="00622DBA" w:rsidRPr="006F199C">
        <w:rPr>
          <w:rFonts w:ascii="Times New Roman" w:hAnsi="Times New Roman"/>
          <w:szCs w:val="24"/>
        </w:rPr>
        <w:t xml:space="preserve"> percent and </w:t>
      </w:r>
      <w:r w:rsidR="00F2310E" w:rsidRPr="006F199C">
        <w:rPr>
          <w:rFonts w:ascii="Times New Roman" w:hAnsi="Times New Roman"/>
          <w:szCs w:val="24"/>
        </w:rPr>
        <w:t>that LIBA rate credits be increased proportionately with any annual decoupling-related increases in residential bills.</w:t>
      </w:r>
      <w:r w:rsidR="00594F34" w:rsidRPr="00594F34">
        <w:rPr>
          <w:rStyle w:val="FootnoteReference"/>
          <w:rFonts w:ascii="Times New Roman" w:hAnsi="Times New Roman"/>
          <w:szCs w:val="24"/>
          <w:vertAlign w:val="superscript"/>
        </w:rPr>
        <w:footnoteReference w:id="12"/>
      </w:r>
    </w:p>
    <w:p w:rsidR="00F2310E" w:rsidRPr="006F199C" w:rsidRDefault="007A16D8" w:rsidP="00F2310E">
      <w:pPr>
        <w:pStyle w:val="Answer-Testimony"/>
      </w:pPr>
      <w:r>
        <w:rPr>
          <w:b/>
        </w:rPr>
        <w:t>Q.</w:t>
      </w:r>
      <w:r>
        <w:rPr>
          <w:b/>
        </w:rPr>
        <w:tab/>
        <w:t xml:space="preserve">Do you agree with </w:t>
      </w:r>
      <w:r w:rsidR="004677BC">
        <w:rPr>
          <w:b/>
        </w:rPr>
        <w:t>NWEC’s</w:t>
      </w:r>
      <w:r w:rsidR="00F2310E" w:rsidRPr="006F199C">
        <w:rPr>
          <w:b/>
        </w:rPr>
        <w:t xml:space="preserve"> recommendation to increase the Company’s annual conservation targets by </w:t>
      </w:r>
      <w:r w:rsidR="00BB1B8B">
        <w:rPr>
          <w:b/>
        </w:rPr>
        <w:t>five</w:t>
      </w:r>
      <w:r w:rsidR="00F2310E" w:rsidRPr="006F199C">
        <w:rPr>
          <w:b/>
        </w:rPr>
        <w:t xml:space="preserve"> percent?</w:t>
      </w:r>
    </w:p>
    <w:p w:rsidR="00F2310E" w:rsidRPr="006F199C" w:rsidRDefault="00F2310E" w:rsidP="00F2310E">
      <w:pPr>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t>Yes</w:t>
      </w:r>
      <w:r w:rsidR="00C54282" w:rsidRPr="006F199C">
        <w:rPr>
          <w:rFonts w:ascii="Times New Roman" w:hAnsi="Times New Roman"/>
          <w:szCs w:val="24"/>
        </w:rPr>
        <w:t>.  A</w:t>
      </w:r>
      <w:r w:rsidR="004D0557" w:rsidRPr="006F199C">
        <w:rPr>
          <w:rFonts w:ascii="Times New Roman" w:hAnsi="Times New Roman"/>
          <w:szCs w:val="24"/>
        </w:rPr>
        <w:t xml:space="preserve">s I stated in my response to </w:t>
      </w:r>
      <w:r w:rsidR="004677BC">
        <w:rPr>
          <w:rFonts w:ascii="Times New Roman" w:hAnsi="Times New Roman"/>
          <w:szCs w:val="24"/>
        </w:rPr>
        <w:t>Staff’s</w:t>
      </w:r>
      <w:r w:rsidR="004D0557" w:rsidRPr="006F199C">
        <w:rPr>
          <w:rFonts w:ascii="Times New Roman" w:hAnsi="Times New Roman"/>
          <w:szCs w:val="24"/>
        </w:rPr>
        <w:t xml:space="preserve"> testimony, the Company agrees to increase the annual cons</w:t>
      </w:r>
      <w:r w:rsidR="00EC6754" w:rsidRPr="006F199C">
        <w:rPr>
          <w:rFonts w:ascii="Times New Roman" w:hAnsi="Times New Roman"/>
          <w:szCs w:val="24"/>
        </w:rPr>
        <w:t xml:space="preserve">ervation target by </w:t>
      </w:r>
      <w:r w:rsidR="00BB1B8B">
        <w:rPr>
          <w:rFonts w:ascii="Times New Roman" w:hAnsi="Times New Roman"/>
          <w:szCs w:val="24"/>
        </w:rPr>
        <w:t>five</w:t>
      </w:r>
      <w:r w:rsidR="00EC6754" w:rsidRPr="006F199C">
        <w:rPr>
          <w:rFonts w:ascii="Times New Roman" w:hAnsi="Times New Roman"/>
          <w:szCs w:val="24"/>
        </w:rPr>
        <w:t xml:space="preserve"> percent with the noted clarification that the target be increased by 2.5 percent in </w:t>
      </w:r>
      <w:r w:rsidR="00633F00" w:rsidRPr="006F199C">
        <w:rPr>
          <w:rFonts w:ascii="Times New Roman" w:hAnsi="Times New Roman"/>
          <w:szCs w:val="24"/>
        </w:rPr>
        <w:t xml:space="preserve">the current conservation biennium, </w:t>
      </w:r>
      <w:r w:rsidR="00EC6754" w:rsidRPr="006F199C">
        <w:rPr>
          <w:rFonts w:ascii="Times New Roman" w:hAnsi="Times New Roman"/>
          <w:szCs w:val="24"/>
        </w:rPr>
        <w:t xml:space="preserve">and </w:t>
      </w:r>
      <w:r w:rsidR="00BB1B8B">
        <w:rPr>
          <w:rFonts w:ascii="Times New Roman" w:hAnsi="Times New Roman"/>
          <w:szCs w:val="24"/>
        </w:rPr>
        <w:t>five</w:t>
      </w:r>
      <w:r w:rsidR="00EC6754" w:rsidRPr="006F199C">
        <w:rPr>
          <w:rFonts w:ascii="Times New Roman" w:hAnsi="Times New Roman"/>
          <w:szCs w:val="24"/>
        </w:rPr>
        <w:t xml:space="preserve"> percent thereafter through the period when decoupling is in effect.</w:t>
      </w:r>
    </w:p>
    <w:p w:rsidR="00213EA4" w:rsidRPr="006F199C" w:rsidRDefault="00213EA4" w:rsidP="00213EA4">
      <w:pPr>
        <w:contextualSpacing/>
        <w:rPr>
          <w:rFonts w:ascii="Times New Roman" w:hAnsi="Times New Roman"/>
          <w:b/>
          <w:szCs w:val="24"/>
        </w:rPr>
      </w:pPr>
      <w:r w:rsidRPr="006F199C">
        <w:rPr>
          <w:rFonts w:ascii="Times New Roman" w:hAnsi="Times New Roman"/>
          <w:b/>
          <w:szCs w:val="24"/>
        </w:rPr>
        <w:t>Q</w:t>
      </w:r>
      <w:r w:rsidR="007A16D8">
        <w:rPr>
          <w:rFonts w:ascii="Times New Roman" w:hAnsi="Times New Roman"/>
          <w:b/>
          <w:szCs w:val="24"/>
        </w:rPr>
        <w:t xml:space="preserve">. </w:t>
      </w:r>
      <w:r w:rsidR="007A16D8">
        <w:rPr>
          <w:rFonts w:ascii="Times New Roman" w:hAnsi="Times New Roman"/>
          <w:b/>
          <w:szCs w:val="24"/>
        </w:rPr>
        <w:tab/>
        <w:t xml:space="preserve">Do you agree with </w:t>
      </w:r>
      <w:r w:rsidR="004677BC">
        <w:rPr>
          <w:rFonts w:ascii="Times New Roman" w:hAnsi="Times New Roman"/>
          <w:b/>
          <w:szCs w:val="24"/>
        </w:rPr>
        <w:t>NWEC’s</w:t>
      </w:r>
      <w:r w:rsidRPr="006F199C">
        <w:rPr>
          <w:rFonts w:ascii="Times New Roman" w:hAnsi="Times New Roman"/>
          <w:b/>
          <w:szCs w:val="24"/>
        </w:rPr>
        <w:t xml:space="preserve"> proposal to increase the LIBA rate credits proportional to any residential bill increases resulting from the decoupling mechanism?</w:t>
      </w:r>
    </w:p>
    <w:p w:rsidR="00213EA4" w:rsidRPr="006F199C" w:rsidRDefault="00213EA4" w:rsidP="00213EA4">
      <w:pPr>
        <w:rPr>
          <w:rFonts w:ascii="Times New Roman" w:hAnsi="Times New Roman"/>
          <w:szCs w:val="24"/>
        </w:rPr>
      </w:pPr>
      <w:r w:rsidRPr="006F199C">
        <w:rPr>
          <w:rFonts w:ascii="Times New Roman" w:hAnsi="Times New Roman"/>
          <w:szCs w:val="24"/>
        </w:rPr>
        <w:t xml:space="preserve">A. </w:t>
      </w:r>
      <w:r w:rsidRPr="006F199C">
        <w:rPr>
          <w:rFonts w:ascii="Times New Roman" w:hAnsi="Times New Roman"/>
          <w:szCs w:val="24"/>
        </w:rPr>
        <w:tab/>
        <w:t>No.</w:t>
      </w:r>
      <w:r w:rsidR="004677BC">
        <w:rPr>
          <w:rFonts w:ascii="Times New Roman" w:hAnsi="Times New Roman"/>
          <w:szCs w:val="24"/>
        </w:rPr>
        <w:t xml:space="preserve"> </w:t>
      </w:r>
      <w:r w:rsidRPr="006F199C">
        <w:rPr>
          <w:rFonts w:ascii="Times New Roman" w:hAnsi="Times New Roman"/>
          <w:szCs w:val="24"/>
        </w:rPr>
        <w:t xml:space="preserve"> </w:t>
      </w:r>
      <w:r w:rsidR="00DD578C" w:rsidRPr="006F199C">
        <w:rPr>
          <w:rFonts w:ascii="Times New Roman" w:hAnsi="Times New Roman"/>
          <w:szCs w:val="24"/>
        </w:rPr>
        <w:t>I</w:t>
      </w:r>
      <w:r w:rsidR="00F539AA" w:rsidRPr="006F199C">
        <w:rPr>
          <w:rFonts w:ascii="Times New Roman" w:hAnsi="Times New Roman"/>
          <w:szCs w:val="24"/>
        </w:rPr>
        <w:t xml:space="preserve">t would </w:t>
      </w:r>
      <w:r w:rsidR="00DD578C" w:rsidRPr="006F199C">
        <w:rPr>
          <w:rFonts w:ascii="Times New Roman" w:hAnsi="Times New Roman"/>
          <w:szCs w:val="24"/>
        </w:rPr>
        <w:t xml:space="preserve">not </w:t>
      </w:r>
      <w:r w:rsidR="00F539AA" w:rsidRPr="006F199C">
        <w:rPr>
          <w:rFonts w:ascii="Times New Roman" w:hAnsi="Times New Roman"/>
          <w:szCs w:val="24"/>
        </w:rPr>
        <w:t xml:space="preserve">be </w:t>
      </w:r>
      <w:r w:rsidR="00C54282" w:rsidRPr="006F199C">
        <w:rPr>
          <w:rFonts w:ascii="Times New Roman" w:hAnsi="Times New Roman"/>
          <w:szCs w:val="24"/>
        </w:rPr>
        <w:t>a</w:t>
      </w:r>
      <w:r w:rsidR="00F539AA" w:rsidRPr="006F199C">
        <w:rPr>
          <w:rFonts w:ascii="Times New Roman" w:hAnsi="Times New Roman"/>
          <w:szCs w:val="24"/>
        </w:rPr>
        <w:t xml:space="preserve">ppropriate to tie the level of LIBA rate credits </w:t>
      </w:r>
      <w:r w:rsidR="00DD578C" w:rsidRPr="006F199C">
        <w:rPr>
          <w:rFonts w:ascii="Times New Roman" w:hAnsi="Times New Roman"/>
          <w:szCs w:val="24"/>
        </w:rPr>
        <w:t>to changes in</w:t>
      </w:r>
      <w:r w:rsidR="00F539AA" w:rsidRPr="006F199C">
        <w:rPr>
          <w:rFonts w:ascii="Times New Roman" w:hAnsi="Times New Roman"/>
          <w:szCs w:val="24"/>
        </w:rPr>
        <w:t xml:space="preserve"> adjustment schedules</w:t>
      </w:r>
      <w:r w:rsidR="00DD578C" w:rsidRPr="006F199C">
        <w:rPr>
          <w:rFonts w:ascii="Times New Roman" w:hAnsi="Times New Roman"/>
          <w:szCs w:val="24"/>
        </w:rPr>
        <w:t xml:space="preserve"> such as the Company’s proposed Schedule 93</w:t>
      </w:r>
      <w:r w:rsidR="00633F00" w:rsidRPr="006F199C">
        <w:rPr>
          <w:rFonts w:ascii="Times New Roman" w:hAnsi="Times New Roman"/>
          <w:szCs w:val="24"/>
        </w:rPr>
        <w:t>, because such rate adjustments</w:t>
      </w:r>
      <w:r w:rsidR="00F539AA" w:rsidRPr="006F199C">
        <w:rPr>
          <w:rFonts w:ascii="Times New Roman" w:hAnsi="Times New Roman"/>
          <w:szCs w:val="24"/>
        </w:rPr>
        <w:t xml:space="preserve"> are not a part of base revenues</w:t>
      </w:r>
      <w:r w:rsidR="000B386A" w:rsidRPr="006F199C">
        <w:rPr>
          <w:rFonts w:ascii="Times New Roman" w:hAnsi="Times New Roman"/>
          <w:szCs w:val="24"/>
        </w:rPr>
        <w:t xml:space="preserve"> and are subject to changes </w:t>
      </w:r>
      <w:proofErr w:type="gramStart"/>
      <w:r w:rsidR="000B386A" w:rsidRPr="006F199C">
        <w:rPr>
          <w:rFonts w:ascii="Times New Roman" w:hAnsi="Times New Roman"/>
          <w:szCs w:val="24"/>
        </w:rPr>
        <w:t>both up</w:t>
      </w:r>
      <w:r w:rsidR="00DE10CF" w:rsidRPr="006F199C">
        <w:rPr>
          <w:rFonts w:ascii="Times New Roman" w:hAnsi="Times New Roman"/>
          <w:szCs w:val="24"/>
        </w:rPr>
        <w:t xml:space="preserve"> </w:t>
      </w:r>
      <w:r w:rsidR="000B386A" w:rsidRPr="006F199C">
        <w:rPr>
          <w:rFonts w:ascii="Times New Roman" w:hAnsi="Times New Roman"/>
          <w:szCs w:val="24"/>
        </w:rPr>
        <w:t xml:space="preserve">and down </w:t>
      </w:r>
      <w:r w:rsidR="00DE10CF" w:rsidRPr="006F199C">
        <w:rPr>
          <w:rFonts w:ascii="Times New Roman" w:hAnsi="Times New Roman"/>
          <w:szCs w:val="24"/>
        </w:rPr>
        <w:t>to recover or</w:t>
      </w:r>
      <w:proofErr w:type="gramEnd"/>
      <w:r w:rsidR="00DE10CF" w:rsidRPr="006F199C">
        <w:rPr>
          <w:rFonts w:ascii="Times New Roman" w:hAnsi="Times New Roman"/>
          <w:szCs w:val="24"/>
        </w:rPr>
        <w:t xml:space="preserve"> refund</w:t>
      </w:r>
      <w:r w:rsidR="000B386A" w:rsidRPr="006F199C">
        <w:rPr>
          <w:rFonts w:ascii="Times New Roman" w:hAnsi="Times New Roman"/>
          <w:szCs w:val="24"/>
        </w:rPr>
        <w:t xml:space="preserve"> associated balances</w:t>
      </w:r>
      <w:r w:rsidRPr="006F199C">
        <w:rPr>
          <w:rFonts w:ascii="Times New Roman" w:hAnsi="Times New Roman"/>
          <w:szCs w:val="24"/>
        </w:rPr>
        <w:t>.</w:t>
      </w:r>
      <w:r w:rsidR="00F539AA" w:rsidRPr="006F199C">
        <w:rPr>
          <w:rFonts w:ascii="Times New Roman" w:hAnsi="Times New Roman"/>
          <w:szCs w:val="24"/>
        </w:rPr>
        <w:t xml:space="preserve">  </w:t>
      </w:r>
      <w:r w:rsidR="00F2486D" w:rsidRPr="006F199C">
        <w:rPr>
          <w:rFonts w:ascii="Times New Roman" w:hAnsi="Times New Roman"/>
          <w:szCs w:val="24"/>
        </w:rPr>
        <w:t xml:space="preserve">The Company has already proposed to increase the LIBA rate credits at two times the average residential customer increase for base rate changes in this filing.  The Schedule 93 adjustments are for </w:t>
      </w:r>
      <w:r w:rsidR="005C4EE5" w:rsidRPr="006F199C">
        <w:rPr>
          <w:rFonts w:ascii="Times New Roman" w:hAnsi="Times New Roman"/>
          <w:szCs w:val="24"/>
        </w:rPr>
        <w:t xml:space="preserve">surcharge </w:t>
      </w:r>
      <w:r w:rsidR="00F2486D" w:rsidRPr="006F199C">
        <w:rPr>
          <w:rFonts w:ascii="Times New Roman" w:hAnsi="Times New Roman"/>
          <w:szCs w:val="24"/>
        </w:rPr>
        <w:t xml:space="preserve">or </w:t>
      </w:r>
      <w:proofErr w:type="spellStart"/>
      <w:r w:rsidR="005C4EE5" w:rsidRPr="006F199C">
        <w:rPr>
          <w:rFonts w:ascii="Times New Roman" w:hAnsi="Times New Roman"/>
          <w:szCs w:val="24"/>
        </w:rPr>
        <w:t>surcredit</w:t>
      </w:r>
      <w:proofErr w:type="spellEnd"/>
      <w:r w:rsidR="005C4EE5" w:rsidRPr="006F199C">
        <w:rPr>
          <w:rFonts w:ascii="Times New Roman" w:hAnsi="Times New Roman"/>
          <w:szCs w:val="24"/>
        </w:rPr>
        <w:t xml:space="preserve"> </w:t>
      </w:r>
      <w:r w:rsidR="00F2486D" w:rsidRPr="006F199C">
        <w:rPr>
          <w:rFonts w:ascii="Times New Roman" w:hAnsi="Times New Roman"/>
          <w:szCs w:val="24"/>
        </w:rPr>
        <w:t xml:space="preserve">to customers of the deferral under the decoupling </w:t>
      </w:r>
      <w:r w:rsidR="00BB1B8B">
        <w:rPr>
          <w:rFonts w:ascii="Times New Roman" w:hAnsi="Times New Roman"/>
          <w:szCs w:val="24"/>
        </w:rPr>
        <w:t xml:space="preserve">mechanism. </w:t>
      </w:r>
      <w:r w:rsidR="00F2486D" w:rsidRPr="006F199C">
        <w:rPr>
          <w:rFonts w:ascii="Times New Roman" w:hAnsi="Times New Roman"/>
          <w:szCs w:val="24"/>
        </w:rPr>
        <w:t xml:space="preserve"> </w:t>
      </w:r>
      <w:r w:rsidR="00F539AA" w:rsidRPr="006F199C">
        <w:rPr>
          <w:rFonts w:ascii="Times New Roman" w:hAnsi="Times New Roman"/>
          <w:szCs w:val="24"/>
        </w:rPr>
        <w:t>LIBA rate credits are not modified with price changes related to other</w:t>
      </w:r>
      <w:r w:rsidR="00F2486D" w:rsidRPr="006F199C">
        <w:rPr>
          <w:rFonts w:ascii="Times New Roman" w:hAnsi="Times New Roman"/>
          <w:szCs w:val="24"/>
        </w:rPr>
        <w:t xml:space="preserve"> </w:t>
      </w:r>
      <w:r w:rsidR="00F539AA" w:rsidRPr="006F199C">
        <w:rPr>
          <w:rFonts w:ascii="Times New Roman" w:hAnsi="Times New Roman"/>
          <w:szCs w:val="24"/>
        </w:rPr>
        <w:t>adjustment schedules that are not a part of base revenue such as the Schedule 191</w:t>
      </w:r>
      <w:r w:rsidR="00F2486D" w:rsidRPr="006F199C">
        <w:rPr>
          <w:rFonts w:ascii="Times New Roman" w:hAnsi="Times New Roman"/>
          <w:szCs w:val="24"/>
        </w:rPr>
        <w:t xml:space="preserve">, </w:t>
      </w:r>
      <w:r w:rsidR="00F539AA" w:rsidRPr="006F199C">
        <w:rPr>
          <w:rFonts w:ascii="Times New Roman" w:hAnsi="Times New Roman"/>
          <w:szCs w:val="24"/>
        </w:rPr>
        <w:t xml:space="preserve">System Benefits Charge, </w:t>
      </w:r>
      <w:r w:rsidR="00A535E3" w:rsidRPr="006F199C">
        <w:rPr>
          <w:rFonts w:ascii="Times New Roman" w:hAnsi="Times New Roman"/>
          <w:szCs w:val="24"/>
        </w:rPr>
        <w:t>or the Schedule 95</w:t>
      </w:r>
      <w:r w:rsidR="00F2486D" w:rsidRPr="006F199C">
        <w:rPr>
          <w:rFonts w:ascii="Times New Roman" w:hAnsi="Times New Roman"/>
          <w:szCs w:val="24"/>
        </w:rPr>
        <w:t>,</w:t>
      </w:r>
      <w:r w:rsidR="00A535E3" w:rsidRPr="006F199C">
        <w:rPr>
          <w:rFonts w:ascii="Times New Roman" w:hAnsi="Times New Roman"/>
          <w:szCs w:val="24"/>
        </w:rPr>
        <w:t xml:space="preserve"> Renewable Energy Revenue Adjustment.</w:t>
      </w:r>
      <w:r w:rsidRPr="006F199C">
        <w:rPr>
          <w:rFonts w:ascii="Times New Roman" w:hAnsi="Times New Roman"/>
          <w:szCs w:val="24"/>
        </w:rPr>
        <w:t xml:space="preserve">  </w:t>
      </w:r>
      <w:r w:rsidR="00F2486D" w:rsidRPr="006F199C">
        <w:rPr>
          <w:rFonts w:ascii="Times New Roman" w:hAnsi="Times New Roman"/>
          <w:szCs w:val="24"/>
        </w:rPr>
        <w:t>Changing LIBA rate credits for temporary rate adjustments may result in confusion if LIBA credits go up and down</w:t>
      </w:r>
      <w:r w:rsidR="004120D4" w:rsidRPr="006F199C">
        <w:rPr>
          <w:rFonts w:ascii="Times New Roman" w:hAnsi="Times New Roman"/>
          <w:szCs w:val="24"/>
        </w:rPr>
        <w:t xml:space="preserve"> on a more frequent basis</w:t>
      </w:r>
      <w:r w:rsidR="00F2486D" w:rsidRPr="006F199C">
        <w:rPr>
          <w:rFonts w:ascii="Times New Roman" w:hAnsi="Times New Roman"/>
          <w:szCs w:val="24"/>
        </w:rPr>
        <w:t xml:space="preserve">.  </w:t>
      </w:r>
      <w:r w:rsidR="004677BC">
        <w:rPr>
          <w:rFonts w:ascii="Times New Roman" w:hAnsi="Times New Roman"/>
          <w:szCs w:val="24"/>
        </w:rPr>
        <w:t>Finally</w:t>
      </w:r>
      <w:r w:rsidR="00DE10CF" w:rsidRPr="006F199C">
        <w:rPr>
          <w:rFonts w:ascii="Times New Roman" w:hAnsi="Times New Roman"/>
          <w:szCs w:val="24"/>
        </w:rPr>
        <w:t xml:space="preserve">, </w:t>
      </w:r>
      <w:r w:rsidR="00F2486D" w:rsidRPr="006F199C">
        <w:rPr>
          <w:rFonts w:ascii="Times New Roman" w:hAnsi="Times New Roman"/>
          <w:szCs w:val="24"/>
        </w:rPr>
        <w:t xml:space="preserve">the Company has already agreed to include an assessment of the impact on low income customers in the evaluation of the </w:t>
      </w:r>
      <w:r w:rsidR="006C055D" w:rsidRPr="006F199C">
        <w:rPr>
          <w:rFonts w:ascii="Times New Roman" w:hAnsi="Times New Roman"/>
          <w:szCs w:val="24"/>
        </w:rPr>
        <w:t xml:space="preserve">decoupling </w:t>
      </w:r>
      <w:r w:rsidR="00F2486D" w:rsidRPr="006F199C">
        <w:rPr>
          <w:rFonts w:ascii="Times New Roman" w:hAnsi="Times New Roman"/>
          <w:szCs w:val="24"/>
        </w:rPr>
        <w:t xml:space="preserve">program.    </w:t>
      </w:r>
    </w:p>
    <w:p w:rsidR="00567C19" w:rsidRPr="00094ED5" w:rsidRDefault="004677BC" w:rsidP="00567C19">
      <w:pPr>
        <w:pStyle w:val="Heading1"/>
        <w:rPr>
          <w:rFonts w:ascii="Times New Roman" w:hAnsi="Times New Roman"/>
          <w:szCs w:val="24"/>
        </w:rPr>
      </w:pPr>
      <w:bookmarkStart w:id="7" w:name="_Toc447533892"/>
      <w:r>
        <w:rPr>
          <w:rFonts w:ascii="Times New Roman" w:hAnsi="Times New Roman"/>
          <w:szCs w:val="24"/>
        </w:rPr>
        <w:t>LOW-</w:t>
      </w:r>
      <w:r w:rsidR="00567C19" w:rsidRPr="00094ED5">
        <w:rPr>
          <w:rFonts w:ascii="Times New Roman" w:hAnsi="Times New Roman"/>
          <w:szCs w:val="24"/>
        </w:rPr>
        <w:t>INCOME PROGRAM</w:t>
      </w:r>
      <w:bookmarkEnd w:id="7"/>
      <w:r w:rsidR="00567C19" w:rsidRPr="00094ED5">
        <w:rPr>
          <w:rFonts w:ascii="Times New Roman" w:hAnsi="Times New Roman"/>
          <w:szCs w:val="24"/>
        </w:rPr>
        <w:t xml:space="preserve"> </w:t>
      </w:r>
    </w:p>
    <w:p w:rsidR="00567C19" w:rsidRPr="00B1786E" w:rsidRDefault="00567C19" w:rsidP="00567C19">
      <w:pPr>
        <w:rPr>
          <w:rFonts w:ascii="Times New Roman" w:hAnsi="Times New Roman"/>
          <w:b/>
          <w:szCs w:val="24"/>
          <w:u w:val="single"/>
        </w:rPr>
      </w:pPr>
      <w:r w:rsidRPr="00B1786E">
        <w:rPr>
          <w:rFonts w:ascii="Times New Roman" w:hAnsi="Times New Roman"/>
          <w:b/>
          <w:szCs w:val="24"/>
          <w:u w:val="single"/>
        </w:rPr>
        <w:t xml:space="preserve">Response </w:t>
      </w:r>
      <w:r w:rsidR="004120D4" w:rsidRPr="00B1786E">
        <w:rPr>
          <w:rFonts w:ascii="Times New Roman" w:hAnsi="Times New Roman"/>
          <w:b/>
          <w:szCs w:val="24"/>
          <w:u w:val="single"/>
        </w:rPr>
        <w:t>to</w:t>
      </w:r>
      <w:r w:rsidRPr="00B1786E">
        <w:rPr>
          <w:rFonts w:ascii="Times New Roman" w:hAnsi="Times New Roman"/>
          <w:b/>
          <w:szCs w:val="24"/>
          <w:u w:val="single"/>
        </w:rPr>
        <w:t xml:space="preserve"> </w:t>
      </w:r>
      <w:proofErr w:type="gramStart"/>
      <w:r w:rsidRPr="00B1786E">
        <w:rPr>
          <w:rFonts w:ascii="Times New Roman" w:hAnsi="Times New Roman"/>
          <w:b/>
          <w:szCs w:val="24"/>
          <w:u w:val="single"/>
        </w:rPr>
        <w:t>The</w:t>
      </w:r>
      <w:proofErr w:type="gramEnd"/>
      <w:r w:rsidRPr="00B1786E">
        <w:rPr>
          <w:rFonts w:ascii="Times New Roman" w:hAnsi="Times New Roman"/>
          <w:b/>
          <w:szCs w:val="24"/>
          <w:u w:val="single"/>
        </w:rPr>
        <w:t xml:space="preserve"> Energy Project </w:t>
      </w:r>
      <w:r w:rsidR="00DE10CF" w:rsidRPr="00B1786E">
        <w:rPr>
          <w:rFonts w:ascii="Times New Roman" w:hAnsi="Times New Roman"/>
          <w:b/>
          <w:szCs w:val="24"/>
          <w:u w:val="single"/>
        </w:rPr>
        <w:t>W</w:t>
      </w:r>
      <w:r w:rsidRPr="00B1786E">
        <w:rPr>
          <w:rFonts w:ascii="Times New Roman" w:hAnsi="Times New Roman"/>
          <w:b/>
          <w:szCs w:val="24"/>
          <w:u w:val="single"/>
        </w:rPr>
        <w:t>itness Mr. Collins</w:t>
      </w:r>
    </w:p>
    <w:p w:rsidR="00052047" w:rsidRPr="006F199C" w:rsidRDefault="00052047" w:rsidP="00052047">
      <w:pPr>
        <w:tabs>
          <w:tab w:val="left" w:pos="-720"/>
          <w:tab w:val="left" w:pos="0"/>
        </w:tabs>
        <w:suppressAutoHyphens/>
        <w:rPr>
          <w:rFonts w:ascii="Times New Roman" w:hAnsi="Times New Roman"/>
          <w:b/>
          <w:szCs w:val="24"/>
        </w:rPr>
      </w:pPr>
      <w:r w:rsidRPr="006F199C">
        <w:rPr>
          <w:rFonts w:ascii="Times New Roman" w:hAnsi="Times New Roman"/>
          <w:b/>
          <w:szCs w:val="24"/>
        </w:rPr>
        <w:t>Q.</w:t>
      </w:r>
      <w:r w:rsidRPr="006F199C">
        <w:rPr>
          <w:rFonts w:ascii="Times New Roman" w:hAnsi="Times New Roman"/>
          <w:b/>
          <w:szCs w:val="24"/>
        </w:rPr>
        <w:tab/>
      </w:r>
      <w:r w:rsidR="00E974BE" w:rsidRPr="006F199C">
        <w:rPr>
          <w:rFonts w:ascii="Times New Roman" w:hAnsi="Times New Roman"/>
          <w:b/>
          <w:szCs w:val="24"/>
        </w:rPr>
        <w:t xml:space="preserve">Please provide an overview of the </w:t>
      </w:r>
      <w:r w:rsidRPr="006F199C">
        <w:rPr>
          <w:rFonts w:ascii="Times New Roman" w:hAnsi="Times New Roman"/>
          <w:b/>
          <w:szCs w:val="24"/>
        </w:rPr>
        <w:t>Low Income Bill Assistance (LIBA) program</w:t>
      </w:r>
      <w:r w:rsidR="00E974BE" w:rsidRPr="006F199C">
        <w:rPr>
          <w:rFonts w:ascii="Times New Roman" w:hAnsi="Times New Roman"/>
          <w:b/>
          <w:szCs w:val="24"/>
        </w:rPr>
        <w:t>.</w:t>
      </w:r>
    </w:p>
    <w:p w:rsidR="00052047" w:rsidRPr="006F199C" w:rsidRDefault="00052047" w:rsidP="00052047">
      <w:pPr>
        <w:tabs>
          <w:tab w:val="left" w:pos="-720"/>
          <w:tab w:val="left" w:pos="0"/>
        </w:tabs>
        <w:suppressAutoHyphens/>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t>The LIBA program provides a bill discount to income eligible households during the winter heating months of November through April.  Customers are certified as eligible by the Company’s three partnering local agencies (Blue Mountain Action Council in Walla Walla, Northwest Community Action Center in Toppenish</w:t>
      </w:r>
      <w:r w:rsidR="004677BC">
        <w:rPr>
          <w:rFonts w:ascii="Times New Roman" w:hAnsi="Times New Roman"/>
          <w:szCs w:val="24"/>
        </w:rPr>
        <w:t>;</w:t>
      </w:r>
      <w:r w:rsidRPr="006F199C">
        <w:rPr>
          <w:rFonts w:ascii="Times New Roman" w:hAnsi="Times New Roman"/>
          <w:szCs w:val="24"/>
        </w:rPr>
        <w:t xml:space="preserve"> and the Opportunity Industrialization Center of Washington located in Yakima). </w:t>
      </w:r>
      <w:r w:rsidR="00BB1B8B">
        <w:rPr>
          <w:rFonts w:ascii="Times New Roman" w:hAnsi="Times New Roman"/>
          <w:szCs w:val="24"/>
        </w:rPr>
        <w:t xml:space="preserve"> </w:t>
      </w:r>
      <w:r w:rsidRPr="006F199C">
        <w:rPr>
          <w:rFonts w:ascii="Times New Roman" w:hAnsi="Times New Roman"/>
          <w:szCs w:val="24"/>
        </w:rPr>
        <w:t xml:space="preserve">The annual enrollment cap </w:t>
      </w:r>
      <w:r w:rsidR="0050012F">
        <w:rPr>
          <w:rFonts w:ascii="Times New Roman" w:hAnsi="Times New Roman"/>
          <w:szCs w:val="24"/>
        </w:rPr>
        <w:t>(i.e.</w:t>
      </w:r>
      <w:r w:rsidR="000F128E">
        <w:rPr>
          <w:rFonts w:ascii="Times New Roman" w:hAnsi="Times New Roman"/>
          <w:szCs w:val="24"/>
        </w:rPr>
        <w:t>,</w:t>
      </w:r>
      <w:r w:rsidR="0050012F">
        <w:rPr>
          <w:rFonts w:ascii="Times New Roman" w:hAnsi="Times New Roman"/>
          <w:szCs w:val="24"/>
        </w:rPr>
        <w:t xml:space="preserve"> the number of customers who will be certified to participate) </w:t>
      </w:r>
      <w:r w:rsidR="004F4178" w:rsidRPr="006F199C">
        <w:rPr>
          <w:rFonts w:ascii="Times New Roman" w:hAnsi="Times New Roman"/>
          <w:szCs w:val="24"/>
        </w:rPr>
        <w:t xml:space="preserve">for the program </w:t>
      </w:r>
      <w:r w:rsidR="009C0299">
        <w:rPr>
          <w:rFonts w:ascii="Times New Roman" w:hAnsi="Times New Roman"/>
          <w:szCs w:val="24"/>
        </w:rPr>
        <w:t>continues to be</w:t>
      </w:r>
      <w:r w:rsidRPr="006F199C">
        <w:rPr>
          <w:rFonts w:ascii="Times New Roman" w:hAnsi="Times New Roman"/>
          <w:szCs w:val="24"/>
        </w:rPr>
        <w:t xml:space="preserve"> 4,720</w:t>
      </w:r>
      <w:r w:rsidR="00DE10CF" w:rsidRPr="006F199C">
        <w:rPr>
          <w:rFonts w:ascii="Times New Roman" w:hAnsi="Times New Roman"/>
          <w:szCs w:val="24"/>
        </w:rPr>
        <w:t>, but the number of participants has grown</w:t>
      </w:r>
      <w:r w:rsidRPr="006F199C">
        <w:rPr>
          <w:rFonts w:ascii="Times New Roman" w:hAnsi="Times New Roman"/>
          <w:szCs w:val="24"/>
        </w:rPr>
        <w:t xml:space="preserve">.  Before the </w:t>
      </w:r>
      <w:r w:rsidR="00DE10CF" w:rsidRPr="006F199C">
        <w:rPr>
          <w:rFonts w:ascii="Times New Roman" w:hAnsi="Times New Roman"/>
          <w:szCs w:val="24"/>
        </w:rPr>
        <w:t xml:space="preserve">LIBA </w:t>
      </w:r>
      <w:r w:rsidRPr="006F199C">
        <w:rPr>
          <w:rFonts w:ascii="Times New Roman" w:hAnsi="Times New Roman"/>
          <w:szCs w:val="24"/>
        </w:rPr>
        <w:t xml:space="preserve">five-year plan (Five-Year Plan) was established in the </w:t>
      </w:r>
      <w:r w:rsidR="00DE10CF" w:rsidRPr="006F199C">
        <w:rPr>
          <w:rFonts w:ascii="Times New Roman" w:hAnsi="Times New Roman"/>
          <w:szCs w:val="24"/>
        </w:rPr>
        <w:t>s</w:t>
      </w:r>
      <w:r w:rsidRPr="006F199C">
        <w:rPr>
          <w:rFonts w:ascii="Times New Roman" w:hAnsi="Times New Roman"/>
          <w:szCs w:val="24"/>
        </w:rPr>
        <w:t xml:space="preserve">ettlement </w:t>
      </w:r>
      <w:r w:rsidR="00DE10CF" w:rsidRPr="006F199C">
        <w:rPr>
          <w:rFonts w:ascii="Times New Roman" w:hAnsi="Times New Roman"/>
          <w:szCs w:val="24"/>
        </w:rPr>
        <w:t>s</w:t>
      </w:r>
      <w:r w:rsidRPr="006F199C">
        <w:rPr>
          <w:rFonts w:ascii="Times New Roman" w:hAnsi="Times New Roman"/>
          <w:szCs w:val="24"/>
        </w:rPr>
        <w:t>tipulation in Docket UE-111190, all participants were enrolled in the LIBA program for a one</w:t>
      </w:r>
      <w:r w:rsidR="005C4EE5" w:rsidRPr="006F199C">
        <w:rPr>
          <w:rFonts w:ascii="Times New Roman" w:hAnsi="Times New Roman"/>
          <w:szCs w:val="24"/>
        </w:rPr>
        <w:t>-</w:t>
      </w:r>
      <w:r w:rsidRPr="006F199C">
        <w:rPr>
          <w:rFonts w:ascii="Times New Roman" w:hAnsi="Times New Roman"/>
          <w:szCs w:val="24"/>
        </w:rPr>
        <w:t>year period.  The number of households enrolled for a two</w:t>
      </w:r>
      <w:r w:rsidR="005C4EE5" w:rsidRPr="006F199C">
        <w:rPr>
          <w:rFonts w:ascii="Times New Roman" w:hAnsi="Times New Roman"/>
          <w:szCs w:val="24"/>
        </w:rPr>
        <w:t>-</w:t>
      </w:r>
      <w:r w:rsidRPr="006F199C">
        <w:rPr>
          <w:rFonts w:ascii="Times New Roman" w:hAnsi="Times New Roman"/>
          <w:szCs w:val="24"/>
        </w:rPr>
        <w:t>year period has gradually risen to 25</w:t>
      </w:r>
      <w:r w:rsidR="0007132E" w:rsidRPr="006F199C">
        <w:rPr>
          <w:rFonts w:ascii="Times New Roman" w:hAnsi="Times New Roman"/>
          <w:szCs w:val="24"/>
        </w:rPr>
        <w:t xml:space="preserve"> percent</w:t>
      </w:r>
      <w:r w:rsidRPr="006F199C">
        <w:rPr>
          <w:rFonts w:ascii="Times New Roman" w:hAnsi="Times New Roman"/>
          <w:szCs w:val="24"/>
        </w:rPr>
        <w:t xml:space="preserve"> in the current program year.</w:t>
      </w:r>
    </w:p>
    <w:p w:rsidR="00052047" w:rsidRPr="006F199C" w:rsidRDefault="00052047" w:rsidP="00052047">
      <w:pPr>
        <w:tabs>
          <w:tab w:val="left" w:pos="-720"/>
          <w:tab w:val="left" w:pos="0"/>
        </w:tabs>
        <w:suppressAutoHyphens/>
        <w:rPr>
          <w:rFonts w:ascii="Times New Roman" w:hAnsi="Times New Roman"/>
          <w:szCs w:val="24"/>
        </w:rPr>
      </w:pPr>
      <w:r w:rsidRPr="006F199C">
        <w:rPr>
          <w:rFonts w:ascii="Times New Roman" w:hAnsi="Times New Roman"/>
          <w:szCs w:val="24"/>
        </w:rPr>
        <w:tab/>
      </w:r>
      <w:r w:rsidRPr="006F199C">
        <w:rPr>
          <w:rFonts w:ascii="Times New Roman" w:hAnsi="Times New Roman"/>
          <w:szCs w:val="24"/>
        </w:rPr>
        <w:tab/>
        <w:t xml:space="preserve">Each of </w:t>
      </w:r>
      <w:r w:rsidR="004F4178" w:rsidRPr="006F199C">
        <w:rPr>
          <w:rFonts w:ascii="Times New Roman" w:hAnsi="Times New Roman"/>
          <w:szCs w:val="24"/>
        </w:rPr>
        <w:t>the Company’s</w:t>
      </w:r>
      <w:r w:rsidRPr="006F199C">
        <w:rPr>
          <w:rFonts w:ascii="Times New Roman" w:hAnsi="Times New Roman"/>
          <w:szCs w:val="24"/>
        </w:rPr>
        <w:t xml:space="preserve"> three partnering agencies enrolls a specified portion of the annual enrollment cap.  </w:t>
      </w:r>
      <w:r w:rsidR="006C055D" w:rsidRPr="006F199C">
        <w:rPr>
          <w:rFonts w:ascii="Times New Roman" w:hAnsi="Times New Roman"/>
          <w:szCs w:val="24"/>
        </w:rPr>
        <w:t xml:space="preserve">The funding of the fee per certification by the local agencies has increased each year from 2012-2016.  </w:t>
      </w:r>
      <w:r w:rsidRPr="006F199C">
        <w:rPr>
          <w:rFonts w:ascii="Times New Roman" w:hAnsi="Times New Roman"/>
          <w:szCs w:val="24"/>
        </w:rPr>
        <w:t xml:space="preserve">Two of the three agencies have not enrolled their maximum number of customers every program year.  Because the agencies have not yet met the maximum cap and enrollments have gradually grown, the funding level remains sufficient at this time.  Increasing the participation numbers may strain the resources of </w:t>
      </w:r>
      <w:r w:rsidR="004F4178" w:rsidRPr="006F199C">
        <w:rPr>
          <w:rFonts w:ascii="Times New Roman" w:hAnsi="Times New Roman"/>
          <w:szCs w:val="24"/>
        </w:rPr>
        <w:t xml:space="preserve">the </w:t>
      </w:r>
      <w:r w:rsidRPr="006F199C">
        <w:rPr>
          <w:rFonts w:ascii="Times New Roman" w:hAnsi="Times New Roman"/>
          <w:szCs w:val="24"/>
        </w:rPr>
        <w:t>agencies that determine household income eligibility.  This will be one of the program components discussed in upcoming collaborative meetings.</w:t>
      </w:r>
    </w:p>
    <w:p w:rsidR="00052047" w:rsidRPr="006F199C" w:rsidRDefault="00052047" w:rsidP="00052047">
      <w:pPr>
        <w:rPr>
          <w:rFonts w:ascii="Times New Roman" w:hAnsi="Times New Roman"/>
          <w:b/>
          <w:szCs w:val="24"/>
        </w:rPr>
      </w:pPr>
      <w:r w:rsidRPr="006F199C">
        <w:rPr>
          <w:rFonts w:ascii="Times New Roman" w:hAnsi="Times New Roman"/>
          <w:b/>
          <w:szCs w:val="24"/>
        </w:rPr>
        <w:t>Q.</w:t>
      </w:r>
      <w:r w:rsidRPr="006F199C">
        <w:rPr>
          <w:rFonts w:ascii="Times New Roman" w:hAnsi="Times New Roman"/>
          <w:b/>
          <w:szCs w:val="24"/>
        </w:rPr>
        <w:tab/>
      </w:r>
      <w:r w:rsidR="006C055D" w:rsidRPr="006F199C">
        <w:rPr>
          <w:rFonts w:ascii="Times New Roman" w:hAnsi="Times New Roman"/>
          <w:b/>
          <w:szCs w:val="24"/>
        </w:rPr>
        <w:t>Please clarify</w:t>
      </w:r>
      <w:r w:rsidRPr="006F199C">
        <w:rPr>
          <w:rFonts w:ascii="Times New Roman" w:hAnsi="Times New Roman"/>
          <w:b/>
          <w:szCs w:val="24"/>
        </w:rPr>
        <w:t xml:space="preserve"> </w:t>
      </w:r>
      <w:r w:rsidR="000F128E">
        <w:rPr>
          <w:rFonts w:ascii="Times New Roman" w:hAnsi="Times New Roman"/>
          <w:b/>
          <w:szCs w:val="24"/>
        </w:rPr>
        <w:t>the Energy Project’s</w:t>
      </w:r>
      <w:r w:rsidRPr="006F199C">
        <w:rPr>
          <w:rFonts w:ascii="Times New Roman" w:hAnsi="Times New Roman"/>
          <w:b/>
          <w:szCs w:val="24"/>
        </w:rPr>
        <w:t xml:space="preserve"> </w:t>
      </w:r>
      <w:r w:rsidR="00277A71" w:rsidRPr="006F199C">
        <w:rPr>
          <w:rFonts w:ascii="Times New Roman" w:hAnsi="Times New Roman"/>
          <w:b/>
          <w:szCs w:val="24"/>
        </w:rPr>
        <w:t>statements regarding</w:t>
      </w:r>
      <w:r w:rsidRPr="006F199C">
        <w:rPr>
          <w:rFonts w:ascii="Times New Roman" w:hAnsi="Times New Roman"/>
          <w:b/>
          <w:szCs w:val="24"/>
        </w:rPr>
        <w:t xml:space="preserve"> the </w:t>
      </w:r>
      <w:r w:rsidR="002C2D4B" w:rsidRPr="006F199C">
        <w:rPr>
          <w:rFonts w:ascii="Times New Roman" w:hAnsi="Times New Roman"/>
          <w:b/>
          <w:szCs w:val="24"/>
        </w:rPr>
        <w:t>Five-</w:t>
      </w:r>
      <w:r w:rsidRPr="006F199C">
        <w:rPr>
          <w:rFonts w:ascii="Times New Roman" w:hAnsi="Times New Roman"/>
          <w:b/>
          <w:szCs w:val="24"/>
        </w:rPr>
        <w:t>Year Plan as it relates to the 2015 benchmark of 25 percent of clients certified for two years</w:t>
      </w:r>
      <w:r w:rsidR="006C055D" w:rsidRPr="006F199C">
        <w:rPr>
          <w:rFonts w:ascii="Times New Roman" w:hAnsi="Times New Roman"/>
          <w:b/>
          <w:szCs w:val="24"/>
        </w:rPr>
        <w:t>.</w:t>
      </w:r>
    </w:p>
    <w:p w:rsidR="00277A71" w:rsidRPr="006F199C" w:rsidRDefault="00052047" w:rsidP="00052047">
      <w:pPr>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r>
      <w:r w:rsidR="000F128E">
        <w:rPr>
          <w:rFonts w:ascii="Times New Roman" w:hAnsi="Times New Roman"/>
          <w:szCs w:val="24"/>
        </w:rPr>
        <w:t>The Energy Project</w:t>
      </w:r>
      <w:r w:rsidRPr="006F199C">
        <w:rPr>
          <w:rFonts w:ascii="Times New Roman" w:hAnsi="Times New Roman"/>
          <w:szCs w:val="24"/>
        </w:rPr>
        <w:t xml:space="preserve"> stated in testimony </w:t>
      </w:r>
      <w:r w:rsidR="00E974BE" w:rsidRPr="006F199C">
        <w:rPr>
          <w:rFonts w:ascii="Times New Roman" w:hAnsi="Times New Roman"/>
          <w:szCs w:val="24"/>
        </w:rPr>
        <w:t>his</w:t>
      </w:r>
      <w:r w:rsidRPr="006F199C">
        <w:rPr>
          <w:rFonts w:ascii="Times New Roman" w:hAnsi="Times New Roman"/>
          <w:szCs w:val="24"/>
        </w:rPr>
        <w:t xml:space="preserve"> understanding of</w:t>
      </w:r>
      <w:r w:rsidR="00D03DE9" w:rsidRPr="006F199C">
        <w:rPr>
          <w:rFonts w:ascii="Times New Roman" w:hAnsi="Times New Roman"/>
          <w:szCs w:val="24"/>
        </w:rPr>
        <w:t xml:space="preserve"> the </w:t>
      </w:r>
      <w:r w:rsidR="002C2D4B" w:rsidRPr="006F199C">
        <w:rPr>
          <w:rFonts w:ascii="Times New Roman" w:hAnsi="Times New Roman"/>
          <w:szCs w:val="24"/>
        </w:rPr>
        <w:t>Five-</w:t>
      </w:r>
      <w:r w:rsidR="00D03DE9" w:rsidRPr="006F199C">
        <w:rPr>
          <w:rFonts w:ascii="Times New Roman" w:hAnsi="Times New Roman"/>
          <w:szCs w:val="24"/>
        </w:rPr>
        <w:t>Year Plan that it would have a goal of</w:t>
      </w:r>
      <w:r w:rsidRPr="006F199C">
        <w:rPr>
          <w:rFonts w:ascii="Times New Roman" w:hAnsi="Times New Roman"/>
          <w:szCs w:val="24"/>
        </w:rPr>
        <w:t xml:space="preserve"> “25 percent of all eligible customers being certified by the year 2015.”</w:t>
      </w:r>
      <w:r w:rsidRPr="006F199C">
        <w:rPr>
          <w:rStyle w:val="FootnoteReference"/>
          <w:rFonts w:ascii="Times New Roman" w:hAnsi="Times New Roman"/>
          <w:szCs w:val="24"/>
          <w:vertAlign w:val="superscript"/>
        </w:rPr>
        <w:footnoteReference w:id="13"/>
      </w:r>
      <w:r w:rsidRPr="006F199C">
        <w:rPr>
          <w:rFonts w:ascii="Times New Roman" w:hAnsi="Times New Roman"/>
          <w:szCs w:val="24"/>
        </w:rPr>
        <w:t xml:space="preserve">  </w:t>
      </w:r>
      <w:r w:rsidR="00277A71" w:rsidRPr="00B1786E">
        <w:rPr>
          <w:rFonts w:ascii="Times New Roman" w:hAnsi="Times New Roman"/>
          <w:szCs w:val="24"/>
        </w:rPr>
        <w:t>To clarify</w:t>
      </w:r>
      <w:r w:rsidRPr="001F0C43">
        <w:rPr>
          <w:rFonts w:ascii="Times New Roman" w:hAnsi="Times New Roman"/>
          <w:szCs w:val="24"/>
        </w:rPr>
        <w:t xml:space="preserve">, the </w:t>
      </w:r>
      <w:r w:rsidR="002C2D4B" w:rsidRPr="001F0C43">
        <w:rPr>
          <w:rFonts w:ascii="Times New Roman" w:hAnsi="Times New Roman"/>
          <w:szCs w:val="24"/>
        </w:rPr>
        <w:t>Five-</w:t>
      </w:r>
      <w:r w:rsidRPr="006F199C">
        <w:rPr>
          <w:rFonts w:ascii="Times New Roman" w:hAnsi="Times New Roman"/>
          <w:szCs w:val="24"/>
        </w:rPr>
        <w:t>Year Plan</w:t>
      </w:r>
      <w:r w:rsidR="00277A71" w:rsidRPr="006F199C">
        <w:rPr>
          <w:rFonts w:ascii="Times New Roman" w:hAnsi="Times New Roman"/>
          <w:szCs w:val="24"/>
        </w:rPr>
        <w:t xml:space="preserve"> states: </w:t>
      </w:r>
    </w:p>
    <w:p w:rsidR="00277A71" w:rsidRPr="00B1786E" w:rsidRDefault="00052047" w:rsidP="000F128E">
      <w:pPr>
        <w:spacing w:line="240" w:lineRule="auto"/>
        <w:ind w:left="1440" w:right="1080" w:firstLine="0"/>
        <w:rPr>
          <w:rFonts w:ascii="Times New Roman" w:hAnsi="Times New Roman"/>
          <w:szCs w:val="24"/>
        </w:rPr>
      </w:pPr>
      <w:r w:rsidRPr="006F199C">
        <w:rPr>
          <w:rFonts w:ascii="Times New Roman" w:hAnsi="Times New Roman"/>
          <w:szCs w:val="24"/>
        </w:rPr>
        <w:t xml:space="preserve">Certify a share of the client population to be eligible for a two-year period.  Beginning in 2012, </w:t>
      </w:r>
      <w:r w:rsidR="00594F34">
        <w:rPr>
          <w:rFonts w:ascii="Times New Roman" w:hAnsi="Times New Roman"/>
          <w:szCs w:val="24"/>
        </w:rPr>
        <w:t>ten</w:t>
      </w:r>
      <w:r w:rsidRPr="006F199C">
        <w:rPr>
          <w:rFonts w:ascii="Times New Roman" w:hAnsi="Times New Roman"/>
          <w:szCs w:val="24"/>
        </w:rPr>
        <w:t xml:space="preserve"> percent of clients will be certified as eligible for a two-year period, and in each of the following three program years, an additional five percent of clients will be certified for two year</w:t>
      </w:r>
      <w:r w:rsidR="002C2D4B" w:rsidRPr="006F199C">
        <w:rPr>
          <w:rFonts w:ascii="Times New Roman" w:hAnsi="Times New Roman"/>
          <w:szCs w:val="24"/>
        </w:rPr>
        <w:t>s</w:t>
      </w:r>
      <w:r w:rsidRPr="006F199C">
        <w:rPr>
          <w:rFonts w:ascii="Times New Roman" w:hAnsi="Times New Roman"/>
          <w:szCs w:val="24"/>
        </w:rPr>
        <w:t xml:space="preserve"> up to 25 percent in 2015.  Up to 40 percent of the customers participating in 2016 will be in some phase of two-year participation.</w:t>
      </w:r>
      <w:r w:rsidRPr="006F199C">
        <w:rPr>
          <w:rStyle w:val="FootnoteReference"/>
          <w:rFonts w:ascii="Times New Roman" w:hAnsi="Times New Roman"/>
          <w:szCs w:val="24"/>
          <w:vertAlign w:val="superscript"/>
        </w:rPr>
        <w:footnoteReference w:id="14"/>
      </w:r>
      <w:r w:rsidRPr="006F199C">
        <w:rPr>
          <w:rFonts w:ascii="Times New Roman" w:hAnsi="Times New Roman"/>
          <w:szCs w:val="24"/>
        </w:rPr>
        <w:t xml:space="preserve">  </w:t>
      </w:r>
    </w:p>
    <w:p w:rsidR="00277A71" w:rsidRPr="006F199C" w:rsidRDefault="00277A71" w:rsidP="00DF5724">
      <w:pPr>
        <w:suppressLineNumbers/>
        <w:spacing w:line="240" w:lineRule="auto"/>
        <w:ind w:left="1440" w:firstLine="0"/>
        <w:rPr>
          <w:rFonts w:ascii="Times New Roman" w:hAnsi="Times New Roman"/>
          <w:szCs w:val="24"/>
        </w:rPr>
      </w:pPr>
    </w:p>
    <w:p w:rsidR="00052047" w:rsidRPr="006F199C" w:rsidRDefault="00052047" w:rsidP="00094ED5">
      <w:pPr>
        <w:ind w:firstLine="0"/>
        <w:rPr>
          <w:rFonts w:ascii="Times New Roman" w:hAnsi="Times New Roman"/>
          <w:szCs w:val="24"/>
        </w:rPr>
      </w:pPr>
      <w:r w:rsidRPr="006F199C">
        <w:rPr>
          <w:rFonts w:ascii="Times New Roman" w:hAnsi="Times New Roman"/>
          <w:szCs w:val="24"/>
        </w:rPr>
        <w:t>Thus, the intent of the 2015 benchmark of 25 percent was a target for the number of customers certified as eligible for a two-year period, not for the total number of all eligible customers being certified.</w:t>
      </w:r>
    </w:p>
    <w:p w:rsidR="00BB1B8B" w:rsidRDefault="00052047" w:rsidP="00BB1B8B">
      <w:pPr>
        <w:widowControl w:val="0"/>
        <w:rPr>
          <w:rFonts w:ascii="Times New Roman" w:hAnsi="Times New Roman"/>
          <w:b/>
          <w:szCs w:val="24"/>
        </w:rPr>
      </w:pPr>
      <w:r w:rsidRPr="006F199C">
        <w:rPr>
          <w:rFonts w:ascii="Times New Roman" w:hAnsi="Times New Roman"/>
          <w:b/>
          <w:szCs w:val="24"/>
        </w:rPr>
        <w:t>Q.</w:t>
      </w:r>
      <w:r w:rsidRPr="006F199C">
        <w:rPr>
          <w:rFonts w:ascii="Times New Roman" w:hAnsi="Times New Roman"/>
          <w:b/>
          <w:szCs w:val="24"/>
        </w:rPr>
        <w:tab/>
      </w:r>
      <w:r w:rsidR="002C2D4B" w:rsidRPr="006F199C">
        <w:rPr>
          <w:rFonts w:ascii="Times New Roman" w:hAnsi="Times New Roman"/>
          <w:b/>
          <w:szCs w:val="24"/>
        </w:rPr>
        <w:t>Does the Company agree with</w:t>
      </w:r>
      <w:r w:rsidRPr="006F199C">
        <w:rPr>
          <w:rFonts w:ascii="Times New Roman" w:hAnsi="Times New Roman"/>
          <w:b/>
          <w:szCs w:val="24"/>
        </w:rPr>
        <w:t xml:space="preserve"> </w:t>
      </w:r>
      <w:r w:rsidR="000F128E">
        <w:rPr>
          <w:rFonts w:ascii="Times New Roman" w:hAnsi="Times New Roman"/>
          <w:b/>
          <w:szCs w:val="24"/>
        </w:rPr>
        <w:t>the Energy Project’s</w:t>
      </w:r>
      <w:r w:rsidRPr="006F199C">
        <w:rPr>
          <w:rFonts w:ascii="Times New Roman" w:hAnsi="Times New Roman"/>
          <w:b/>
          <w:szCs w:val="24"/>
        </w:rPr>
        <w:t xml:space="preserve"> suggestions </w:t>
      </w:r>
      <w:r w:rsidR="00D03DE9" w:rsidRPr="006F199C">
        <w:rPr>
          <w:rFonts w:ascii="Times New Roman" w:hAnsi="Times New Roman"/>
          <w:b/>
          <w:szCs w:val="24"/>
        </w:rPr>
        <w:t>regarding</w:t>
      </w:r>
      <w:r w:rsidRPr="006F199C">
        <w:rPr>
          <w:rFonts w:ascii="Times New Roman" w:hAnsi="Times New Roman"/>
          <w:b/>
          <w:szCs w:val="24"/>
        </w:rPr>
        <w:t xml:space="preserve"> the process of developing future modifications to the LIBA program?</w:t>
      </w:r>
    </w:p>
    <w:p w:rsidR="00052047" w:rsidRPr="006F199C" w:rsidRDefault="00052047" w:rsidP="00BB1B8B">
      <w:pPr>
        <w:widowControl w:val="0"/>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r>
      <w:r w:rsidR="002C2D4B" w:rsidRPr="006F199C">
        <w:rPr>
          <w:rFonts w:ascii="Times New Roman" w:hAnsi="Times New Roman"/>
          <w:szCs w:val="24"/>
        </w:rPr>
        <w:t xml:space="preserve">Yes. </w:t>
      </w:r>
      <w:r w:rsidR="005C4EE5" w:rsidRPr="006F199C">
        <w:rPr>
          <w:rFonts w:ascii="Times New Roman" w:hAnsi="Times New Roman"/>
          <w:szCs w:val="24"/>
        </w:rPr>
        <w:t xml:space="preserve"> </w:t>
      </w:r>
      <w:r w:rsidRPr="006F199C">
        <w:rPr>
          <w:rFonts w:ascii="Times New Roman" w:hAnsi="Times New Roman"/>
          <w:szCs w:val="24"/>
        </w:rPr>
        <w:t xml:space="preserve">The Company will convene a stakeholder group to discuss additional LIBA program changes to be effective beginning with the 2017-2018 winter </w:t>
      </w:r>
      <w:proofErr w:type="gramStart"/>
      <w:r w:rsidRPr="006F199C">
        <w:rPr>
          <w:rFonts w:ascii="Times New Roman" w:hAnsi="Times New Roman"/>
          <w:szCs w:val="24"/>
        </w:rPr>
        <w:t>season</w:t>
      </w:r>
      <w:proofErr w:type="gramEnd"/>
      <w:r w:rsidRPr="006F199C">
        <w:rPr>
          <w:rFonts w:ascii="Times New Roman" w:hAnsi="Times New Roman"/>
          <w:szCs w:val="24"/>
        </w:rPr>
        <w:t xml:space="preserve">, as described in </w:t>
      </w:r>
      <w:r w:rsidR="000F128E">
        <w:rPr>
          <w:rFonts w:ascii="Times New Roman" w:hAnsi="Times New Roman"/>
          <w:szCs w:val="24"/>
        </w:rPr>
        <w:t>NWEC’s</w:t>
      </w:r>
      <w:r w:rsidRPr="006F199C">
        <w:rPr>
          <w:rFonts w:ascii="Times New Roman" w:hAnsi="Times New Roman"/>
          <w:szCs w:val="24"/>
        </w:rPr>
        <w:t xml:space="preserve"> testimony.  </w:t>
      </w:r>
      <w:r w:rsidR="00687DC9" w:rsidRPr="006F199C">
        <w:rPr>
          <w:rFonts w:ascii="Times New Roman" w:hAnsi="Times New Roman"/>
          <w:szCs w:val="24"/>
        </w:rPr>
        <w:t>T</w:t>
      </w:r>
      <w:r w:rsidRPr="006F199C">
        <w:rPr>
          <w:rFonts w:ascii="Times New Roman" w:hAnsi="Times New Roman"/>
          <w:szCs w:val="24"/>
        </w:rPr>
        <w:t xml:space="preserve">he Company agrees that a stakeholder group addressing the </w:t>
      </w:r>
      <w:r w:rsidR="002C2D4B" w:rsidRPr="006F199C">
        <w:rPr>
          <w:rFonts w:ascii="Times New Roman" w:hAnsi="Times New Roman"/>
          <w:szCs w:val="24"/>
        </w:rPr>
        <w:t>l</w:t>
      </w:r>
      <w:r w:rsidR="000F128E">
        <w:rPr>
          <w:rFonts w:ascii="Times New Roman" w:hAnsi="Times New Roman"/>
          <w:szCs w:val="24"/>
        </w:rPr>
        <w:t>ow-</w:t>
      </w:r>
      <w:r w:rsidR="002C2D4B" w:rsidRPr="006F199C">
        <w:rPr>
          <w:rFonts w:ascii="Times New Roman" w:hAnsi="Times New Roman"/>
          <w:szCs w:val="24"/>
        </w:rPr>
        <w:t>i</w:t>
      </w:r>
      <w:r w:rsidRPr="006F199C">
        <w:rPr>
          <w:rFonts w:ascii="Times New Roman" w:hAnsi="Times New Roman"/>
          <w:szCs w:val="24"/>
        </w:rPr>
        <w:t xml:space="preserve">ncome </w:t>
      </w:r>
      <w:r w:rsidR="002C2D4B" w:rsidRPr="006F199C">
        <w:rPr>
          <w:rFonts w:ascii="Times New Roman" w:hAnsi="Times New Roman"/>
          <w:szCs w:val="24"/>
        </w:rPr>
        <w:t>w</w:t>
      </w:r>
      <w:r w:rsidRPr="006F199C">
        <w:rPr>
          <w:rFonts w:ascii="Times New Roman" w:hAnsi="Times New Roman"/>
          <w:szCs w:val="24"/>
        </w:rPr>
        <w:t xml:space="preserve">eatherization </w:t>
      </w:r>
      <w:r w:rsidR="002C2D4B" w:rsidRPr="006F199C">
        <w:rPr>
          <w:rFonts w:ascii="Times New Roman" w:hAnsi="Times New Roman"/>
          <w:szCs w:val="24"/>
        </w:rPr>
        <w:t>p</w:t>
      </w:r>
      <w:r w:rsidRPr="006F199C">
        <w:rPr>
          <w:rFonts w:ascii="Times New Roman" w:hAnsi="Times New Roman"/>
          <w:szCs w:val="24"/>
        </w:rPr>
        <w:t>rogram will be beneficial</w:t>
      </w:r>
      <w:r w:rsidR="00687DC9" w:rsidRPr="006F199C">
        <w:rPr>
          <w:rFonts w:ascii="Times New Roman" w:hAnsi="Times New Roman"/>
          <w:szCs w:val="24"/>
        </w:rPr>
        <w:t>.</w:t>
      </w:r>
      <w:r w:rsidRPr="006F199C">
        <w:rPr>
          <w:rFonts w:ascii="Times New Roman" w:hAnsi="Times New Roman"/>
          <w:szCs w:val="24"/>
        </w:rPr>
        <w:t xml:space="preserve"> </w:t>
      </w:r>
      <w:r w:rsidR="00687DC9" w:rsidRPr="006F199C">
        <w:rPr>
          <w:rFonts w:ascii="Times New Roman" w:hAnsi="Times New Roman"/>
          <w:szCs w:val="24"/>
        </w:rPr>
        <w:t xml:space="preserve"> T</w:t>
      </w:r>
      <w:r w:rsidRPr="006F199C">
        <w:rPr>
          <w:rFonts w:ascii="Times New Roman" w:hAnsi="Times New Roman"/>
          <w:szCs w:val="24"/>
        </w:rPr>
        <w:t xml:space="preserve">he collaborative for </w:t>
      </w:r>
      <w:r w:rsidR="002C2D4B" w:rsidRPr="006F199C">
        <w:rPr>
          <w:rFonts w:ascii="Times New Roman" w:hAnsi="Times New Roman"/>
          <w:szCs w:val="24"/>
        </w:rPr>
        <w:t>l</w:t>
      </w:r>
      <w:r w:rsidR="000F128E">
        <w:rPr>
          <w:rFonts w:ascii="Times New Roman" w:hAnsi="Times New Roman"/>
          <w:szCs w:val="24"/>
        </w:rPr>
        <w:t>ow-</w:t>
      </w:r>
      <w:r w:rsidR="002C2D4B" w:rsidRPr="006F199C">
        <w:rPr>
          <w:rFonts w:ascii="Times New Roman" w:hAnsi="Times New Roman"/>
          <w:szCs w:val="24"/>
        </w:rPr>
        <w:t>i</w:t>
      </w:r>
      <w:r w:rsidRPr="006F199C">
        <w:rPr>
          <w:rFonts w:ascii="Times New Roman" w:hAnsi="Times New Roman"/>
          <w:szCs w:val="24"/>
        </w:rPr>
        <w:t xml:space="preserve">ncome </w:t>
      </w:r>
      <w:r w:rsidR="002C2D4B" w:rsidRPr="006F199C">
        <w:rPr>
          <w:rFonts w:ascii="Times New Roman" w:hAnsi="Times New Roman"/>
          <w:szCs w:val="24"/>
        </w:rPr>
        <w:t>w</w:t>
      </w:r>
      <w:r w:rsidRPr="006F199C">
        <w:rPr>
          <w:rFonts w:ascii="Times New Roman" w:hAnsi="Times New Roman"/>
          <w:szCs w:val="24"/>
        </w:rPr>
        <w:t>eatherization should</w:t>
      </w:r>
      <w:r w:rsidR="00687DC9" w:rsidRPr="006F199C">
        <w:rPr>
          <w:rFonts w:ascii="Times New Roman" w:hAnsi="Times New Roman"/>
          <w:szCs w:val="24"/>
        </w:rPr>
        <w:t>, however,</w:t>
      </w:r>
      <w:r w:rsidRPr="006F199C">
        <w:rPr>
          <w:rFonts w:ascii="Times New Roman" w:hAnsi="Times New Roman"/>
          <w:szCs w:val="24"/>
        </w:rPr>
        <w:t xml:space="preserve"> be conducted separately from the LIBA collaborative </w:t>
      </w:r>
      <w:r w:rsidR="00D03DE9" w:rsidRPr="006F199C">
        <w:rPr>
          <w:rFonts w:ascii="Times New Roman" w:hAnsi="Times New Roman"/>
          <w:szCs w:val="24"/>
        </w:rPr>
        <w:t>since</w:t>
      </w:r>
      <w:r w:rsidRPr="006F199C">
        <w:rPr>
          <w:rFonts w:ascii="Times New Roman" w:hAnsi="Times New Roman"/>
          <w:szCs w:val="24"/>
        </w:rPr>
        <w:t xml:space="preserve"> the local agencies generally have </w:t>
      </w:r>
      <w:r w:rsidR="002C2D4B" w:rsidRPr="006F199C">
        <w:rPr>
          <w:rFonts w:ascii="Times New Roman" w:hAnsi="Times New Roman"/>
          <w:szCs w:val="24"/>
        </w:rPr>
        <w:t xml:space="preserve">different </w:t>
      </w:r>
      <w:r w:rsidRPr="006F199C">
        <w:rPr>
          <w:rFonts w:ascii="Times New Roman" w:hAnsi="Times New Roman"/>
          <w:szCs w:val="24"/>
        </w:rPr>
        <w:t xml:space="preserve">staff members </w:t>
      </w:r>
      <w:r w:rsidR="00687DC9" w:rsidRPr="006F199C">
        <w:rPr>
          <w:rFonts w:ascii="Times New Roman" w:hAnsi="Times New Roman"/>
          <w:szCs w:val="24"/>
        </w:rPr>
        <w:t xml:space="preserve">who </w:t>
      </w:r>
      <w:r w:rsidRPr="006F199C">
        <w:rPr>
          <w:rFonts w:ascii="Times New Roman" w:hAnsi="Times New Roman"/>
          <w:szCs w:val="24"/>
        </w:rPr>
        <w:t>are experts on energy assistance</w:t>
      </w:r>
      <w:r w:rsidR="000F128E">
        <w:rPr>
          <w:rFonts w:ascii="Times New Roman" w:hAnsi="Times New Roman"/>
          <w:szCs w:val="24"/>
        </w:rPr>
        <w:t xml:space="preserve"> and </w:t>
      </w:r>
      <w:r w:rsidRPr="006F199C">
        <w:rPr>
          <w:rFonts w:ascii="Times New Roman" w:hAnsi="Times New Roman"/>
          <w:szCs w:val="24"/>
        </w:rPr>
        <w:t>bill discount issues and other</w:t>
      </w:r>
      <w:r w:rsidR="00687DC9" w:rsidRPr="006F199C">
        <w:rPr>
          <w:rFonts w:ascii="Times New Roman" w:hAnsi="Times New Roman"/>
          <w:szCs w:val="24"/>
        </w:rPr>
        <w:t>s</w:t>
      </w:r>
      <w:r w:rsidRPr="006F199C">
        <w:rPr>
          <w:rFonts w:ascii="Times New Roman" w:hAnsi="Times New Roman"/>
          <w:szCs w:val="24"/>
        </w:rPr>
        <w:t xml:space="preserve"> </w:t>
      </w:r>
      <w:r w:rsidR="00687DC9" w:rsidRPr="006F199C">
        <w:rPr>
          <w:rFonts w:ascii="Times New Roman" w:hAnsi="Times New Roman"/>
          <w:szCs w:val="24"/>
        </w:rPr>
        <w:t xml:space="preserve">who </w:t>
      </w:r>
      <w:r w:rsidRPr="006F199C">
        <w:rPr>
          <w:rFonts w:ascii="Times New Roman" w:hAnsi="Times New Roman"/>
          <w:szCs w:val="24"/>
        </w:rPr>
        <w:t xml:space="preserve">are responsible for energy efficiency services.  </w:t>
      </w:r>
    </w:p>
    <w:p w:rsidR="00052047" w:rsidRPr="006F199C" w:rsidRDefault="00052047" w:rsidP="00052047">
      <w:pPr>
        <w:rPr>
          <w:rFonts w:ascii="Times New Roman" w:hAnsi="Times New Roman"/>
          <w:b/>
          <w:szCs w:val="24"/>
        </w:rPr>
      </w:pPr>
      <w:r w:rsidRPr="006F199C">
        <w:rPr>
          <w:rFonts w:ascii="Times New Roman" w:hAnsi="Times New Roman"/>
          <w:b/>
          <w:szCs w:val="24"/>
        </w:rPr>
        <w:t>Q.</w:t>
      </w:r>
      <w:r w:rsidRPr="006F199C">
        <w:rPr>
          <w:rFonts w:ascii="Times New Roman" w:hAnsi="Times New Roman"/>
          <w:b/>
          <w:szCs w:val="24"/>
        </w:rPr>
        <w:tab/>
      </w:r>
      <w:r w:rsidR="000F128E">
        <w:rPr>
          <w:rFonts w:ascii="Times New Roman" w:hAnsi="Times New Roman"/>
          <w:b/>
          <w:szCs w:val="24"/>
        </w:rPr>
        <w:t>NWEC</w:t>
      </w:r>
      <w:r w:rsidR="00441AA9" w:rsidRPr="006F199C">
        <w:rPr>
          <w:rFonts w:ascii="Times New Roman" w:hAnsi="Times New Roman"/>
          <w:b/>
          <w:szCs w:val="24"/>
        </w:rPr>
        <w:t xml:space="preserve"> recommends</w:t>
      </w:r>
      <w:r w:rsidRPr="006F199C">
        <w:rPr>
          <w:rFonts w:ascii="Times New Roman" w:hAnsi="Times New Roman"/>
          <w:b/>
          <w:szCs w:val="24"/>
        </w:rPr>
        <w:t xml:space="preserve"> </w:t>
      </w:r>
      <w:r w:rsidR="00687DC9" w:rsidRPr="006F199C">
        <w:rPr>
          <w:rFonts w:ascii="Times New Roman" w:hAnsi="Times New Roman"/>
          <w:b/>
          <w:szCs w:val="24"/>
        </w:rPr>
        <w:t>that a</w:t>
      </w:r>
      <w:r w:rsidRPr="006F199C">
        <w:rPr>
          <w:rFonts w:ascii="Times New Roman" w:hAnsi="Times New Roman"/>
          <w:b/>
          <w:szCs w:val="24"/>
        </w:rPr>
        <w:t xml:space="preserve"> professional facilitator be hired for the stakeholder collaborative</w:t>
      </w:r>
      <w:r w:rsidR="00441AA9" w:rsidRPr="006F199C">
        <w:rPr>
          <w:rFonts w:ascii="Times New Roman" w:hAnsi="Times New Roman"/>
          <w:b/>
          <w:szCs w:val="24"/>
        </w:rPr>
        <w:t>.</w:t>
      </w:r>
      <w:r w:rsidR="00855668" w:rsidRPr="00855668">
        <w:rPr>
          <w:rStyle w:val="FootnoteReference"/>
          <w:rFonts w:ascii="Times New Roman" w:hAnsi="Times New Roman"/>
          <w:b/>
          <w:szCs w:val="24"/>
          <w:vertAlign w:val="superscript"/>
        </w:rPr>
        <w:footnoteReference w:id="15"/>
      </w:r>
      <w:r w:rsidR="00441AA9" w:rsidRPr="006F199C">
        <w:rPr>
          <w:rFonts w:ascii="Times New Roman" w:hAnsi="Times New Roman"/>
          <w:b/>
          <w:szCs w:val="24"/>
        </w:rPr>
        <w:t xml:space="preserve">  How do you respond</w:t>
      </w:r>
      <w:r w:rsidRPr="006F199C">
        <w:rPr>
          <w:rFonts w:ascii="Times New Roman" w:hAnsi="Times New Roman"/>
          <w:b/>
          <w:szCs w:val="24"/>
        </w:rPr>
        <w:t>?</w:t>
      </w:r>
    </w:p>
    <w:p w:rsidR="00052047" w:rsidRPr="006F199C" w:rsidRDefault="00052047" w:rsidP="00052047">
      <w:pPr>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t>The group has had positive results without a facilitator</w:t>
      </w:r>
      <w:r w:rsidR="00687DC9" w:rsidRPr="006F199C">
        <w:rPr>
          <w:rFonts w:ascii="Times New Roman" w:hAnsi="Times New Roman"/>
          <w:szCs w:val="24"/>
        </w:rPr>
        <w:t>.</w:t>
      </w:r>
      <w:r w:rsidRPr="006F199C">
        <w:rPr>
          <w:rFonts w:ascii="Times New Roman" w:hAnsi="Times New Roman"/>
          <w:szCs w:val="24"/>
        </w:rPr>
        <w:t xml:space="preserve"> </w:t>
      </w:r>
      <w:r w:rsidR="00687DC9" w:rsidRPr="006F199C">
        <w:rPr>
          <w:rFonts w:ascii="Times New Roman" w:hAnsi="Times New Roman"/>
          <w:szCs w:val="24"/>
        </w:rPr>
        <w:t xml:space="preserve"> Collaborative participants</w:t>
      </w:r>
      <w:r w:rsidRPr="006F199C">
        <w:rPr>
          <w:rFonts w:ascii="Times New Roman" w:hAnsi="Times New Roman"/>
          <w:szCs w:val="24"/>
        </w:rPr>
        <w:t xml:space="preserve"> are respectful of each other and offer good ideas and discussion.  The extra cost to the program for </w:t>
      </w:r>
      <w:r w:rsidR="000F128E">
        <w:rPr>
          <w:rFonts w:ascii="Times New Roman" w:hAnsi="Times New Roman"/>
          <w:szCs w:val="24"/>
        </w:rPr>
        <w:t>a facilitator’s services</w:t>
      </w:r>
      <w:r w:rsidRPr="006F199C">
        <w:rPr>
          <w:rFonts w:ascii="Times New Roman" w:hAnsi="Times New Roman"/>
          <w:szCs w:val="24"/>
        </w:rPr>
        <w:t xml:space="preserve"> is not warranted.  Should any unresolved disagreements arise during the collaborative process, the Commission’s dispute resolution processes outlined in Dockets A-950243 and A-940351 are available to the parties in the collaborative.</w:t>
      </w:r>
    </w:p>
    <w:p w:rsidR="00DA1B21" w:rsidRPr="006F199C" w:rsidRDefault="00855668" w:rsidP="00DA1B21">
      <w:pPr>
        <w:rPr>
          <w:rFonts w:ascii="Times New Roman" w:hAnsi="Times New Roman"/>
          <w:b/>
          <w:szCs w:val="24"/>
        </w:rPr>
      </w:pPr>
      <w:r>
        <w:rPr>
          <w:rFonts w:ascii="Times New Roman" w:hAnsi="Times New Roman"/>
          <w:b/>
          <w:szCs w:val="24"/>
        </w:rPr>
        <w:t>Q.</w:t>
      </w:r>
      <w:r>
        <w:rPr>
          <w:rFonts w:ascii="Times New Roman" w:hAnsi="Times New Roman"/>
          <w:b/>
          <w:szCs w:val="24"/>
        </w:rPr>
        <w:tab/>
        <w:t xml:space="preserve">Mr. Collins </w:t>
      </w:r>
      <w:r w:rsidR="00DA1B21" w:rsidRPr="006F199C">
        <w:rPr>
          <w:rFonts w:ascii="Times New Roman" w:hAnsi="Times New Roman"/>
          <w:b/>
          <w:szCs w:val="24"/>
        </w:rPr>
        <w:t>discusses the need to establish funding and a timeline for a new study</w:t>
      </w:r>
      <w:r w:rsidR="000F128E">
        <w:rPr>
          <w:rFonts w:ascii="Times New Roman" w:hAnsi="Times New Roman"/>
          <w:b/>
          <w:szCs w:val="24"/>
        </w:rPr>
        <w:t xml:space="preserve"> to determine the number of low-</w:t>
      </w:r>
      <w:r w:rsidR="00DA1B21" w:rsidRPr="006F199C">
        <w:rPr>
          <w:rFonts w:ascii="Times New Roman" w:hAnsi="Times New Roman"/>
          <w:b/>
          <w:szCs w:val="24"/>
        </w:rPr>
        <w:t>income households within the Company’s service territory</w:t>
      </w:r>
      <w:r w:rsidR="000F128E">
        <w:rPr>
          <w:rFonts w:ascii="Times New Roman" w:hAnsi="Times New Roman"/>
          <w:b/>
          <w:szCs w:val="24"/>
        </w:rPr>
        <w:t>;</w:t>
      </w:r>
      <w:r w:rsidR="00DA1B21" w:rsidRPr="006F199C">
        <w:rPr>
          <w:rFonts w:ascii="Times New Roman" w:hAnsi="Times New Roman"/>
          <w:b/>
          <w:szCs w:val="24"/>
        </w:rPr>
        <w:t xml:space="preserve"> as </w:t>
      </w:r>
      <w:r w:rsidR="000F128E">
        <w:rPr>
          <w:rFonts w:ascii="Times New Roman" w:hAnsi="Times New Roman"/>
          <w:b/>
          <w:szCs w:val="24"/>
        </w:rPr>
        <w:t>well as the impact that a third-</w:t>
      </w:r>
      <w:r w:rsidR="00DA1B21" w:rsidRPr="006F199C">
        <w:rPr>
          <w:rFonts w:ascii="Times New Roman" w:hAnsi="Times New Roman"/>
          <w:b/>
          <w:szCs w:val="24"/>
        </w:rPr>
        <w:t>block rate design would have on low income customers.</w:t>
      </w:r>
      <w:r w:rsidRPr="00855668">
        <w:rPr>
          <w:rStyle w:val="FootnoteReference"/>
          <w:rFonts w:ascii="Times New Roman" w:hAnsi="Times New Roman"/>
          <w:b/>
          <w:szCs w:val="24"/>
          <w:vertAlign w:val="superscript"/>
        </w:rPr>
        <w:footnoteReference w:id="16"/>
      </w:r>
      <w:r w:rsidR="00DA1B21" w:rsidRPr="006F199C">
        <w:rPr>
          <w:rFonts w:ascii="Times New Roman" w:hAnsi="Times New Roman"/>
          <w:b/>
          <w:szCs w:val="24"/>
        </w:rPr>
        <w:t xml:space="preserve">  Please comment.</w:t>
      </w:r>
    </w:p>
    <w:p w:rsidR="00DA1B21" w:rsidRPr="00094ED5" w:rsidRDefault="00DA1B21" w:rsidP="00DA1B21">
      <w:pPr>
        <w:rPr>
          <w:rFonts w:ascii="Times New Roman" w:hAnsi="Times New Roman"/>
          <w:szCs w:val="24"/>
        </w:rPr>
      </w:pPr>
      <w:r w:rsidRPr="006F199C">
        <w:rPr>
          <w:rFonts w:ascii="Times New Roman" w:hAnsi="Times New Roman"/>
          <w:szCs w:val="24"/>
        </w:rPr>
        <w:t>A.</w:t>
      </w:r>
      <w:r w:rsidRPr="006F199C">
        <w:rPr>
          <w:rFonts w:ascii="Times New Roman" w:hAnsi="Times New Roman"/>
          <w:szCs w:val="24"/>
        </w:rPr>
        <w:tab/>
      </w:r>
      <w:r w:rsidR="0059368E" w:rsidRPr="006F199C">
        <w:rPr>
          <w:rFonts w:ascii="Times New Roman" w:hAnsi="Times New Roman"/>
          <w:szCs w:val="24"/>
        </w:rPr>
        <w:t>I agree</w:t>
      </w:r>
      <w:r w:rsidRPr="006F199C">
        <w:rPr>
          <w:rFonts w:ascii="Times New Roman" w:hAnsi="Times New Roman"/>
          <w:szCs w:val="24"/>
        </w:rPr>
        <w:t xml:space="preserve"> that this </w:t>
      </w:r>
      <w:r w:rsidR="00C43EFB" w:rsidRPr="006F199C">
        <w:rPr>
          <w:rFonts w:ascii="Times New Roman" w:hAnsi="Times New Roman"/>
          <w:szCs w:val="24"/>
        </w:rPr>
        <w:t xml:space="preserve">type of </w:t>
      </w:r>
      <w:r w:rsidRPr="006F199C">
        <w:rPr>
          <w:rFonts w:ascii="Times New Roman" w:hAnsi="Times New Roman"/>
          <w:szCs w:val="24"/>
        </w:rPr>
        <w:t xml:space="preserve">information </w:t>
      </w:r>
      <w:r w:rsidR="00DC6BF1" w:rsidRPr="006F199C">
        <w:rPr>
          <w:rFonts w:ascii="Times New Roman" w:hAnsi="Times New Roman"/>
          <w:szCs w:val="24"/>
        </w:rPr>
        <w:t>is</w:t>
      </w:r>
      <w:r w:rsidRPr="006F199C">
        <w:rPr>
          <w:rFonts w:ascii="Times New Roman" w:hAnsi="Times New Roman"/>
          <w:szCs w:val="24"/>
        </w:rPr>
        <w:t xml:space="preserve"> important for both the low-income collaborati</w:t>
      </w:r>
      <w:r w:rsidR="000F128E">
        <w:rPr>
          <w:rFonts w:ascii="Times New Roman" w:hAnsi="Times New Roman"/>
          <w:szCs w:val="24"/>
        </w:rPr>
        <w:t>ve as well as Staff’s proposed cost of service and rate d</w:t>
      </w:r>
      <w:r w:rsidRPr="006F199C">
        <w:rPr>
          <w:rFonts w:ascii="Times New Roman" w:hAnsi="Times New Roman"/>
          <w:szCs w:val="24"/>
        </w:rPr>
        <w:t>esign collaborative.</w:t>
      </w:r>
      <w:r w:rsidR="0059368E" w:rsidRPr="006F199C">
        <w:rPr>
          <w:rFonts w:ascii="Times New Roman" w:hAnsi="Times New Roman"/>
          <w:szCs w:val="24"/>
        </w:rPr>
        <w:t xml:space="preserve">  I do not</w:t>
      </w:r>
      <w:r w:rsidR="00367CAA">
        <w:rPr>
          <w:rFonts w:ascii="Times New Roman" w:hAnsi="Times New Roman"/>
          <w:szCs w:val="24"/>
        </w:rPr>
        <w:t>, however,</w:t>
      </w:r>
      <w:r w:rsidR="0059368E" w:rsidRPr="006F199C">
        <w:rPr>
          <w:rFonts w:ascii="Times New Roman" w:hAnsi="Times New Roman"/>
          <w:szCs w:val="24"/>
        </w:rPr>
        <w:t xml:space="preserve"> think that a new and potentially costly study is necessary.  Estimates of the number of low-income households in the Company’s service territory can be prepared from publicly available government sources.  Also</w:t>
      </w:r>
      <w:r w:rsidR="002B466F">
        <w:rPr>
          <w:rFonts w:ascii="Times New Roman" w:hAnsi="Times New Roman"/>
          <w:szCs w:val="24"/>
        </w:rPr>
        <w:t>,</w:t>
      </w:r>
      <w:r w:rsidR="0059368E" w:rsidRPr="006F199C">
        <w:rPr>
          <w:rFonts w:ascii="Times New Roman" w:hAnsi="Times New Roman"/>
          <w:szCs w:val="24"/>
        </w:rPr>
        <w:t xml:space="preserve"> information regarding the potential impacts to low-income </w:t>
      </w:r>
      <w:r w:rsidR="000F128E">
        <w:rPr>
          <w:rFonts w:ascii="Times New Roman" w:hAnsi="Times New Roman"/>
          <w:szCs w:val="24"/>
        </w:rPr>
        <w:t>customers of a third</w:t>
      </w:r>
      <w:r w:rsidR="000F128E">
        <w:rPr>
          <w:rFonts w:ascii="Times New Roman" w:hAnsi="Times New Roman"/>
          <w:szCs w:val="24"/>
        </w:rPr>
        <w:noBreakHyphen/>
        <w:t>energy-</w:t>
      </w:r>
      <w:r w:rsidR="006E4E5C" w:rsidRPr="006F199C">
        <w:rPr>
          <w:rFonts w:ascii="Times New Roman" w:hAnsi="Times New Roman"/>
          <w:szCs w:val="24"/>
        </w:rPr>
        <w:t>block rate design</w:t>
      </w:r>
      <w:r w:rsidR="0059368E" w:rsidRPr="006F199C">
        <w:rPr>
          <w:rFonts w:ascii="Times New Roman" w:hAnsi="Times New Roman"/>
          <w:szCs w:val="24"/>
        </w:rPr>
        <w:t xml:space="preserve"> can be developed from the Company’s billing data for Schedule 17</w:t>
      </w:r>
      <w:r w:rsidR="000F128E">
        <w:rPr>
          <w:rFonts w:ascii="Times New Roman" w:hAnsi="Times New Roman"/>
          <w:szCs w:val="24"/>
        </w:rPr>
        <w:t>,</w:t>
      </w:r>
      <w:r w:rsidR="0059368E" w:rsidRPr="006F199C">
        <w:rPr>
          <w:rFonts w:ascii="Times New Roman" w:hAnsi="Times New Roman"/>
          <w:szCs w:val="24"/>
        </w:rPr>
        <w:t xml:space="preserve"> as well as its residential consumption surveys.</w:t>
      </w:r>
      <w:r w:rsidR="00E07F67" w:rsidRPr="006F199C">
        <w:rPr>
          <w:rFonts w:ascii="Times New Roman" w:hAnsi="Times New Roman"/>
          <w:szCs w:val="24"/>
        </w:rPr>
        <w:t xml:space="preserve">  The Company agrees to discuss this </w:t>
      </w:r>
      <w:r w:rsidR="00DC6BF1" w:rsidRPr="006F199C">
        <w:rPr>
          <w:rFonts w:ascii="Times New Roman" w:hAnsi="Times New Roman"/>
          <w:szCs w:val="24"/>
        </w:rPr>
        <w:t>in the</w:t>
      </w:r>
      <w:r w:rsidR="00E07F67" w:rsidRPr="006F199C">
        <w:rPr>
          <w:rFonts w:ascii="Times New Roman" w:hAnsi="Times New Roman"/>
          <w:szCs w:val="24"/>
        </w:rPr>
        <w:t xml:space="preserve"> collaborative</w:t>
      </w:r>
      <w:r w:rsidR="00DC6BF1" w:rsidRPr="006F199C">
        <w:rPr>
          <w:rFonts w:ascii="Times New Roman" w:hAnsi="Times New Roman"/>
          <w:szCs w:val="24"/>
        </w:rPr>
        <w:t xml:space="preserve"> effort</w:t>
      </w:r>
      <w:r w:rsidR="00E07F67" w:rsidRPr="006F199C">
        <w:rPr>
          <w:rFonts w:ascii="Times New Roman" w:hAnsi="Times New Roman"/>
          <w:szCs w:val="24"/>
        </w:rPr>
        <w:t>s.</w:t>
      </w:r>
    </w:p>
    <w:p w:rsidR="00757308" w:rsidRPr="006F199C" w:rsidRDefault="00757308" w:rsidP="00757308">
      <w:pPr>
        <w:tabs>
          <w:tab w:val="left" w:pos="-720"/>
          <w:tab w:val="left" w:pos="0"/>
        </w:tabs>
        <w:suppressAutoHyphens/>
        <w:rPr>
          <w:rFonts w:ascii="Times New Roman" w:hAnsi="Times New Roman"/>
          <w:b/>
          <w:szCs w:val="24"/>
        </w:rPr>
      </w:pPr>
      <w:r w:rsidRPr="006F199C">
        <w:rPr>
          <w:rFonts w:ascii="Times New Roman" w:hAnsi="Times New Roman"/>
          <w:b/>
          <w:szCs w:val="24"/>
        </w:rPr>
        <w:t>Q.</w:t>
      </w:r>
      <w:r w:rsidRPr="006F199C">
        <w:rPr>
          <w:rFonts w:ascii="Times New Roman" w:hAnsi="Times New Roman"/>
          <w:b/>
          <w:szCs w:val="24"/>
        </w:rPr>
        <w:tab/>
      </w:r>
      <w:r w:rsidR="00D47647" w:rsidRPr="006F199C">
        <w:rPr>
          <w:rFonts w:ascii="Times New Roman" w:hAnsi="Times New Roman"/>
          <w:b/>
          <w:szCs w:val="24"/>
        </w:rPr>
        <w:t xml:space="preserve">Is </w:t>
      </w:r>
      <w:r w:rsidR="000F128E">
        <w:rPr>
          <w:rFonts w:ascii="Times New Roman" w:hAnsi="Times New Roman"/>
          <w:b/>
          <w:szCs w:val="24"/>
        </w:rPr>
        <w:t>the Energy Project’s claim</w:t>
      </w:r>
      <w:r w:rsidR="00D47647" w:rsidRPr="006F199C">
        <w:rPr>
          <w:rFonts w:ascii="Times New Roman" w:hAnsi="Times New Roman"/>
          <w:b/>
          <w:szCs w:val="24"/>
        </w:rPr>
        <w:t xml:space="preserve"> </w:t>
      </w:r>
      <w:r w:rsidRPr="006F199C">
        <w:rPr>
          <w:rFonts w:ascii="Times New Roman" w:hAnsi="Times New Roman"/>
          <w:b/>
          <w:szCs w:val="24"/>
        </w:rPr>
        <w:t>that the Company is proposing a higher rate increase to the residential class than the average class increase</w:t>
      </w:r>
      <w:r w:rsidR="00D47647" w:rsidRPr="006F199C">
        <w:rPr>
          <w:rFonts w:ascii="Times New Roman" w:hAnsi="Times New Roman"/>
          <w:b/>
          <w:szCs w:val="24"/>
        </w:rPr>
        <w:t xml:space="preserve"> correct?</w:t>
      </w:r>
      <w:r w:rsidR="00506ABF" w:rsidRPr="00506ABF">
        <w:rPr>
          <w:rStyle w:val="FootnoteReference"/>
          <w:rFonts w:ascii="Times New Roman" w:hAnsi="Times New Roman"/>
          <w:b/>
          <w:szCs w:val="24"/>
          <w:vertAlign w:val="superscript"/>
        </w:rPr>
        <w:footnoteReference w:id="17"/>
      </w:r>
    </w:p>
    <w:p w:rsidR="003E436A" w:rsidRPr="00094ED5" w:rsidRDefault="00757308" w:rsidP="00052047">
      <w:pPr>
        <w:tabs>
          <w:tab w:val="left" w:pos="-720"/>
          <w:tab w:val="left" w:pos="0"/>
        </w:tabs>
        <w:suppressAutoHyphens/>
        <w:rPr>
          <w:rFonts w:ascii="Times New Roman" w:hAnsi="Times New Roman"/>
          <w:b/>
          <w:szCs w:val="24"/>
          <w:u w:val="single"/>
        </w:rPr>
      </w:pPr>
      <w:r w:rsidRPr="006F199C">
        <w:rPr>
          <w:rFonts w:ascii="Times New Roman" w:hAnsi="Times New Roman"/>
          <w:szCs w:val="24"/>
        </w:rPr>
        <w:t>A.</w:t>
      </w:r>
      <w:r w:rsidRPr="006F199C">
        <w:rPr>
          <w:rFonts w:ascii="Times New Roman" w:hAnsi="Times New Roman"/>
          <w:szCs w:val="24"/>
        </w:rPr>
        <w:tab/>
        <w:t xml:space="preserve">No. </w:t>
      </w:r>
      <w:r w:rsidR="00DF5724">
        <w:rPr>
          <w:rFonts w:ascii="Times New Roman" w:hAnsi="Times New Roman"/>
          <w:szCs w:val="24"/>
        </w:rPr>
        <w:t xml:space="preserve"> </w:t>
      </w:r>
      <w:r w:rsidRPr="006F199C">
        <w:rPr>
          <w:rFonts w:ascii="Times New Roman" w:hAnsi="Times New Roman"/>
          <w:szCs w:val="24"/>
        </w:rPr>
        <w:t xml:space="preserve">The </w:t>
      </w:r>
      <w:r w:rsidR="00D47647" w:rsidRPr="006F199C">
        <w:rPr>
          <w:rFonts w:ascii="Times New Roman" w:hAnsi="Times New Roman"/>
          <w:szCs w:val="24"/>
        </w:rPr>
        <w:t xml:space="preserve">Company’s </w:t>
      </w:r>
      <w:r w:rsidRPr="006F199C">
        <w:rPr>
          <w:rFonts w:ascii="Times New Roman" w:hAnsi="Times New Roman"/>
          <w:szCs w:val="24"/>
        </w:rPr>
        <w:t xml:space="preserve">proposed residential class increase is the same as </w:t>
      </w:r>
      <w:r w:rsidR="00D47647" w:rsidRPr="006F199C">
        <w:rPr>
          <w:rFonts w:ascii="Times New Roman" w:hAnsi="Times New Roman"/>
          <w:szCs w:val="24"/>
        </w:rPr>
        <w:t>its proposed increase for all other customers</w:t>
      </w:r>
      <w:r w:rsidRPr="006F199C">
        <w:rPr>
          <w:rFonts w:ascii="Times New Roman" w:hAnsi="Times New Roman"/>
          <w:szCs w:val="24"/>
        </w:rPr>
        <w:t>.</w:t>
      </w:r>
    </w:p>
    <w:p w:rsidR="00266A5D" w:rsidRPr="00094ED5" w:rsidRDefault="000F128E" w:rsidP="00266A5D">
      <w:pPr>
        <w:pStyle w:val="Heading1"/>
        <w:rPr>
          <w:rFonts w:ascii="Times New Roman" w:hAnsi="Times New Roman"/>
          <w:szCs w:val="24"/>
        </w:rPr>
      </w:pPr>
      <w:bookmarkStart w:id="8" w:name="_Toc447533893"/>
      <w:r>
        <w:rPr>
          <w:rFonts w:ascii="Times New Roman" w:hAnsi="Times New Roman"/>
          <w:szCs w:val="24"/>
        </w:rPr>
        <w:t xml:space="preserve">RATE SPREAD and </w:t>
      </w:r>
      <w:r w:rsidR="00266A5D" w:rsidRPr="00094ED5">
        <w:rPr>
          <w:rFonts w:ascii="Times New Roman" w:hAnsi="Times New Roman"/>
          <w:szCs w:val="24"/>
        </w:rPr>
        <w:t>RATE DESIGN</w:t>
      </w:r>
      <w:bookmarkEnd w:id="8"/>
    </w:p>
    <w:p w:rsidR="00266A5D" w:rsidRPr="00094ED5" w:rsidRDefault="00266A5D" w:rsidP="00266A5D">
      <w:pPr>
        <w:rPr>
          <w:rFonts w:ascii="Times New Roman" w:hAnsi="Times New Roman"/>
          <w:b/>
          <w:szCs w:val="24"/>
          <w:u w:val="single"/>
        </w:rPr>
      </w:pPr>
      <w:r w:rsidRPr="00B1786E">
        <w:rPr>
          <w:rFonts w:ascii="Times New Roman" w:hAnsi="Times New Roman"/>
          <w:b/>
          <w:szCs w:val="24"/>
          <w:u w:val="single"/>
        </w:rPr>
        <w:t xml:space="preserve">Rebuttal of </w:t>
      </w:r>
      <w:r w:rsidR="00E22A15" w:rsidRPr="001F0C43">
        <w:rPr>
          <w:rFonts w:ascii="Times New Roman" w:hAnsi="Times New Roman"/>
          <w:b/>
          <w:szCs w:val="24"/>
          <w:u w:val="single"/>
        </w:rPr>
        <w:t xml:space="preserve">Boise </w:t>
      </w:r>
      <w:r w:rsidRPr="001F0C43">
        <w:rPr>
          <w:rFonts w:ascii="Times New Roman" w:hAnsi="Times New Roman"/>
          <w:b/>
          <w:szCs w:val="24"/>
          <w:u w:val="single"/>
        </w:rPr>
        <w:t xml:space="preserve">Witness Mr. </w:t>
      </w:r>
      <w:r w:rsidRPr="00094ED5">
        <w:rPr>
          <w:rFonts w:ascii="Times New Roman" w:hAnsi="Times New Roman"/>
          <w:b/>
          <w:szCs w:val="24"/>
          <w:u w:val="single"/>
        </w:rPr>
        <w:t>Mullins</w:t>
      </w:r>
    </w:p>
    <w:p w:rsidR="00E22A15" w:rsidRPr="00094ED5" w:rsidRDefault="00E22A15" w:rsidP="00094ED5">
      <w:pPr>
        <w:rPr>
          <w:rFonts w:ascii="Times New Roman" w:hAnsi="Times New Roman"/>
          <w:b/>
          <w:szCs w:val="24"/>
        </w:rPr>
      </w:pPr>
      <w:r w:rsidRPr="00094ED5">
        <w:rPr>
          <w:rFonts w:ascii="Times New Roman" w:hAnsi="Times New Roman"/>
          <w:b/>
          <w:szCs w:val="24"/>
        </w:rPr>
        <w:t>Q.</w:t>
      </w:r>
      <w:r w:rsidRPr="00094ED5">
        <w:rPr>
          <w:rFonts w:ascii="Times New Roman" w:hAnsi="Times New Roman"/>
          <w:b/>
          <w:szCs w:val="24"/>
        </w:rPr>
        <w:tab/>
        <w:t xml:space="preserve">Please describe </w:t>
      </w:r>
      <w:r w:rsidR="000F128E">
        <w:rPr>
          <w:rFonts w:ascii="Times New Roman" w:hAnsi="Times New Roman"/>
          <w:b/>
          <w:szCs w:val="24"/>
        </w:rPr>
        <w:t>Boise’s</w:t>
      </w:r>
      <w:r w:rsidRPr="00094ED5">
        <w:rPr>
          <w:rFonts w:ascii="Times New Roman" w:hAnsi="Times New Roman"/>
          <w:b/>
          <w:szCs w:val="24"/>
        </w:rPr>
        <w:t xml:space="preserve"> “rate design” recommendations</w:t>
      </w:r>
      <w:r w:rsidR="004E786C" w:rsidRPr="00094ED5">
        <w:rPr>
          <w:rFonts w:ascii="Times New Roman" w:hAnsi="Times New Roman"/>
          <w:b/>
          <w:szCs w:val="24"/>
        </w:rPr>
        <w:t xml:space="preserve"> and how this differs from the Company’s proposed rate design as explained in your direct testimony</w:t>
      </w:r>
      <w:r w:rsidRPr="00094ED5">
        <w:rPr>
          <w:rFonts w:ascii="Times New Roman" w:hAnsi="Times New Roman"/>
          <w:b/>
          <w:szCs w:val="24"/>
        </w:rPr>
        <w:t>.</w:t>
      </w:r>
    </w:p>
    <w:p w:rsidR="0022491E" w:rsidRPr="00094ED5" w:rsidRDefault="00E22A15" w:rsidP="00E22A15">
      <w:pPr>
        <w:rPr>
          <w:rFonts w:ascii="Times New Roman" w:hAnsi="Times New Roman"/>
          <w:szCs w:val="24"/>
        </w:rPr>
      </w:pPr>
      <w:r w:rsidRPr="00094ED5">
        <w:rPr>
          <w:rFonts w:ascii="Times New Roman" w:hAnsi="Times New Roman"/>
          <w:szCs w:val="24"/>
        </w:rPr>
        <w:t>A</w:t>
      </w:r>
      <w:r w:rsidR="00CA63A9">
        <w:rPr>
          <w:rFonts w:ascii="Times New Roman" w:hAnsi="Times New Roman"/>
          <w:szCs w:val="24"/>
        </w:rPr>
        <w:t>.</w:t>
      </w:r>
      <w:r w:rsidRPr="00094ED5">
        <w:rPr>
          <w:rFonts w:ascii="Times New Roman" w:hAnsi="Times New Roman"/>
          <w:szCs w:val="24"/>
        </w:rPr>
        <w:tab/>
      </w:r>
      <w:r w:rsidR="00367CAA">
        <w:rPr>
          <w:rFonts w:ascii="Times New Roman" w:hAnsi="Times New Roman"/>
          <w:szCs w:val="24"/>
        </w:rPr>
        <w:t xml:space="preserve">For all schedule </w:t>
      </w:r>
      <w:r w:rsidR="00367CAA" w:rsidRPr="00094ED5">
        <w:rPr>
          <w:rFonts w:ascii="Times New Roman" w:hAnsi="Times New Roman"/>
          <w:szCs w:val="24"/>
        </w:rPr>
        <w:t>48T customers</w:t>
      </w:r>
      <w:r w:rsidR="000F128E">
        <w:rPr>
          <w:rFonts w:ascii="Times New Roman" w:hAnsi="Times New Roman"/>
          <w:szCs w:val="24"/>
        </w:rPr>
        <w:t>—</w:t>
      </w:r>
      <w:r w:rsidR="00367CAA" w:rsidRPr="00094ED5">
        <w:rPr>
          <w:rFonts w:ascii="Times New Roman" w:hAnsi="Times New Roman"/>
          <w:szCs w:val="24"/>
        </w:rPr>
        <w:t>including</w:t>
      </w:r>
      <w:r w:rsidR="000F128E">
        <w:rPr>
          <w:rFonts w:ascii="Times New Roman" w:hAnsi="Times New Roman"/>
          <w:szCs w:val="24"/>
        </w:rPr>
        <w:t xml:space="preserve"> </w:t>
      </w:r>
      <w:r w:rsidR="00367CAA" w:rsidRPr="00094ED5">
        <w:rPr>
          <w:rFonts w:ascii="Times New Roman" w:hAnsi="Times New Roman"/>
          <w:szCs w:val="24"/>
        </w:rPr>
        <w:t>rates for primary, secondary, and dedicated facilities customers over 30 MW</w:t>
      </w:r>
      <w:r w:rsidR="000F128E">
        <w:rPr>
          <w:rFonts w:ascii="Times New Roman" w:hAnsi="Times New Roman"/>
          <w:szCs w:val="24"/>
        </w:rPr>
        <w:t>—</w:t>
      </w:r>
      <w:r w:rsidRPr="00094ED5">
        <w:rPr>
          <w:rFonts w:ascii="Times New Roman" w:hAnsi="Times New Roman"/>
          <w:szCs w:val="24"/>
        </w:rPr>
        <w:t>Mr.</w:t>
      </w:r>
      <w:r w:rsidR="000F128E">
        <w:rPr>
          <w:rFonts w:ascii="Times New Roman" w:hAnsi="Times New Roman"/>
          <w:szCs w:val="24"/>
        </w:rPr>
        <w:t xml:space="preserve"> </w:t>
      </w:r>
      <w:r w:rsidRPr="00094ED5">
        <w:rPr>
          <w:rFonts w:ascii="Times New Roman" w:hAnsi="Times New Roman"/>
          <w:szCs w:val="24"/>
        </w:rPr>
        <w:t>M</w:t>
      </w:r>
      <w:r w:rsidR="000F128E">
        <w:rPr>
          <w:rFonts w:ascii="Times New Roman" w:hAnsi="Times New Roman"/>
          <w:szCs w:val="24"/>
        </w:rPr>
        <w:t>ullins recommends applying a 25 </w:t>
      </w:r>
      <w:r w:rsidRPr="00094ED5">
        <w:rPr>
          <w:rFonts w:ascii="Times New Roman" w:hAnsi="Times New Roman"/>
          <w:szCs w:val="24"/>
        </w:rPr>
        <w:t xml:space="preserve">percent increase to the basic charges and then spreading the remaining </w:t>
      </w:r>
      <w:r w:rsidR="004C7B16" w:rsidRPr="00094ED5">
        <w:rPr>
          <w:rFonts w:ascii="Times New Roman" w:hAnsi="Times New Roman"/>
          <w:szCs w:val="24"/>
        </w:rPr>
        <w:t xml:space="preserve">allocated </w:t>
      </w:r>
      <w:r w:rsidRPr="00094ED5">
        <w:rPr>
          <w:rFonts w:ascii="Times New Roman" w:hAnsi="Times New Roman"/>
          <w:szCs w:val="24"/>
        </w:rPr>
        <w:t xml:space="preserve">increase </w:t>
      </w:r>
      <w:r w:rsidR="0013699D" w:rsidRPr="00094ED5">
        <w:rPr>
          <w:rFonts w:ascii="Times New Roman" w:hAnsi="Times New Roman"/>
          <w:szCs w:val="24"/>
        </w:rPr>
        <w:t>as an increase to demand charges.</w:t>
      </w:r>
      <w:r w:rsidR="00506ABF" w:rsidRPr="00506ABF">
        <w:rPr>
          <w:rStyle w:val="FootnoteReference"/>
          <w:rFonts w:ascii="Times New Roman" w:hAnsi="Times New Roman"/>
          <w:szCs w:val="24"/>
          <w:vertAlign w:val="superscript"/>
        </w:rPr>
        <w:footnoteReference w:id="18"/>
      </w:r>
      <w:r w:rsidR="0013699D" w:rsidRPr="00094ED5">
        <w:rPr>
          <w:rFonts w:ascii="Times New Roman" w:hAnsi="Times New Roman"/>
          <w:szCs w:val="24"/>
        </w:rPr>
        <w:t xml:space="preserve">  </w:t>
      </w:r>
      <w:r w:rsidR="004C7B16" w:rsidRPr="00094ED5">
        <w:rPr>
          <w:rFonts w:ascii="Times New Roman" w:hAnsi="Times New Roman"/>
          <w:szCs w:val="24"/>
        </w:rPr>
        <w:t xml:space="preserve"> </w:t>
      </w:r>
    </w:p>
    <w:p w:rsidR="00996324" w:rsidRPr="00094ED5" w:rsidRDefault="004E786C" w:rsidP="009338C6">
      <w:pPr>
        <w:ind w:firstLine="720"/>
        <w:rPr>
          <w:rFonts w:ascii="Times New Roman" w:hAnsi="Times New Roman"/>
          <w:szCs w:val="24"/>
        </w:rPr>
      </w:pPr>
      <w:r w:rsidRPr="00094ED5">
        <w:rPr>
          <w:rFonts w:ascii="Times New Roman" w:hAnsi="Times New Roman"/>
          <w:szCs w:val="24"/>
        </w:rPr>
        <w:t xml:space="preserve">In my direct testimony, I proposed </w:t>
      </w:r>
      <w:r w:rsidR="00613305" w:rsidRPr="00094ED5">
        <w:rPr>
          <w:rFonts w:ascii="Times New Roman" w:hAnsi="Times New Roman"/>
          <w:szCs w:val="24"/>
        </w:rPr>
        <w:t>to apply the class average increase to the billing elements in Schedule 48T, with the exception of rates for Schedule 48T-Dedicated Facilities (Dedicated Facilities)</w:t>
      </w:r>
      <w:r w:rsidR="000F128E">
        <w:rPr>
          <w:rFonts w:ascii="Times New Roman" w:hAnsi="Times New Roman"/>
          <w:szCs w:val="24"/>
        </w:rPr>
        <w:t>,</w:t>
      </w:r>
      <w:r w:rsidR="00613305" w:rsidRPr="00094ED5">
        <w:rPr>
          <w:rFonts w:ascii="Times New Roman" w:hAnsi="Times New Roman"/>
          <w:szCs w:val="24"/>
        </w:rPr>
        <w:t xml:space="preserve"> for which I proposed a higher increase to the demand charge and a smaller increase to the other billing elements.</w:t>
      </w:r>
      <w:r w:rsidR="00ED1A24" w:rsidRPr="00ED1A24">
        <w:rPr>
          <w:rStyle w:val="FootnoteReference"/>
          <w:rFonts w:ascii="Times New Roman" w:hAnsi="Times New Roman"/>
          <w:szCs w:val="24"/>
          <w:vertAlign w:val="superscript"/>
        </w:rPr>
        <w:footnoteReference w:id="19"/>
      </w:r>
      <w:r w:rsidR="00613305" w:rsidRPr="00094ED5">
        <w:rPr>
          <w:rFonts w:ascii="Times New Roman" w:hAnsi="Times New Roman"/>
          <w:szCs w:val="24"/>
        </w:rPr>
        <w:t xml:space="preserve">  </w:t>
      </w:r>
      <w:r w:rsidR="000F128E">
        <w:rPr>
          <w:rFonts w:ascii="Times New Roman" w:hAnsi="Times New Roman"/>
          <w:szCs w:val="24"/>
        </w:rPr>
        <w:t>Since I </w:t>
      </w:r>
      <w:r w:rsidR="00E77513" w:rsidRPr="00094ED5">
        <w:rPr>
          <w:rFonts w:ascii="Times New Roman" w:hAnsi="Times New Roman"/>
          <w:szCs w:val="24"/>
        </w:rPr>
        <w:t xml:space="preserve">proposed to exclude Schedule 48T customers from the decoupling mechanism, </w:t>
      </w:r>
      <w:r w:rsidR="00DE50BA" w:rsidRPr="00094ED5">
        <w:rPr>
          <w:rFonts w:ascii="Times New Roman" w:hAnsi="Times New Roman"/>
          <w:szCs w:val="24"/>
        </w:rPr>
        <w:t>I</w:t>
      </w:r>
      <w:r w:rsidR="000F128E">
        <w:rPr>
          <w:rFonts w:ascii="Times New Roman" w:hAnsi="Times New Roman"/>
          <w:szCs w:val="24"/>
        </w:rPr>
        <w:t> </w:t>
      </w:r>
      <w:r w:rsidR="00913F64" w:rsidRPr="00094ED5">
        <w:rPr>
          <w:rFonts w:ascii="Times New Roman" w:hAnsi="Times New Roman"/>
          <w:szCs w:val="24"/>
        </w:rPr>
        <w:t xml:space="preserve">looked to the cost of service study to </w:t>
      </w:r>
      <w:r w:rsidR="0022491E" w:rsidRPr="00094ED5">
        <w:rPr>
          <w:rFonts w:ascii="Times New Roman" w:hAnsi="Times New Roman"/>
          <w:szCs w:val="24"/>
        </w:rPr>
        <w:t>ensure</w:t>
      </w:r>
      <w:r w:rsidR="00913F64" w:rsidRPr="00094ED5">
        <w:rPr>
          <w:rFonts w:ascii="Times New Roman" w:hAnsi="Times New Roman"/>
          <w:szCs w:val="24"/>
        </w:rPr>
        <w:t xml:space="preserve"> </w:t>
      </w:r>
      <w:r w:rsidR="00367CAA">
        <w:rPr>
          <w:rFonts w:ascii="Times New Roman" w:hAnsi="Times New Roman"/>
          <w:szCs w:val="24"/>
        </w:rPr>
        <w:t xml:space="preserve">that </w:t>
      </w:r>
      <w:r w:rsidR="00913F64" w:rsidRPr="00094ED5">
        <w:rPr>
          <w:rFonts w:ascii="Times New Roman" w:hAnsi="Times New Roman"/>
          <w:szCs w:val="24"/>
        </w:rPr>
        <w:t xml:space="preserve">rate design </w:t>
      </w:r>
      <w:r w:rsidR="0022491E" w:rsidRPr="00094ED5">
        <w:rPr>
          <w:rFonts w:ascii="Times New Roman" w:hAnsi="Times New Roman"/>
          <w:szCs w:val="24"/>
        </w:rPr>
        <w:t xml:space="preserve">was aligned </w:t>
      </w:r>
      <w:r w:rsidR="00913F64" w:rsidRPr="00094ED5">
        <w:rPr>
          <w:rFonts w:ascii="Times New Roman" w:hAnsi="Times New Roman"/>
          <w:szCs w:val="24"/>
        </w:rPr>
        <w:t>with cost recovery.</w:t>
      </w:r>
      <w:r w:rsidR="00CA63A9">
        <w:rPr>
          <w:rFonts w:ascii="Times New Roman" w:hAnsi="Times New Roman"/>
          <w:szCs w:val="24"/>
        </w:rPr>
        <w:t xml:space="preserve"> </w:t>
      </w:r>
      <w:r w:rsidR="00913F64" w:rsidRPr="00094ED5">
        <w:rPr>
          <w:rFonts w:ascii="Times New Roman" w:hAnsi="Times New Roman"/>
          <w:szCs w:val="24"/>
        </w:rPr>
        <w:t xml:space="preserve"> Since the demand and customer charges for Dedicated Facilities were less than the demand</w:t>
      </w:r>
      <w:r w:rsidR="0022491E" w:rsidRPr="00094ED5">
        <w:rPr>
          <w:rFonts w:ascii="Times New Roman" w:hAnsi="Times New Roman"/>
          <w:szCs w:val="24"/>
        </w:rPr>
        <w:t>-</w:t>
      </w:r>
      <w:r w:rsidR="000F128E">
        <w:rPr>
          <w:rFonts w:ascii="Times New Roman" w:hAnsi="Times New Roman"/>
          <w:szCs w:val="24"/>
        </w:rPr>
        <w:t xml:space="preserve"> </w:t>
      </w:r>
      <w:r w:rsidR="00913F64" w:rsidRPr="00094ED5">
        <w:rPr>
          <w:rFonts w:ascii="Times New Roman" w:hAnsi="Times New Roman"/>
          <w:szCs w:val="24"/>
        </w:rPr>
        <w:t xml:space="preserve">and customer-related costs, I </w:t>
      </w:r>
      <w:r w:rsidR="0022491E" w:rsidRPr="00094ED5">
        <w:rPr>
          <w:rFonts w:ascii="Times New Roman" w:hAnsi="Times New Roman"/>
          <w:szCs w:val="24"/>
        </w:rPr>
        <w:t>proposed the modification in rate design for Dedicated Facilities.</w:t>
      </w:r>
    </w:p>
    <w:p w:rsidR="00757308" w:rsidRPr="00094ED5" w:rsidRDefault="00757308" w:rsidP="00757308">
      <w:pPr>
        <w:rPr>
          <w:rFonts w:ascii="Times New Roman" w:hAnsi="Times New Roman"/>
          <w:b/>
          <w:szCs w:val="24"/>
        </w:rPr>
      </w:pPr>
      <w:r w:rsidRPr="00094ED5">
        <w:rPr>
          <w:rFonts w:ascii="Times New Roman" w:hAnsi="Times New Roman"/>
          <w:b/>
          <w:szCs w:val="24"/>
        </w:rPr>
        <w:t>Q.</w:t>
      </w:r>
      <w:r w:rsidRPr="00094ED5">
        <w:rPr>
          <w:rFonts w:ascii="Times New Roman" w:hAnsi="Times New Roman"/>
          <w:b/>
          <w:szCs w:val="24"/>
        </w:rPr>
        <w:tab/>
      </w:r>
      <w:r w:rsidR="00FB1036" w:rsidRPr="00094ED5">
        <w:rPr>
          <w:rFonts w:ascii="Times New Roman" w:hAnsi="Times New Roman"/>
          <w:b/>
          <w:szCs w:val="24"/>
        </w:rPr>
        <w:t xml:space="preserve">Does the Company agree with </w:t>
      </w:r>
      <w:r w:rsidR="000F128E">
        <w:rPr>
          <w:rFonts w:ascii="Times New Roman" w:hAnsi="Times New Roman"/>
          <w:b/>
          <w:szCs w:val="24"/>
        </w:rPr>
        <w:t>Boise’s</w:t>
      </w:r>
      <w:r w:rsidR="00FB1036" w:rsidRPr="00094ED5">
        <w:rPr>
          <w:rFonts w:ascii="Times New Roman" w:hAnsi="Times New Roman"/>
          <w:b/>
          <w:szCs w:val="24"/>
        </w:rPr>
        <w:t xml:space="preserve"> proposal to combine Schedule 48T and Schedule 48T – Dedicated Facilities into </w:t>
      </w:r>
      <w:r w:rsidR="00F52210" w:rsidRPr="00094ED5">
        <w:rPr>
          <w:rFonts w:ascii="Times New Roman" w:hAnsi="Times New Roman"/>
          <w:b/>
          <w:szCs w:val="24"/>
        </w:rPr>
        <w:t>a single</w:t>
      </w:r>
      <w:r w:rsidR="00FB1036" w:rsidRPr="00094ED5">
        <w:rPr>
          <w:rFonts w:ascii="Times New Roman" w:hAnsi="Times New Roman"/>
          <w:b/>
          <w:szCs w:val="24"/>
        </w:rPr>
        <w:t xml:space="preserve"> class</w:t>
      </w:r>
      <w:r w:rsidR="00CF2441" w:rsidRPr="00094ED5">
        <w:rPr>
          <w:rFonts w:ascii="Times New Roman" w:hAnsi="Times New Roman"/>
          <w:b/>
          <w:szCs w:val="24"/>
        </w:rPr>
        <w:t xml:space="preserve"> for purposes of designing rates</w:t>
      </w:r>
      <w:r w:rsidR="00FB1036" w:rsidRPr="00094ED5">
        <w:rPr>
          <w:rFonts w:ascii="Times New Roman" w:hAnsi="Times New Roman"/>
          <w:b/>
          <w:szCs w:val="24"/>
        </w:rPr>
        <w:t>?</w:t>
      </w:r>
    </w:p>
    <w:p w:rsidR="006A2B9E" w:rsidRPr="00094ED5" w:rsidRDefault="00757308" w:rsidP="00757308">
      <w:pPr>
        <w:rPr>
          <w:rFonts w:ascii="Times New Roman" w:hAnsi="Times New Roman"/>
          <w:szCs w:val="24"/>
        </w:rPr>
      </w:pPr>
      <w:r w:rsidRPr="00094ED5">
        <w:rPr>
          <w:rFonts w:ascii="Times New Roman" w:hAnsi="Times New Roman"/>
          <w:szCs w:val="24"/>
        </w:rPr>
        <w:t>A</w:t>
      </w:r>
      <w:r w:rsidR="00CA6914" w:rsidRPr="00094ED5">
        <w:rPr>
          <w:rFonts w:ascii="Times New Roman" w:hAnsi="Times New Roman"/>
          <w:szCs w:val="24"/>
        </w:rPr>
        <w:t>.</w:t>
      </w:r>
      <w:r w:rsidRPr="00094ED5">
        <w:rPr>
          <w:rFonts w:ascii="Times New Roman" w:hAnsi="Times New Roman"/>
          <w:szCs w:val="24"/>
        </w:rPr>
        <w:t xml:space="preserve"> </w:t>
      </w:r>
      <w:r w:rsidRPr="00094ED5">
        <w:rPr>
          <w:rFonts w:ascii="Times New Roman" w:hAnsi="Times New Roman"/>
          <w:szCs w:val="24"/>
        </w:rPr>
        <w:tab/>
      </w:r>
      <w:r w:rsidR="00FB1036" w:rsidRPr="00094ED5">
        <w:rPr>
          <w:rFonts w:ascii="Times New Roman" w:hAnsi="Times New Roman"/>
          <w:szCs w:val="24"/>
        </w:rPr>
        <w:t>No.</w:t>
      </w:r>
      <w:r w:rsidR="00CF2441" w:rsidRPr="00094ED5">
        <w:rPr>
          <w:rFonts w:ascii="Times New Roman" w:hAnsi="Times New Roman"/>
          <w:szCs w:val="24"/>
        </w:rPr>
        <w:t xml:space="preserve">  </w:t>
      </w:r>
      <w:r w:rsidR="001D5A3F" w:rsidRPr="00094ED5">
        <w:rPr>
          <w:rFonts w:ascii="Times New Roman" w:hAnsi="Times New Roman"/>
          <w:szCs w:val="24"/>
        </w:rPr>
        <w:t>A</w:t>
      </w:r>
      <w:r w:rsidR="007527DC" w:rsidRPr="00094ED5">
        <w:rPr>
          <w:rFonts w:ascii="Times New Roman" w:hAnsi="Times New Roman"/>
          <w:szCs w:val="24"/>
        </w:rPr>
        <w:t>pplying the same rate design to all customer types on Schedule 48T ignores differences in cost characteristics for the different types of customers and is</w:t>
      </w:r>
      <w:r w:rsidR="00CF2441" w:rsidRPr="00094ED5">
        <w:rPr>
          <w:rFonts w:ascii="Times New Roman" w:hAnsi="Times New Roman"/>
          <w:szCs w:val="24"/>
        </w:rPr>
        <w:t xml:space="preserve"> inconsistent with past treatment.</w:t>
      </w:r>
      <w:r w:rsidR="007527DC" w:rsidRPr="00094ED5">
        <w:rPr>
          <w:rFonts w:ascii="Times New Roman" w:hAnsi="Times New Roman"/>
          <w:szCs w:val="24"/>
        </w:rPr>
        <w:t xml:space="preserve">  Schedule 48</w:t>
      </w:r>
      <w:r w:rsidR="001D5A3F" w:rsidRPr="00094ED5">
        <w:rPr>
          <w:rFonts w:ascii="Times New Roman" w:hAnsi="Times New Roman"/>
          <w:szCs w:val="24"/>
        </w:rPr>
        <w:t xml:space="preserve">T currently has separate rates for service at secondary voltage, primary voltage, and for one customer over 30 MW who is served by dedicated facilities.  </w:t>
      </w:r>
    </w:p>
    <w:p w:rsidR="003A178F" w:rsidRPr="00094ED5" w:rsidRDefault="003A178F" w:rsidP="003A178F">
      <w:pPr>
        <w:rPr>
          <w:rFonts w:ascii="Times New Roman" w:hAnsi="Times New Roman"/>
          <w:b/>
          <w:szCs w:val="24"/>
        </w:rPr>
      </w:pPr>
      <w:r w:rsidRPr="00094ED5">
        <w:rPr>
          <w:rFonts w:ascii="Times New Roman" w:hAnsi="Times New Roman"/>
          <w:b/>
          <w:szCs w:val="24"/>
        </w:rPr>
        <w:t>Q.</w:t>
      </w:r>
      <w:r w:rsidRPr="00094ED5">
        <w:rPr>
          <w:rFonts w:ascii="Times New Roman" w:hAnsi="Times New Roman"/>
          <w:b/>
          <w:szCs w:val="24"/>
        </w:rPr>
        <w:tab/>
        <w:t xml:space="preserve">What is the impact of </w:t>
      </w:r>
      <w:r w:rsidR="000F128E">
        <w:rPr>
          <w:rFonts w:ascii="Times New Roman" w:hAnsi="Times New Roman"/>
          <w:b/>
          <w:szCs w:val="24"/>
        </w:rPr>
        <w:t>Boise’s</w:t>
      </w:r>
      <w:r w:rsidRPr="00094ED5">
        <w:rPr>
          <w:rFonts w:ascii="Times New Roman" w:hAnsi="Times New Roman"/>
          <w:b/>
          <w:szCs w:val="24"/>
        </w:rPr>
        <w:t xml:space="preserve"> proposed rate design on Schedule 48T customers compared to the Company’s?</w:t>
      </w:r>
    </w:p>
    <w:p w:rsidR="003A178F" w:rsidRPr="00094ED5" w:rsidRDefault="003A178F" w:rsidP="003A178F">
      <w:pPr>
        <w:rPr>
          <w:rFonts w:ascii="Times New Roman" w:hAnsi="Times New Roman"/>
          <w:szCs w:val="24"/>
        </w:rPr>
      </w:pPr>
      <w:r w:rsidRPr="00094ED5">
        <w:rPr>
          <w:rFonts w:ascii="Times New Roman" w:hAnsi="Times New Roman"/>
          <w:szCs w:val="24"/>
        </w:rPr>
        <w:t xml:space="preserve">A. </w:t>
      </w:r>
      <w:r w:rsidRPr="00094ED5">
        <w:rPr>
          <w:rFonts w:ascii="Times New Roman" w:hAnsi="Times New Roman"/>
          <w:szCs w:val="24"/>
        </w:rPr>
        <w:tab/>
      </w:r>
      <w:r w:rsidR="000969F6" w:rsidRPr="00094ED5">
        <w:rPr>
          <w:rFonts w:ascii="Times New Roman" w:hAnsi="Times New Roman"/>
          <w:szCs w:val="24"/>
        </w:rPr>
        <w:t>Table 1</w:t>
      </w:r>
      <w:r w:rsidRPr="00094ED5">
        <w:rPr>
          <w:rFonts w:ascii="Times New Roman" w:hAnsi="Times New Roman"/>
          <w:szCs w:val="24"/>
        </w:rPr>
        <w:t xml:space="preserve"> below compares the increase in each of the Schedule 48T customer types between </w:t>
      </w:r>
      <w:r w:rsidR="000F128E">
        <w:rPr>
          <w:rFonts w:ascii="Times New Roman" w:hAnsi="Times New Roman"/>
          <w:szCs w:val="24"/>
        </w:rPr>
        <w:t>Boise’s</w:t>
      </w:r>
      <w:r w:rsidRPr="00094ED5">
        <w:rPr>
          <w:rFonts w:ascii="Times New Roman" w:hAnsi="Times New Roman"/>
          <w:szCs w:val="24"/>
        </w:rPr>
        <w:t xml:space="preserve"> proposal and the Company’s proposed rate spread and design.  As this table shows, </w:t>
      </w:r>
      <w:r w:rsidR="000F128E">
        <w:rPr>
          <w:rFonts w:ascii="Times New Roman" w:hAnsi="Times New Roman"/>
          <w:szCs w:val="24"/>
        </w:rPr>
        <w:t>Boise’s</w:t>
      </w:r>
      <w:r w:rsidRPr="00094ED5">
        <w:rPr>
          <w:rFonts w:ascii="Times New Roman" w:hAnsi="Times New Roman"/>
          <w:szCs w:val="24"/>
        </w:rPr>
        <w:t xml:space="preserve"> proposal results in a significantly lower increase to the Dedicated Facilities customer than to the other customers on Schedule 48T.  </w:t>
      </w:r>
    </w:p>
    <w:p w:rsidR="00CA63A9" w:rsidRDefault="00CA63A9" w:rsidP="00DF5724">
      <w:pPr>
        <w:suppressLineNumbers/>
        <w:jc w:val="center"/>
        <w:rPr>
          <w:rFonts w:ascii="Times New Roman" w:hAnsi="Times New Roman"/>
          <w:szCs w:val="24"/>
        </w:rPr>
      </w:pPr>
    </w:p>
    <w:p w:rsidR="00CA63A9" w:rsidRDefault="00CA63A9" w:rsidP="00DF5724">
      <w:pPr>
        <w:suppressLineNumbers/>
        <w:jc w:val="center"/>
        <w:rPr>
          <w:rFonts w:ascii="Times New Roman" w:hAnsi="Times New Roman"/>
          <w:szCs w:val="24"/>
        </w:rPr>
      </w:pPr>
    </w:p>
    <w:p w:rsidR="00CA63A9" w:rsidRDefault="00CA63A9" w:rsidP="00DF5724">
      <w:pPr>
        <w:suppressLineNumbers/>
        <w:jc w:val="center"/>
        <w:rPr>
          <w:rFonts w:ascii="Times New Roman" w:hAnsi="Times New Roman"/>
          <w:szCs w:val="24"/>
        </w:rPr>
      </w:pPr>
    </w:p>
    <w:p w:rsidR="000F128E" w:rsidRDefault="000F128E" w:rsidP="000F128E">
      <w:pPr>
        <w:suppressLineNumbers/>
        <w:spacing w:line="240" w:lineRule="auto"/>
        <w:ind w:left="0" w:firstLine="0"/>
        <w:rPr>
          <w:rFonts w:ascii="Times New Roman" w:hAnsi="Times New Roman"/>
          <w:b/>
          <w:szCs w:val="24"/>
        </w:rPr>
      </w:pPr>
      <w:r>
        <w:rPr>
          <w:rFonts w:ascii="Times New Roman" w:hAnsi="Times New Roman"/>
          <w:b/>
          <w:szCs w:val="24"/>
        </w:rPr>
        <w:br w:type="page"/>
      </w:r>
    </w:p>
    <w:p w:rsidR="000969F6" w:rsidRPr="000F128E" w:rsidRDefault="000F128E" w:rsidP="00DF5724">
      <w:pPr>
        <w:suppressLineNumbers/>
        <w:jc w:val="center"/>
        <w:rPr>
          <w:rFonts w:ascii="Times New Roman" w:hAnsi="Times New Roman"/>
          <w:b/>
          <w:szCs w:val="24"/>
        </w:rPr>
      </w:pPr>
      <w:r>
        <w:rPr>
          <w:rFonts w:ascii="Times New Roman" w:hAnsi="Times New Roman"/>
          <w:b/>
          <w:szCs w:val="24"/>
        </w:rPr>
        <w:t>TABLE</w:t>
      </w:r>
      <w:r w:rsidR="000969F6" w:rsidRPr="000F128E">
        <w:rPr>
          <w:rFonts w:ascii="Times New Roman" w:hAnsi="Times New Roman"/>
          <w:b/>
          <w:szCs w:val="24"/>
        </w:rPr>
        <w:t xml:space="preserve"> 1</w:t>
      </w:r>
    </w:p>
    <w:p w:rsidR="00D21BCC" w:rsidRPr="006F199C" w:rsidRDefault="004E71A3" w:rsidP="004E71A3">
      <w:pPr>
        <w:suppressLineNumbers/>
        <w:ind w:left="0" w:firstLine="0"/>
        <w:rPr>
          <w:rFonts w:ascii="Times New Roman" w:hAnsi="Times New Roman"/>
          <w:szCs w:val="24"/>
        </w:rPr>
      </w:pPr>
      <w:r w:rsidRPr="004E71A3">
        <w:rPr>
          <w:noProof/>
        </w:rPr>
        <w:drawing>
          <wp:inline distT="0" distB="0" distL="0" distR="0">
            <wp:extent cx="5667375" cy="2809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2809875"/>
                    </a:xfrm>
                    <a:prstGeom prst="rect">
                      <a:avLst/>
                    </a:prstGeom>
                    <a:noFill/>
                    <a:ln>
                      <a:noFill/>
                    </a:ln>
                  </pic:spPr>
                </pic:pic>
              </a:graphicData>
            </a:graphic>
          </wp:inline>
        </w:drawing>
      </w:r>
    </w:p>
    <w:p w:rsidR="003A178F" w:rsidRPr="00094ED5" w:rsidRDefault="003A178F" w:rsidP="003A178F">
      <w:pPr>
        <w:ind w:firstLine="0"/>
        <w:rPr>
          <w:rFonts w:ascii="Times New Roman" w:hAnsi="Times New Roman"/>
          <w:szCs w:val="24"/>
        </w:rPr>
      </w:pPr>
      <w:r w:rsidRPr="00B1786E">
        <w:rPr>
          <w:rFonts w:ascii="Times New Roman" w:hAnsi="Times New Roman"/>
          <w:szCs w:val="24"/>
        </w:rPr>
        <w:t xml:space="preserve">At the individual customer level, under Mr. Mullins’ proposed increase and rate design, the average customer impact </w:t>
      </w:r>
      <w:r w:rsidR="00277A71" w:rsidRPr="00094ED5">
        <w:rPr>
          <w:rFonts w:ascii="Times New Roman" w:hAnsi="Times New Roman"/>
          <w:szCs w:val="24"/>
        </w:rPr>
        <w:t xml:space="preserve">for the other Schedule 48T customers </w:t>
      </w:r>
      <w:r w:rsidRPr="00094ED5">
        <w:rPr>
          <w:rFonts w:ascii="Times New Roman" w:hAnsi="Times New Roman"/>
          <w:szCs w:val="24"/>
        </w:rPr>
        <w:t>in the first year is 1.</w:t>
      </w:r>
      <w:r w:rsidR="00277A71" w:rsidRPr="00094ED5">
        <w:rPr>
          <w:rFonts w:ascii="Times New Roman" w:hAnsi="Times New Roman"/>
          <w:szCs w:val="24"/>
        </w:rPr>
        <w:t>8</w:t>
      </w:r>
      <w:r w:rsidRPr="00094ED5">
        <w:rPr>
          <w:rFonts w:ascii="Times New Roman" w:hAnsi="Times New Roman"/>
          <w:szCs w:val="24"/>
        </w:rPr>
        <w:t xml:space="preserve"> percent, with the highest customer increase at 5.0 percent.  The distribution of rate impacts by customer is shown in Exhibit No. JRS-17.</w:t>
      </w:r>
    </w:p>
    <w:p w:rsidR="006A2B9E" w:rsidRPr="00094ED5" w:rsidRDefault="006A2B9E" w:rsidP="006A2B9E">
      <w:pPr>
        <w:rPr>
          <w:rFonts w:ascii="Times New Roman" w:hAnsi="Times New Roman"/>
          <w:b/>
          <w:szCs w:val="24"/>
        </w:rPr>
      </w:pPr>
      <w:r w:rsidRPr="00094ED5">
        <w:rPr>
          <w:rFonts w:ascii="Times New Roman" w:hAnsi="Times New Roman"/>
          <w:b/>
          <w:szCs w:val="24"/>
        </w:rPr>
        <w:t>Q.</w:t>
      </w:r>
      <w:r w:rsidRPr="00094ED5">
        <w:rPr>
          <w:rFonts w:ascii="Times New Roman" w:hAnsi="Times New Roman"/>
          <w:b/>
          <w:szCs w:val="24"/>
        </w:rPr>
        <w:tab/>
        <w:t>Please explain the history of Schedule 48T – Dedicated Facilities.</w:t>
      </w:r>
    </w:p>
    <w:p w:rsidR="00757308" w:rsidRPr="00094ED5" w:rsidRDefault="006A2B9E" w:rsidP="006A2B9E">
      <w:pPr>
        <w:rPr>
          <w:rFonts w:ascii="Times New Roman" w:hAnsi="Times New Roman"/>
          <w:szCs w:val="24"/>
        </w:rPr>
      </w:pPr>
      <w:r w:rsidRPr="00094ED5">
        <w:rPr>
          <w:rFonts w:ascii="Times New Roman" w:hAnsi="Times New Roman"/>
          <w:szCs w:val="24"/>
        </w:rPr>
        <w:t xml:space="preserve">A. </w:t>
      </w:r>
      <w:r w:rsidRPr="00094ED5">
        <w:rPr>
          <w:rFonts w:ascii="Times New Roman" w:hAnsi="Times New Roman"/>
          <w:szCs w:val="24"/>
        </w:rPr>
        <w:tab/>
      </w:r>
      <w:r w:rsidR="00757308" w:rsidRPr="00094ED5">
        <w:rPr>
          <w:rFonts w:ascii="Times New Roman" w:hAnsi="Times New Roman"/>
          <w:szCs w:val="24"/>
        </w:rPr>
        <w:t xml:space="preserve">In Docket UE-080220, the </w:t>
      </w:r>
      <w:r w:rsidR="008D001E" w:rsidRPr="00094ED5">
        <w:rPr>
          <w:rFonts w:ascii="Times New Roman" w:hAnsi="Times New Roman"/>
          <w:szCs w:val="24"/>
        </w:rPr>
        <w:t xml:space="preserve">Commission approved an </w:t>
      </w:r>
      <w:r w:rsidR="00757308" w:rsidRPr="00094ED5">
        <w:rPr>
          <w:rFonts w:ascii="Times New Roman" w:hAnsi="Times New Roman"/>
          <w:szCs w:val="24"/>
        </w:rPr>
        <w:t xml:space="preserve">all-party settlement stipulation </w:t>
      </w:r>
      <w:r w:rsidR="008D001E" w:rsidRPr="00094ED5">
        <w:rPr>
          <w:rFonts w:ascii="Times New Roman" w:hAnsi="Times New Roman"/>
          <w:szCs w:val="24"/>
        </w:rPr>
        <w:t xml:space="preserve">in which </w:t>
      </w:r>
      <w:r w:rsidR="00757308" w:rsidRPr="00094ED5">
        <w:rPr>
          <w:rFonts w:ascii="Times New Roman" w:hAnsi="Times New Roman"/>
          <w:szCs w:val="24"/>
        </w:rPr>
        <w:t>the Company agreed to consult with the Industrial Customers of Northwest Utilities (ICNU) and other interested parties to review Schedule 48T cost of service and rate design issues.</w:t>
      </w:r>
      <w:r w:rsidR="008D001E" w:rsidRPr="006F199C">
        <w:rPr>
          <w:rStyle w:val="FootnoteReference"/>
          <w:rFonts w:ascii="Times New Roman" w:hAnsi="Times New Roman"/>
          <w:szCs w:val="24"/>
          <w:vertAlign w:val="superscript"/>
        </w:rPr>
        <w:footnoteReference w:id="20"/>
      </w:r>
      <w:r w:rsidR="00757308" w:rsidRPr="006F199C">
        <w:rPr>
          <w:rFonts w:ascii="Times New Roman" w:hAnsi="Times New Roman"/>
          <w:szCs w:val="24"/>
        </w:rPr>
        <w:t xml:space="preserve">  </w:t>
      </w:r>
      <w:r w:rsidR="00DF1345" w:rsidRPr="00B1786E">
        <w:rPr>
          <w:rFonts w:ascii="Times New Roman" w:hAnsi="Times New Roman"/>
          <w:szCs w:val="24"/>
        </w:rPr>
        <w:t>A</w:t>
      </w:r>
      <w:r w:rsidR="00757308" w:rsidRPr="001F0C43">
        <w:rPr>
          <w:rFonts w:ascii="Times New Roman" w:hAnsi="Times New Roman"/>
          <w:szCs w:val="24"/>
        </w:rPr>
        <w:t xml:space="preserve">s a result of those discussions, </w:t>
      </w:r>
      <w:r w:rsidR="00DF1345" w:rsidRPr="001F0C43">
        <w:rPr>
          <w:rFonts w:ascii="Times New Roman" w:hAnsi="Times New Roman"/>
          <w:szCs w:val="24"/>
        </w:rPr>
        <w:t>which included a</w:t>
      </w:r>
      <w:r w:rsidR="00757308" w:rsidRPr="00094ED5">
        <w:rPr>
          <w:rFonts w:ascii="Times New Roman" w:hAnsi="Times New Roman"/>
          <w:szCs w:val="24"/>
        </w:rPr>
        <w:t xml:space="preserve"> review of Schedule 48T cost of service data, it was </w:t>
      </w:r>
      <w:r w:rsidR="00DF1345" w:rsidRPr="00094ED5">
        <w:rPr>
          <w:rFonts w:ascii="Times New Roman" w:hAnsi="Times New Roman"/>
          <w:szCs w:val="24"/>
        </w:rPr>
        <w:t xml:space="preserve">agreed </w:t>
      </w:r>
      <w:r w:rsidR="00757308" w:rsidRPr="00094ED5">
        <w:rPr>
          <w:rFonts w:ascii="Times New Roman" w:hAnsi="Times New Roman"/>
          <w:szCs w:val="24"/>
        </w:rPr>
        <w:t>that th</w:t>
      </w:r>
      <w:r w:rsidR="006E4E5C" w:rsidRPr="00094ED5">
        <w:rPr>
          <w:rFonts w:ascii="Times New Roman" w:hAnsi="Times New Roman"/>
          <w:szCs w:val="24"/>
        </w:rPr>
        <w:t>e service characteristics of the Company’s</w:t>
      </w:r>
      <w:r w:rsidR="00757308" w:rsidRPr="00094ED5">
        <w:rPr>
          <w:rFonts w:ascii="Times New Roman" w:hAnsi="Times New Roman"/>
          <w:szCs w:val="24"/>
        </w:rPr>
        <w:t xml:space="preserve"> largest Schedule 48T customer </w:t>
      </w:r>
      <w:r w:rsidR="00DF1345" w:rsidRPr="00094ED5">
        <w:rPr>
          <w:rFonts w:ascii="Times New Roman" w:hAnsi="Times New Roman"/>
          <w:szCs w:val="24"/>
        </w:rPr>
        <w:t xml:space="preserve">significantly </w:t>
      </w:r>
      <w:r w:rsidR="00757308" w:rsidRPr="00094ED5">
        <w:rPr>
          <w:rFonts w:ascii="Times New Roman" w:hAnsi="Times New Roman"/>
          <w:szCs w:val="24"/>
        </w:rPr>
        <w:t>differed from other Schedule 48T customers</w:t>
      </w:r>
      <w:r w:rsidR="00DF1345" w:rsidRPr="00094ED5">
        <w:rPr>
          <w:rFonts w:ascii="Times New Roman" w:hAnsi="Times New Roman"/>
          <w:szCs w:val="24"/>
        </w:rPr>
        <w:t xml:space="preserve"> and therefore justified separate consideration in the cost of service and pricing model</w:t>
      </w:r>
      <w:r w:rsidR="003A178F" w:rsidRPr="00094ED5">
        <w:rPr>
          <w:rFonts w:ascii="Times New Roman" w:hAnsi="Times New Roman"/>
          <w:szCs w:val="24"/>
        </w:rPr>
        <w:t>s</w:t>
      </w:r>
      <w:r w:rsidR="00757308" w:rsidRPr="00094ED5">
        <w:rPr>
          <w:rFonts w:ascii="Times New Roman" w:hAnsi="Times New Roman"/>
          <w:szCs w:val="24"/>
        </w:rPr>
        <w:t xml:space="preserve">.  </w:t>
      </w:r>
      <w:r w:rsidR="00DF1345" w:rsidRPr="00094ED5">
        <w:rPr>
          <w:rFonts w:ascii="Times New Roman" w:hAnsi="Times New Roman"/>
          <w:szCs w:val="24"/>
        </w:rPr>
        <w:t>The</w:t>
      </w:r>
      <w:r w:rsidR="00392469" w:rsidRPr="00094ED5">
        <w:rPr>
          <w:rFonts w:ascii="Times New Roman" w:hAnsi="Times New Roman"/>
          <w:szCs w:val="24"/>
        </w:rPr>
        <w:t>se</w:t>
      </w:r>
      <w:r w:rsidR="00DF1345" w:rsidRPr="00094ED5">
        <w:rPr>
          <w:rFonts w:ascii="Times New Roman" w:hAnsi="Times New Roman"/>
          <w:szCs w:val="24"/>
        </w:rPr>
        <w:t xml:space="preserve"> differences include </w:t>
      </w:r>
      <w:r w:rsidR="00757308" w:rsidRPr="00094ED5">
        <w:rPr>
          <w:rFonts w:ascii="Times New Roman" w:hAnsi="Times New Roman"/>
          <w:szCs w:val="24"/>
        </w:rPr>
        <w:t xml:space="preserve">the customer’s </w:t>
      </w:r>
      <w:r w:rsidR="00DC7D18" w:rsidRPr="00094ED5">
        <w:rPr>
          <w:rFonts w:ascii="Times New Roman" w:hAnsi="Times New Roman"/>
          <w:szCs w:val="24"/>
        </w:rPr>
        <w:t>demand</w:t>
      </w:r>
      <w:r w:rsidR="00DF1345" w:rsidRPr="00094ED5">
        <w:rPr>
          <w:rFonts w:ascii="Times New Roman" w:hAnsi="Times New Roman"/>
          <w:szCs w:val="24"/>
        </w:rPr>
        <w:t xml:space="preserve">, which </w:t>
      </w:r>
      <w:r w:rsidR="00757308" w:rsidRPr="00094ED5">
        <w:rPr>
          <w:rFonts w:ascii="Times New Roman" w:hAnsi="Times New Roman"/>
          <w:szCs w:val="24"/>
        </w:rPr>
        <w:t xml:space="preserve">is </w:t>
      </w:r>
      <w:r w:rsidR="002213FC">
        <w:rPr>
          <w:rFonts w:ascii="Times New Roman" w:hAnsi="Times New Roman"/>
          <w:szCs w:val="24"/>
        </w:rPr>
        <w:t>approximately 10</w:t>
      </w:r>
      <w:r w:rsidR="00757308" w:rsidRPr="00094ED5">
        <w:rPr>
          <w:rFonts w:ascii="Times New Roman" w:hAnsi="Times New Roman"/>
          <w:szCs w:val="24"/>
        </w:rPr>
        <w:t xml:space="preserve"> times larger than the next largest Schedule 48T customer</w:t>
      </w:r>
      <w:r w:rsidR="00DF1345" w:rsidRPr="00094ED5">
        <w:rPr>
          <w:rFonts w:ascii="Times New Roman" w:hAnsi="Times New Roman"/>
          <w:szCs w:val="24"/>
        </w:rPr>
        <w:t xml:space="preserve">; </w:t>
      </w:r>
      <w:r w:rsidR="00757308" w:rsidRPr="00094ED5">
        <w:rPr>
          <w:rFonts w:ascii="Times New Roman" w:hAnsi="Times New Roman"/>
          <w:szCs w:val="24"/>
        </w:rPr>
        <w:t>the customer’s energy usage</w:t>
      </w:r>
      <w:r w:rsidR="00DF1345" w:rsidRPr="00094ED5">
        <w:rPr>
          <w:rFonts w:ascii="Times New Roman" w:hAnsi="Times New Roman"/>
          <w:szCs w:val="24"/>
        </w:rPr>
        <w:t>, which</w:t>
      </w:r>
      <w:r w:rsidR="00757308" w:rsidRPr="00094ED5">
        <w:rPr>
          <w:rFonts w:ascii="Times New Roman" w:hAnsi="Times New Roman"/>
          <w:szCs w:val="24"/>
        </w:rPr>
        <w:t xml:space="preserve"> comprises over </w:t>
      </w:r>
      <w:r w:rsidR="00DF1345" w:rsidRPr="00094ED5">
        <w:rPr>
          <w:rFonts w:ascii="Times New Roman" w:hAnsi="Times New Roman"/>
          <w:szCs w:val="24"/>
        </w:rPr>
        <w:t>50 percent</w:t>
      </w:r>
      <w:r w:rsidR="00757308" w:rsidRPr="00094ED5">
        <w:rPr>
          <w:rFonts w:ascii="Times New Roman" w:hAnsi="Times New Roman"/>
          <w:szCs w:val="24"/>
        </w:rPr>
        <w:t xml:space="preserve"> of total energy sales</w:t>
      </w:r>
      <w:r w:rsidR="00392469" w:rsidRPr="00094ED5">
        <w:rPr>
          <w:rFonts w:ascii="Times New Roman" w:hAnsi="Times New Roman"/>
          <w:szCs w:val="24"/>
        </w:rPr>
        <w:t xml:space="preserve"> on Schedule 48</w:t>
      </w:r>
      <w:r w:rsidR="00277A71" w:rsidRPr="00094ED5">
        <w:rPr>
          <w:rFonts w:ascii="Times New Roman" w:hAnsi="Times New Roman"/>
          <w:szCs w:val="24"/>
        </w:rPr>
        <w:t>T</w:t>
      </w:r>
      <w:r w:rsidR="00392469" w:rsidRPr="00094ED5">
        <w:rPr>
          <w:rFonts w:ascii="Times New Roman" w:hAnsi="Times New Roman"/>
          <w:szCs w:val="24"/>
        </w:rPr>
        <w:t xml:space="preserve">; </w:t>
      </w:r>
      <w:r w:rsidR="00A22F01" w:rsidRPr="00094ED5">
        <w:rPr>
          <w:rFonts w:ascii="Times New Roman" w:hAnsi="Times New Roman"/>
          <w:szCs w:val="24"/>
        </w:rPr>
        <w:t>and that</w:t>
      </w:r>
      <w:r w:rsidR="00757308" w:rsidRPr="00094ED5">
        <w:rPr>
          <w:rFonts w:ascii="Times New Roman" w:hAnsi="Times New Roman"/>
          <w:szCs w:val="24"/>
        </w:rPr>
        <w:t xml:space="preserve"> this large customer is served from a </w:t>
      </w:r>
      <w:r w:rsidR="00E22A15" w:rsidRPr="00094ED5">
        <w:rPr>
          <w:rFonts w:ascii="Times New Roman" w:hAnsi="Times New Roman"/>
          <w:szCs w:val="24"/>
        </w:rPr>
        <w:t>C</w:t>
      </w:r>
      <w:r w:rsidR="00757308" w:rsidRPr="00094ED5">
        <w:rPr>
          <w:rFonts w:ascii="Times New Roman" w:hAnsi="Times New Roman"/>
          <w:szCs w:val="24"/>
        </w:rPr>
        <w:t>ompany-owned distribution substation that is dedicated to serving only that customer.  As presented in the cost of service study</w:t>
      </w:r>
      <w:r w:rsidR="00354384" w:rsidRPr="00094ED5">
        <w:rPr>
          <w:rFonts w:ascii="Times New Roman" w:hAnsi="Times New Roman"/>
          <w:szCs w:val="24"/>
        </w:rPr>
        <w:t xml:space="preserve"> in </w:t>
      </w:r>
      <w:r w:rsidR="00A22F01" w:rsidRPr="00094ED5">
        <w:rPr>
          <w:rFonts w:ascii="Times New Roman" w:hAnsi="Times New Roman"/>
          <w:szCs w:val="24"/>
        </w:rPr>
        <w:t>Docket UE-090205</w:t>
      </w:r>
      <w:r w:rsidR="00354384" w:rsidRPr="00094ED5">
        <w:rPr>
          <w:rFonts w:ascii="Times New Roman" w:hAnsi="Times New Roman"/>
          <w:szCs w:val="24"/>
        </w:rPr>
        <w:t>,</w:t>
      </w:r>
      <w:r w:rsidR="000F128E">
        <w:rPr>
          <w:rFonts w:ascii="Times New Roman" w:hAnsi="Times New Roman"/>
          <w:szCs w:val="24"/>
        </w:rPr>
        <w:t xml:space="preserve"> the Company’s 2009 general rate case (2009 Rate Case),</w:t>
      </w:r>
      <w:r w:rsidR="00757308" w:rsidRPr="00094ED5">
        <w:rPr>
          <w:rFonts w:ascii="Times New Roman" w:hAnsi="Times New Roman"/>
          <w:szCs w:val="24"/>
        </w:rPr>
        <w:t xml:space="preserve"> the cost of</w:t>
      </w:r>
      <w:r w:rsidR="00757308" w:rsidRPr="00094ED5">
        <w:rPr>
          <w:rFonts w:ascii="Times New Roman" w:hAnsi="Times New Roman"/>
          <w:b/>
          <w:szCs w:val="24"/>
        </w:rPr>
        <w:t xml:space="preserve"> </w:t>
      </w:r>
      <w:r w:rsidR="00757308" w:rsidRPr="00094ED5">
        <w:rPr>
          <w:rFonts w:ascii="Times New Roman" w:hAnsi="Times New Roman"/>
          <w:szCs w:val="24"/>
        </w:rPr>
        <w:t>serving</w:t>
      </w:r>
      <w:r w:rsidR="00757308" w:rsidRPr="00094ED5">
        <w:rPr>
          <w:rFonts w:ascii="Times New Roman" w:hAnsi="Times New Roman"/>
          <w:b/>
          <w:szCs w:val="24"/>
        </w:rPr>
        <w:t xml:space="preserve"> </w:t>
      </w:r>
      <w:r w:rsidR="00E22A15" w:rsidRPr="00094ED5">
        <w:rPr>
          <w:rFonts w:ascii="Times New Roman" w:hAnsi="Times New Roman"/>
          <w:szCs w:val="24"/>
        </w:rPr>
        <w:t>this</w:t>
      </w:r>
      <w:r w:rsidR="00757308" w:rsidRPr="00094ED5">
        <w:rPr>
          <w:rFonts w:ascii="Times New Roman" w:hAnsi="Times New Roman"/>
          <w:szCs w:val="24"/>
        </w:rPr>
        <w:t xml:space="preserve"> primary voltage customer from dedicated facilities differs significantly from other Schedule 48T customers.  The Company </w:t>
      </w:r>
      <w:r w:rsidR="00E22A15" w:rsidRPr="00094ED5">
        <w:rPr>
          <w:rFonts w:ascii="Times New Roman" w:hAnsi="Times New Roman"/>
          <w:szCs w:val="24"/>
        </w:rPr>
        <w:t>therefore</w:t>
      </w:r>
      <w:r w:rsidR="00757308" w:rsidRPr="00094ED5">
        <w:rPr>
          <w:rFonts w:ascii="Times New Roman" w:hAnsi="Times New Roman"/>
          <w:szCs w:val="24"/>
        </w:rPr>
        <w:t xml:space="preserve"> proposed that the unique service characteristics of such large customers be charged separately under proposed Schedule 48T.</w:t>
      </w:r>
      <w:r w:rsidR="00757308" w:rsidRPr="00094ED5">
        <w:rPr>
          <w:rFonts w:ascii="Times New Roman" w:hAnsi="Times New Roman"/>
          <w:szCs w:val="24"/>
        </w:rPr>
        <w:tab/>
      </w:r>
    </w:p>
    <w:p w:rsidR="00757308" w:rsidRPr="00094ED5" w:rsidRDefault="00757308" w:rsidP="00757308">
      <w:pPr>
        <w:rPr>
          <w:rFonts w:ascii="Times New Roman" w:hAnsi="Times New Roman"/>
          <w:szCs w:val="24"/>
        </w:rPr>
      </w:pPr>
      <w:r w:rsidRPr="00094ED5">
        <w:rPr>
          <w:rFonts w:ascii="Times New Roman" w:hAnsi="Times New Roman"/>
          <w:szCs w:val="24"/>
        </w:rPr>
        <w:tab/>
      </w:r>
      <w:r w:rsidRPr="00094ED5">
        <w:rPr>
          <w:rFonts w:ascii="Times New Roman" w:hAnsi="Times New Roman"/>
          <w:szCs w:val="24"/>
        </w:rPr>
        <w:tab/>
      </w:r>
      <w:r w:rsidR="00354384" w:rsidRPr="00094ED5">
        <w:rPr>
          <w:rFonts w:ascii="Times New Roman" w:hAnsi="Times New Roman"/>
          <w:szCs w:val="24"/>
        </w:rPr>
        <w:t>T</w:t>
      </w:r>
      <w:r w:rsidRPr="00094ED5">
        <w:rPr>
          <w:rFonts w:ascii="Times New Roman" w:hAnsi="Times New Roman"/>
          <w:szCs w:val="24"/>
        </w:rPr>
        <w:t xml:space="preserve">he Company entered into an all-party settlement stipulation </w:t>
      </w:r>
      <w:r w:rsidR="00354384" w:rsidRPr="00094ED5">
        <w:rPr>
          <w:rFonts w:ascii="Times New Roman" w:hAnsi="Times New Roman"/>
          <w:szCs w:val="24"/>
        </w:rPr>
        <w:t xml:space="preserve">in the 2009 </w:t>
      </w:r>
      <w:r w:rsidR="000F128E">
        <w:rPr>
          <w:rFonts w:ascii="Times New Roman" w:hAnsi="Times New Roman"/>
          <w:szCs w:val="24"/>
        </w:rPr>
        <w:t>Rate Case</w:t>
      </w:r>
      <w:r w:rsidR="00A22F01" w:rsidRPr="00094ED5">
        <w:rPr>
          <w:rFonts w:ascii="Times New Roman" w:hAnsi="Times New Roman"/>
          <w:szCs w:val="24"/>
        </w:rPr>
        <w:t>,</w:t>
      </w:r>
      <w:r w:rsidR="00354384" w:rsidRPr="00094ED5">
        <w:rPr>
          <w:rFonts w:ascii="Times New Roman" w:hAnsi="Times New Roman"/>
          <w:szCs w:val="24"/>
        </w:rPr>
        <w:t xml:space="preserve"> which </w:t>
      </w:r>
      <w:r w:rsidRPr="00094ED5">
        <w:rPr>
          <w:rFonts w:ascii="Times New Roman" w:hAnsi="Times New Roman"/>
          <w:szCs w:val="24"/>
        </w:rPr>
        <w:t>was approved by Commission Order 09</w:t>
      </w:r>
      <w:r w:rsidR="001F0C43">
        <w:rPr>
          <w:rFonts w:ascii="Times New Roman" w:hAnsi="Times New Roman"/>
          <w:szCs w:val="24"/>
        </w:rPr>
        <w:t xml:space="preserve"> on</w:t>
      </w:r>
      <w:r w:rsidRPr="001F0C43">
        <w:rPr>
          <w:rFonts w:ascii="Times New Roman" w:hAnsi="Times New Roman"/>
          <w:szCs w:val="24"/>
        </w:rPr>
        <w:t xml:space="preserve"> December 16, 2009.  This settlement included the Company proposed rate spread and rate design based on the </w:t>
      </w:r>
      <w:r w:rsidR="00354384" w:rsidRPr="00094ED5">
        <w:rPr>
          <w:rFonts w:ascii="Times New Roman" w:hAnsi="Times New Roman"/>
          <w:szCs w:val="24"/>
        </w:rPr>
        <w:t xml:space="preserve">outcome of </w:t>
      </w:r>
      <w:r w:rsidRPr="00094ED5">
        <w:rPr>
          <w:rFonts w:ascii="Times New Roman" w:hAnsi="Times New Roman"/>
          <w:szCs w:val="24"/>
        </w:rPr>
        <w:t>discussion</w:t>
      </w:r>
      <w:r w:rsidR="00354384" w:rsidRPr="00094ED5">
        <w:rPr>
          <w:rFonts w:ascii="Times New Roman" w:hAnsi="Times New Roman"/>
          <w:szCs w:val="24"/>
        </w:rPr>
        <w:t>s</w:t>
      </w:r>
      <w:r w:rsidRPr="00094ED5">
        <w:rPr>
          <w:rFonts w:ascii="Times New Roman" w:hAnsi="Times New Roman"/>
          <w:szCs w:val="24"/>
        </w:rPr>
        <w:t xml:space="preserve"> with ICNU.</w:t>
      </w:r>
      <w:r w:rsidR="006E4E5C" w:rsidRPr="00094ED5">
        <w:rPr>
          <w:rFonts w:ascii="Times New Roman" w:hAnsi="Times New Roman"/>
          <w:szCs w:val="24"/>
        </w:rPr>
        <w:t xml:space="preserve">  </w:t>
      </w:r>
      <w:r w:rsidR="000D33C3" w:rsidRPr="00094ED5">
        <w:rPr>
          <w:rFonts w:ascii="Times New Roman" w:hAnsi="Times New Roman"/>
          <w:szCs w:val="24"/>
        </w:rPr>
        <w:t xml:space="preserve">Since that time, </w:t>
      </w:r>
      <w:r w:rsidR="006E4E5C" w:rsidRPr="00094ED5">
        <w:rPr>
          <w:rFonts w:ascii="Times New Roman" w:hAnsi="Times New Roman"/>
          <w:szCs w:val="24"/>
        </w:rPr>
        <w:t xml:space="preserve">Schedule 48T – Dedicated Facilities </w:t>
      </w:r>
      <w:r w:rsidR="000D33C3" w:rsidRPr="00094ED5">
        <w:rPr>
          <w:rFonts w:ascii="Times New Roman" w:hAnsi="Times New Roman"/>
          <w:szCs w:val="24"/>
        </w:rPr>
        <w:t xml:space="preserve">has been treated </w:t>
      </w:r>
      <w:r w:rsidR="006E4E5C" w:rsidRPr="00094ED5">
        <w:rPr>
          <w:rFonts w:ascii="Times New Roman" w:hAnsi="Times New Roman"/>
          <w:szCs w:val="24"/>
        </w:rPr>
        <w:t>a</w:t>
      </w:r>
      <w:r w:rsidR="000D33C3" w:rsidRPr="00094ED5">
        <w:rPr>
          <w:rFonts w:ascii="Times New Roman" w:hAnsi="Times New Roman"/>
          <w:szCs w:val="24"/>
        </w:rPr>
        <w:t>s a</w:t>
      </w:r>
      <w:r w:rsidR="006E4E5C" w:rsidRPr="00094ED5">
        <w:rPr>
          <w:rFonts w:ascii="Times New Roman" w:hAnsi="Times New Roman"/>
          <w:szCs w:val="24"/>
        </w:rPr>
        <w:t xml:space="preserve"> separate class </w:t>
      </w:r>
      <w:r w:rsidR="000D33C3" w:rsidRPr="00094ED5">
        <w:rPr>
          <w:rFonts w:ascii="Times New Roman" w:hAnsi="Times New Roman"/>
          <w:szCs w:val="24"/>
        </w:rPr>
        <w:t xml:space="preserve">in cost of service and rate design </w:t>
      </w:r>
      <w:r w:rsidR="006E4E5C" w:rsidRPr="00094ED5">
        <w:rPr>
          <w:rFonts w:ascii="Times New Roman" w:hAnsi="Times New Roman"/>
          <w:szCs w:val="24"/>
        </w:rPr>
        <w:t xml:space="preserve">from other Schedule 48T customers </w:t>
      </w:r>
      <w:r w:rsidR="000D33C3" w:rsidRPr="00094ED5">
        <w:rPr>
          <w:rFonts w:ascii="Times New Roman" w:hAnsi="Times New Roman"/>
          <w:szCs w:val="24"/>
        </w:rPr>
        <w:t>in order to account for the different characteristics</w:t>
      </w:r>
      <w:r w:rsidR="006E4E5C" w:rsidRPr="00094ED5">
        <w:rPr>
          <w:rFonts w:ascii="Times New Roman" w:hAnsi="Times New Roman"/>
          <w:szCs w:val="24"/>
        </w:rPr>
        <w:t>.</w:t>
      </w:r>
    </w:p>
    <w:p w:rsidR="00757308" w:rsidRPr="00094ED5" w:rsidRDefault="00757308" w:rsidP="00DF5724">
      <w:pPr>
        <w:widowControl w:val="0"/>
        <w:rPr>
          <w:rFonts w:ascii="Times New Roman" w:hAnsi="Times New Roman"/>
          <w:b/>
          <w:szCs w:val="24"/>
        </w:rPr>
      </w:pPr>
      <w:r w:rsidRPr="00094ED5">
        <w:rPr>
          <w:rFonts w:ascii="Times New Roman" w:hAnsi="Times New Roman"/>
          <w:b/>
          <w:szCs w:val="24"/>
        </w:rPr>
        <w:t>Q.</w:t>
      </w:r>
      <w:r w:rsidRPr="00094ED5">
        <w:rPr>
          <w:rFonts w:ascii="Times New Roman" w:hAnsi="Times New Roman"/>
          <w:b/>
          <w:szCs w:val="24"/>
        </w:rPr>
        <w:tab/>
        <w:t xml:space="preserve">What is the </w:t>
      </w:r>
      <w:r w:rsidR="000969F6" w:rsidRPr="00094ED5">
        <w:rPr>
          <w:rFonts w:ascii="Times New Roman" w:hAnsi="Times New Roman"/>
          <w:b/>
          <w:szCs w:val="24"/>
        </w:rPr>
        <w:t>relationship</w:t>
      </w:r>
      <w:r w:rsidRPr="00094ED5">
        <w:rPr>
          <w:rFonts w:ascii="Times New Roman" w:hAnsi="Times New Roman"/>
          <w:b/>
          <w:szCs w:val="24"/>
        </w:rPr>
        <w:t xml:space="preserve"> </w:t>
      </w:r>
      <w:r w:rsidR="003747DA" w:rsidRPr="00094ED5">
        <w:rPr>
          <w:rFonts w:ascii="Times New Roman" w:hAnsi="Times New Roman"/>
          <w:b/>
          <w:szCs w:val="24"/>
        </w:rPr>
        <w:t xml:space="preserve">of </w:t>
      </w:r>
      <w:r w:rsidR="00761EA1" w:rsidRPr="00094ED5">
        <w:rPr>
          <w:rFonts w:ascii="Times New Roman" w:hAnsi="Times New Roman"/>
          <w:b/>
          <w:szCs w:val="24"/>
        </w:rPr>
        <w:t>cost of service</w:t>
      </w:r>
      <w:r w:rsidRPr="00094ED5">
        <w:rPr>
          <w:rFonts w:ascii="Times New Roman" w:hAnsi="Times New Roman"/>
          <w:b/>
          <w:szCs w:val="24"/>
        </w:rPr>
        <w:t xml:space="preserve"> for </w:t>
      </w:r>
      <w:r w:rsidR="006E4E5C" w:rsidRPr="00094ED5">
        <w:rPr>
          <w:rFonts w:ascii="Times New Roman" w:hAnsi="Times New Roman"/>
          <w:b/>
          <w:szCs w:val="24"/>
        </w:rPr>
        <w:t>Dedicated Facilities</w:t>
      </w:r>
      <w:r w:rsidR="000969F6" w:rsidRPr="00094ED5">
        <w:rPr>
          <w:rFonts w:ascii="Times New Roman" w:hAnsi="Times New Roman"/>
          <w:b/>
          <w:szCs w:val="24"/>
        </w:rPr>
        <w:t xml:space="preserve"> compared to other Schedule 48T customers</w:t>
      </w:r>
      <w:r w:rsidRPr="00094ED5">
        <w:rPr>
          <w:rFonts w:ascii="Times New Roman" w:hAnsi="Times New Roman"/>
          <w:b/>
          <w:szCs w:val="24"/>
        </w:rPr>
        <w:t>?</w:t>
      </w:r>
    </w:p>
    <w:p w:rsidR="000969F6" w:rsidRPr="00094ED5" w:rsidRDefault="00757308" w:rsidP="00DF5724">
      <w:pPr>
        <w:widowControl w:val="0"/>
        <w:rPr>
          <w:rFonts w:ascii="Times New Roman" w:hAnsi="Times New Roman"/>
          <w:szCs w:val="24"/>
        </w:rPr>
      </w:pPr>
      <w:r w:rsidRPr="00094ED5">
        <w:rPr>
          <w:rFonts w:ascii="Times New Roman" w:hAnsi="Times New Roman"/>
          <w:szCs w:val="24"/>
        </w:rPr>
        <w:t>A.</w:t>
      </w:r>
      <w:r w:rsidRPr="00094ED5">
        <w:rPr>
          <w:rFonts w:ascii="Times New Roman" w:hAnsi="Times New Roman"/>
          <w:szCs w:val="24"/>
        </w:rPr>
        <w:tab/>
      </w:r>
      <w:r w:rsidR="00D6709E" w:rsidRPr="00094ED5">
        <w:rPr>
          <w:rFonts w:ascii="Times New Roman" w:hAnsi="Times New Roman"/>
          <w:szCs w:val="24"/>
        </w:rPr>
        <w:t xml:space="preserve">While the Company did not prepare a new cost of service study for this case, as discussed in my direct testimony, </w:t>
      </w:r>
      <w:r w:rsidRPr="00094ED5">
        <w:rPr>
          <w:rFonts w:ascii="Times New Roman" w:hAnsi="Times New Roman"/>
          <w:szCs w:val="24"/>
        </w:rPr>
        <w:t>Table 1</w:t>
      </w:r>
      <w:r w:rsidR="000969F6" w:rsidRPr="00094ED5">
        <w:rPr>
          <w:rFonts w:ascii="Times New Roman" w:hAnsi="Times New Roman"/>
          <w:szCs w:val="24"/>
        </w:rPr>
        <w:t xml:space="preserve"> on</w:t>
      </w:r>
      <w:r w:rsidRPr="00094ED5">
        <w:rPr>
          <w:rFonts w:ascii="Times New Roman" w:hAnsi="Times New Roman"/>
          <w:szCs w:val="24"/>
        </w:rPr>
        <w:t xml:space="preserve"> page 5 of </w:t>
      </w:r>
      <w:r w:rsidR="006E4E5C" w:rsidRPr="00094ED5">
        <w:rPr>
          <w:rFonts w:ascii="Times New Roman" w:hAnsi="Times New Roman"/>
          <w:szCs w:val="24"/>
        </w:rPr>
        <w:t>my</w:t>
      </w:r>
      <w:r w:rsidRPr="00094ED5">
        <w:rPr>
          <w:rFonts w:ascii="Times New Roman" w:hAnsi="Times New Roman"/>
          <w:szCs w:val="24"/>
        </w:rPr>
        <w:t xml:space="preserve"> </w:t>
      </w:r>
      <w:r w:rsidR="00FB1036" w:rsidRPr="00094ED5">
        <w:rPr>
          <w:rFonts w:ascii="Times New Roman" w:hAnsi="Times New Roman"/>
          <w:szCs w:val="24"/>
        </w:rPr>
        <w:t xml:space="preserve">direct </w:t>
      </w:r>
      <w:r w:rsidRPr="00094ED5">
        <w:rPr>
          <w:rFonts w:ascii="Times New Roman" w:hAnsi="Times New Roman"/>
          <w:szCs w:val="24"/>
        </w:rPr>
        <w:t>testimony</w:t>
      </w:r>
      <w:r w:rsidR="00D6709E" w:rsidRPr="00094ED5">
        <w:rPr>
          <w:rFonts w:ascii="Times New Roman" w:hAnsi="Times New Roman"/>
          <w:szCs w:val="24"/>
        </w:rPr>
        <w:t xml:space="preserve"> shows</w:t>
      </w:r>
      <w:r w:rsidRPr="00094ED5">
        <w:rPr>
          <w:rFonts w:ascii="Times New Roman" w:hAnsi="Times New Roman"/>
          <w:szCs w:val="24"/>
        </w:rPr>
        <w:t xml:space="preserve"> the parity percentage </w:t>
      </w:r>
      <w:r w:rsidR="000F128E">
        <w:rPr>
          <w:rFonts w:ascii="Times New Roman" w:hAnsi="Times New Roman"/>
          <w:szCs w:val="24"/>
        </w:rPr>
        <w:t>including</w:t>
      </w:r>
      <w:r w:rsidRPr="00094ED5">
        <w:rPr>
          <w:rFonts w:ascii="Times New Roman" w:hAnsi="Times New Roman"/>
          <w:szCs w:val="24"/>
        </w:rPr>
        <w:t xml:space="preserve"> the ordered increase </w:t>
      </w:r>
      <w:r w:rsidR="00FB1036" w:rsidRPr="00094ED5">
        <w:rPr>
          <w:rFonts w:ascii="Times New Roman" w:hAnsi="Times New Roman"/>
          <w:szCs w:val="24"/>
        </w:rPr>
        <w:t xml:space="preserve">for Schedule 48T – Dedicated Facilities </w:t>
      </w:r>
      <w:r w:rsidRPr="00094ED5">
        <w:rPr>
          <w:rFonts w:ascii="Times New Roman" w:hAnsi="Times New Roman"/>
          <w:szCs w:val="24"/>
        </w:rPr>
        <w:t xml:space="preserve">is 96 percent of </w:t>
      </w:r>
      <w:r w:rsidR="000D3524" w:rsidRPr="00094ED5">
        <w:rPr>
          <w:rFonts w:ascii="Times New Roman" w:hAnsi="Times New Roman"/>
          <w:szCs w:val="24"/>
        </w:rPr>
        <w:t>cost of service.  In contrast, the</w:t>
      </w:r>
      <w:r w:rsidR="00FB1036" w:rsidRPr="00094ED5">
        <w:rPr>
          <w:rFonts w:ascii="Times New Roman" w:hAnsi="Times New Roman"/>
          <w:szCs w:val="24"/>
        </w:rPr>
        <w:t xml:space="preserve"> </w:t>
      </w:r>
      <w:r w:rsidR="000D3524" w:rsidRPr="00094ED5">
        <w:rPr>
          <w:rFonts w:ascii="Times New Roman" w:hAnsi="Times New Roman"/>
          <w:szCs w:val="24"/>
        </w:rPr>
        <w:t>other</w:t>
      </w:r>
      <w:r w:rsidR="00FB1036" w:rsidRPr="00094ED5">
        <w:rPr>
          <w:rFonts w:ascii="Times New Roman" w:hAnsi="Times New Roman"/>
          <w:szCs w:val="24"/>
        </w:rPr>
        <w:t xml:space="preserve"> Schedule 48T customers are at 102 percent of parity</w:t>
      </w:r>
      <w:r w:rsidRPr="00094ED5">
        <w:rPr>
          <w:rFonts w:ascii="Times New Roman" w:hAnsi="Times New Roman"/>
          <w:szCs w:val="24"/>
        </w:rPr>
        <w:t xml:space="preserve">.  </w:t>
      </w:r>
      <w:r w:rsidR="004C7B16" w:rsidRPr="00094ED5">
        <w:rPr>
          <w:rFonts w:ascii="Times New Roman" w:hAnsi="Times New Roman"/>
          <w:szCs w:val="24"/>
        </w:rPr>
        <w:t xml:space="preserve">This means that Schedule 48T – Dedicated Facilities rates are </w:t>
      </w:r>
      <w:r w:rsidR="000D3524" w:rsidRPr="00094ED5">
        <w:rPr>
          <w:rFonts w:ascii="Times New Roman" w:hAnsi="Times New Roman"/>
          <w:szCs w:val="24"/>
        </w:rPr>
        <w:t xml:space="preserve">slightly </w:t>
      </w:r>
      <w:r w:rsidR="004C7B16" w:rsidRPr="00094ED5">
        <w:rPr>
          <w:rFonts w:ascii="Times New Roman" w:hAnsi="Times New Roman"/>
          <w:szCs w:val="24"/>
        </w:rPr>
        <w:t>below the cost of service while the rates for the other Schedule 48T customers are slightly above cost of service.</w:t>
      </w:r>
      <w:r w:rsidR="000D3524" w:rsidRPr="00094ED5">
        <w:rPr>
          <w:rFonts w:ascii="Times New Roman" w:hAnsi="Times New Roman"/>
          <w:szCs w:val="24"/>
        </w:rPr>
        <w:t xml:space="preserve"> </w:t>
      </w:r>
    </w:p>
    <w:p w:rsidR="00757308" w:rsidRPr="00094ED5" w:rsidRDefault="000969F6" w:rsidP="009338C6">
      <w:pPr>
        <w:ind w:firstLine="720"/>
        <w:rPr>
          <w:rFonts w:ascii="Times New Roman" w:hAnsi="Times New Roman"/>
          <w:szCs w:val="24"/>
        </w:rPr>
      </w:pPr>
      <w:r w:rsidRPr="00094ED5">
        <w:rPr>
          <w:rFonts w:ascii="Times New Roman" w:hAnsi="Times New Roman"/>
          <w:szCs w:val="24"/>
        </w:rPr>
        <w:t>Additionally, Table 2 on page 12 of my direct testimony shows demand and customer charges for Dedicated Facilities are under</w:t>
      </w:r>
      <w:r w:rsidR="000F128E">
        <w:rPr>
          <w:rFonts w:ascii="Times New Roman" w:hAnsi="Times New Roman"/>
          <w:szCs w:val="24"/>
        </w:rPr>
        <w:t>-</w:t>
      </w:r>
      <w:r w:rsidRPr="00094ED5">
        <w:rPr>
          <w:rFonts w:ascii="Times New Roman" w:hAnsi="Times New Roman"/>
          <w:szCs w:val="24"/>
        </w:rPr>
        <w:t>collecting the related costs compared to other Schedule 48T customers.</w:t>
      </w:r>
    </w:p>
    <w:p w:rsidR="00A64460" w:rsidRPr="00094ED5" w:rsidRDefault="00A64460" w:rsidP="00485884">
      <w:pPr>
        <w:rPr>
          <w:rFonts w:ascii="Times New Roman" w:hAnsi="Times New Roman"/>
          <w:b/>
          <w:szCs w:val="24"/>
        </w:rPr>
      </w:pPr>
      <w:r w:rsidRPr="00094ED5">
        <w:rPr>
          <w:rFonts w:ascii="Times New Roman" w:hAnsi="Times New Roman"/>
          <w:b/>
          <w:szCs w:val="24"/>
        </w:rPr>
        <w:t>Q.</w:t>
      </w:r>
      <w:r w:rsidRPr="00094ED5">
        <w:rPr>
          <w:rFonts w:ascii="Times New Roman" w:hAnsi="Times New Roman"/>
          <w:b/>
          <w:szCs w:val="24"/>
        </w:rPr>
        <w:tab/>
      </w:r>
      <w:r w:rsidR="0036416B" w:rsidRPr="00094ED5">
        <w:rPr>
          <w:rFonts w:ascii="Times New Roman" w:hAnsi="Times New Roman"/>
          <w:b/>
          <w:szCs w:val="24"/>
        </w:rPr>
        <w:t>Is</w:t>
      </w:r>
      <w:r w:rsidRPr="00094ED5">
        <w:rPr>
          <w:rFonts w:ascii="Times New Roman" w:hAnsi="Times New Roman"/>
          <w:b/>
          <w:szCs w:val="24"/>
        </w:rPr>
        <w:t xml:space="preserve"> </w:t>
      </w:r>
      <w:r w:rsidR="0036416B" w:rsidRPr="00094ED5">
        <w:rPr>
          <w:rFonts w:ascii="Times New Roman" w:hAnsi="Times New Roman"/>
          <w:b/>
          <w:szCs w:val="24"/>
        </w:rPr>
        <w:t>Mr. Mullin</w:t>
      </w:r>
      <w:r w:rsidRPr="00094ED5">
        <w:rPr>
          <w:rFonts w:ascii="Times New Roman" w:hAnsi="Times New Roman"/>
          <w:b/>
          <w:szCs w:val="24"/>
        </w:rPr>
        <w:t>s</w:t>
      </w:r>
      <w:r w:rsidR="001A3441" w:rsidRPr="00094ED5">
        <w:rPr>
          <w:rFonts w:ascii="Times New Roman" w:hAnsi="Times New Roman"/>
          <w:b/>
          <w:szCs w:val="24"/>
        </w:rPr>
        <w:t>’</w:t>
      </w:r>
      <w:r w:rsidRPr="00094ED5">
        <w:rPr>
          <w:rFonts w:ascii="Times New Roman" w:hAnsi="Times New Roman"/>
          <w:b/>
          <w:szCs w:val="24"/>
        </w:rPr>
        <w:t xml:space="preserve"> proposed rate design</w:t>
      </w:r>
      <w:r w:rsidR="000D576C" w:rsidRPr="00094ED5">
        <w:rPr>
          <w:rFonts w:ascii="Times New Roman" w:hAnsi="Times New Roman"/>
          <w:b/>
          <w:szCs w:val="24"/>
        </w:rPr>
        <w:t xml:space="preserve">/rate </w:t>
      </w:r>
      <w:r w:rsidR="0065266A" w:rsidRPr="00094ED5">
        <w:rPr>
          <w:rFonts w:ascii="Times New Roman" w:hAnsi="Times New Roman"/>
          <w:b/>
          <w:szCs w:val="24"/>
        </w:rPr>
        <w:t>spread</w:t>
      </w:r>
      <w:r w:rsidRPr="00094ED5">
        <w:rPr>
          <w:rFonts w:ascii="Times New Roman" w:hAnsi="Times New Roman"/>
          <w:b/>
          <w:szCs w:val="24"/>
        </w:rPr>
        <w:t xml:space="preserve"> </w:t>
      </w:r>
      <w:r w:rsidR="0036416B" w:rsidRPr="00094ED5">
        <w:rPr>
          <w:rFonts w:ascii="Times New Roman" w:hAnsi="Times New Roman"/>
          <w:b/>
          <w:szCs w:val="24"/>
        </w:rPr>
        <w:t>reasonable</w:t>
      </w:r>
      <w:r w:rsidRPr="00094ED5">
        <w:rPr>
          <w:rFonts w:ascii="Times New Roman" w:hAnsi="Times New Roman"/>
          <w:b/>
          <w:szCs w:val="24"/>
        </w:rPr>
        <w:t>?</w:t>
      </w:r>
    </w:p>
    <w:p w:rsidR="000D3524" w:rsidRPr="00094ED5" w:rsidRDefault="00A64460" w:rsidP="00485884">
      <w:pPr>
        <w:rPr>
          <w:rFonts w:ascii="Times New Roman" w:hAnsi="Times New Roman"/>
          <w:szCs w:val="24"/>
        </w:rPr>
      </w:pPr>
      <w:r w:rsidRPr="00094ED5">
        <w:rPr>
          <w:rFonts w:ascii="Times New Roman" w:hAnsi="Times New Roman"/>
          <w:szCs w:val="24"/>
        </w:rPr>
        <w:t>A.</w:t>
      </w:r>
      <w:r w:rsidRPr="00094ED5">
        <w:rPr>
          <w:rFonts w:ascii="Times New Roman" w:hAnsi="Times New Roman"/>
          <w:szCs w:val="24"/>
        </w:rPr>
        <w:tab/>
      </w:r>
      <w:r w:rsidR="0036416B" w:rsidRPr="00094ED5">
        <w:rPr>
          <w:rFonts w:ascii="Times New Roman" w:hAnsi="Times New Roman"/>
          <w:szCs w:val="24"/>
        </w:rPr>
        <w:t xml:space="preserve">No.  </w:t>
      </w:r>
      <w:r w:rsidR="000D3524" w:rsidRPr="00094ED5">
        <w:rPr>
          <w:rFonts w:ascii="Times New Roman" w:hAnsi="Times New Roman"/>
          <w:szCs w:val="24"/>
        </w:rPr>
        <w:t xml:space="preserve">Since both Dedicated Facilities and other Schedule 48T customers are within a reasonable range of parity,  </w:t>
      </w:r>
      <w:r w:rsidR="000F128E">
        <w:rPr>
          <w:rFonts w:ascii="Times New Roman" w:hAnsi="Times New Roman"/>
          <w:szCs w:val="24"/>
        </w:rPr>
        <w:t>Boise’s</w:t>
      </w:r>
      <w:r w:rsidR="000D3524" w:rsidRPr="00094ED5">
        <w:rPr>
          <w:rFonts w:ascii="Times New Roman" w:hAnsi="Times New Roman"/>
          <w:szCs w:val="24"/>
        </w:rPr>
        <w:t xml:space="preserve"> proposal to allocate a below average increase to the rates for Dedicated Facilities through rate design compared to other customer rates on Schedule 48T is not justified. </w:t>
      </w:r>
      <w:r w:rsidR="00CA63A9">
        <w:rPr>
          <w:rFonts w:ascii="Times New Roman" w:hAnsi="Times New Roman"/>
          <w:szCs w:val="24"/>
        </w:rPr>
        <w:t xml:space="preserve"> </w:t>
      </w:r>
      <w:r w:rsidR="000F128E">
        <w:rPr>
          <w:rFonts w:ascii="Times New Roman" w:hAnsi="Times New Roman"/>
          <w:szCs w:val="24"/>
        </w:rPr>
        <w:t>Allowing one class of customers to receive</w:t>
      </w:r>
      <w:r w:rsidR="00304D3E" w:rsidRPr="00094ED5">
        <w:rPr>
          <w:rFonts w:ascii="Times New Roman" w:hAnsi="Times New Roman"/>
          <w:szCs w:val="24"/>
        </w:rPr>
        <w:t xml:space="preserve"> an increase that is more than five times the average increase </w:t>
      </w:r>
      <w:r w:rsidR="000F128E">
        <w:rPr>
          <w:rFonts w:ascii="Times New Roman" w:hAnsi="Times New Roman"/>
          <w:szCs w:val="24"/>
        </w:rPr>
        <w:t>would fail to respect</w:t>
      </w:r>
      <w:r w:rsidR="00304D3E" w:rsidRPr="00094ED5">
        <w:rPr>
          <w:rFonts w:ascii="Times New Roman" w:hAnsi="Times New Roman"/>
          <w:szCs w:val="24"/>
        </w:rPr>
        <w:t xml:space="preserve"> </w:t>
      </w:r>
      <w:r w:rsidR="007E5F31" w:rsidRPr="00094ED5">
        <w:rPr>
          <w:rFonts w:ascii="Times New Roman" w:hAnsi="Times New Roman"/>
          <w:szCs w:val="24"/>
        </w:rPr>
        <w:t>factors the Commission</w:t>
      </w:r>
      <w:r w:rsidR="00304D3E" w:rsidRPr="00094ED5">
        <w:rPr>
          <w:rFonts w:ascii="Times New Roman" w:hAnsi="Times New Roman"/>
          <w:szCs w:val="24"/>
        </w:rPr>
        <w:t xml:space="preserve"> has identified as necessary considerations when making changes in rate spread: fairness, gradualism</w:t>
      </w:r>
      <w:r w:rsidR="001F0C43">
        <w:rPr>
          <w:rFonts w:ascii="Times New Roman" w:hAnsi="Times New Roman"/>
          <w:szCs w:val="24"/>
        </w:rPr>
        <w:t>,</w:t>
      </w:r>
      <w:r w:rsidR="00304D3E" w:rsidRPr="001F0C43">
        <w:rPr>
          <w:rFonts w:ascii="Times New Roman" w:hAnsi="Times New Roman"/>
          <w:szCs w:val="24"/>
        </w:rPr>
        <w:t xml:space="preserve"> and ra</w:t>
      </w:r>
      <w:r w:rsidR="00304D3E" w:rsidRPr="00094ED5">
        <w:rPr>
          <w:rFonts w:ascii="Times New Roman" w:hAnsi="Times New Roman"/>
          <w:szCs w:val="24"/>
        </w:rPr>
        <w:t xml:space="preserve">te stability. </w:t>
      </w:r>
      <w:r w:rsidR="0036416B" w:rsidRPr="00094ED5">
        <w:rPr>
          <w:rFonts w:ascii="Times New Roman" w:hAnsi="Times New Roman"/>
          <w:szCs w:val="24"/>
        </w:rPr>
        <w:t xml:space="preserve"> </w:t>
      </w:r>
    </w:p>
    <w:p w:rsidR="001D0F79" w:rsidRPr="00094ED5" w:rsidRDefault="000D3524" w:rsidP="00485884">
      <w:pPr>
        <w:rPr>
          <w:rFonts w:ascii="Times New Roman" w:hAnsi="Times New Roman"/>
          <w:b/>
          <w:szCs w:val="24"/>
        </w:rPr>
      </w:pPr>
      <w:r w:rsidRPr="00094ED5">
        <w:rPr>
          <w:rFonts w:ascii="Times New Roman" w:hAnsi="Times New Roman"/>
          <w:b/>
          <w:szCs w:val="24"/>
        </w:rPr>
        <w:t>Q.</w:t>
      </w:r>
      <w:r w:rsidRPr="00094ED5">
        <w:rPr>
          <w:rFonts w:ascii="Times New Roman" w:hAnsi="Times New Roman"/>
          <w:b/>
          <w:szCs w:val="24"/>
        </w:rPr>
        <w:tab/>
      </w:r>
      <w:r w:rsidR="0036416B" w:rsidRPr="00094ED5">
        <w:rPr>
          <w:rFonts w:ascii="Times New Roman" w:hAnsi="Times New Roman"/>
          <w:b/>
          <w:szCs w:val="24"/>
        </w:rPr>
        <w:t>Does</w:t>
      </w:r>
      <w:r w:rsidR="001D0F79" w:rsidRPr="00094ED5">
        <w:rPr>
          <w:rFonts w:ascii="Times New Roman" w:hAnsi="Times New Roman"/>
          <w:b/>
          <w:szCs w:val="24"/>
        </w:rPr>
        <w:t xml:space="preserve"> the Company </w:t>
      </w:r>
      <w:r w:rsidR="008728C0" w:rsidRPr="00094ED5">
        <w:rPr>
          <w:rFonts w:ascii="Times New Roman" w:hAnsi="Times New Roman"/>
          <w:b/>
          <w:szCs w:val="24"/>
        </w:rPr>
        <w:t>oppose</w:t>
      </w:r>
      <w:r w:rsidR="001D0F79" w:rsidRPr="00094ED5">
        <w:rPr>
          <w:rFonts w:ascii="Times New Roman" w:hAnsi="Times New Roman"/>
          <w:b/>
          <w:szCs w:val="24"/>
        </w:rPr>
        <w:t xml:space="preserve"> </w:t>
      </w:r>
      <w:r w:rsidR="008728C0" w:rsidRPr="00094ED5">
        <w:rPr>
          <w:rFonts w:ascii="Times New Roman" w:hAnsi="Times New Roman"/>
          <w:b/>
          <w:szCs w:val="24"/>
        </w:rPr>
        <w:t xml:space="preserve">applying </w:t>
      </w:r>
      <w:r w:rsidR="000F128E">
        <w:rPr>
          <w:rFonts w:ascii="Times New Roman" w:hAnsi="Times New Roman"/>
          <w:b/>
          <w:szCs w:val="24"/>
        </w:rPr>
        <w:t>Boise’s</w:t>
      </w:r>
      <w:r w:rsidR="001D0F79" w:rsidRPr="00094ED5">
        <w:rPr>
          <w:rFonts w:ascii="Times New Roman" w:hAnsi="Times New Roman"/>
          <w:b/>
          <w:szCs w:val="24"/>
        </w:rPr>
        <w:t xml:space="preserve"> proposed rate design </w:t>
      </w:r>
      <w:r w:rsidR="008728C0" w:rsidRPr="00094ED5">
        <w:rPr>
          <w:rFonts w:ascii="Times New Roman" w:hAnsi="Times New Roman"/>
          <w:b/>
          <w:szCs w:val="24"/>
        </w:rPr>
        <w:t xml:space="preserve">logic </w:t>
      </w:r>
      <w:r w:rsidR="00CA63A9">
        <w:rPr>
          <w:rFonts w:ascii="Times New Roman" w:hAnsi="Times New Roman"/>
          <w:b/>
          <w:szCs w:val="24"/>
        </w:rPr>
        <w:t>for Schedule 48T</w:t>
      </w:r>
      <w:r w:rsidR="0078359B">
        <w:rPr>
          <w:rFonts w:ascii="Times New Roman" w:hAnsi="Times New Roman"/>
          <w:b/>
          <w:szCs w:val="24"/>
        </w:rPr>
        <w:t xml:space="preserve"> – </w:t>
      </w:r>
      <w:r w:rsidR="001D0F79" w:rsidRPr="00094ED5">
        <w:rPr>
          <w:rFonts w:ascii="Times New Roman" w:hAnsi="Times New Roman"/>
          <w:b/>
          <w:szCs w:val="24"/>
        </w:rPr>
        <w:t>Dedicated Facilities?</w:t>
      </w:r>
    </w:p>
    <w:p w:rsidR="001D0F79" w:rsidRPr="00094ED5" w:rsidRDefault="001D0F79" w:rsidP="00485884">
      <w:pPr>
        <w:rPr>
          <w:rFonts w:ascii="Times New Roman" w:hAnsi="Times New Roman"/>
          <w:szCs w:val="24"/>
        </w:rPr>
      </w:pPr>
      <w:r w:rsidRPr="00094ED5">
        <w:rPr>
          <w:rFonts w:ascii="Times New Roman" w:hAnsi="Times New Roman"/>
          <w:szCs w:val="24"/>
        </w:rPr>
        <w:t>A.</w:t>
      </w:r>
      <w:r w:rsidRPr="00094ED5">
        <w:rPr>
          <w:rFonts w:ascii="Times New Roman" w:hAnsi="Times New Roman"/>
          <w:szCs w:val="24"/>
        </w:rPr>
        <w:tab/>
      </w:r>
      <w:r w:rsidR="008728C0" w:rsidRPr="00094ED5">
        <w:rPr>
          <w:rFonts w:ascii="Times New Roman" w:hAnsi="Times New Roman"/>
          <w:szCs w:val="24"/>
        </w:rPr>
        <w:t>No</w:t>
      </w:r>
      <w:r w:rsidRPr="00094ED5">
        <w:rPr>
          <w:rFonts w:ascii="Times New Roman" w:hAnsi="Times New Roman"/>
          <w:szCs w:val="24"/>
        </w:rPr>
        <w:t>.</w:t>
      </w:r>
      <w:r w:rsidR="000D576C" w:rsidRPr="00094ED5">
        <w:rPr>
          <w:rFonts w:ascii="Times New Roman" w:hAnsi="Times New Roman"/>
          <w:szCs w:val="24"/>
        </w:rPr>
        <w:t xml:space="preserve">  </w:t>
      </w:r>
      <w:r w:rsidR="00133EBB" w:rsidRPr="00094ED5">
        <w:rPr>
          <w:rFonts w:ascii="Times New Roman" w:hAnsi="Times New Roman"/>
          <w:szCs w:val="24"/>
        </w:rPr>
        <w:t>After applying an equal percentage increase to</w:t>
      </w:r>
      <w:r w:rsidR="000969F6" w:rsidRPr="00094ED5">
        <w:rPr>
          <w:rFonts w:ascii="Times New Roman" w:hAnsi="Times New Roman"/>
          <w:szCs w:val="24"/>
        </w:rPr>
        <w:t xml:space="preserve"> rates for</w:t>
      </w:r>
      <w:r w:rsidR="00133EBB" w:rsidRPr="00094ED5">
        <w:rPr>
          <w:rFonts w:ascii="Times New Roman" w:hAnsi="Times New Roman"/>
          <w:szCs w:val="24"/>
        </w:rPr>
        <w:t xml:space="preserve"> Dedicated Facilities, t</w:t>
      </w:r>
      <w:r w:rsidR="000D576C" w:rsidRPr="00094ED5">
        <w:rPr>
          <w:rFonts w:ascii="Times New Roman" w:hAnsi="Times New Roman"/>
          <w:szCs w:val="24"/>
        </w:rPr>
        <w:t xml:space="preserve">he Company </w:t>
      </w:r>
      <w:r w:rsidR="008728C0" w:rsidRPr="00094ED5">
        <w:rPr>
          <w:rFonts w:ascii="Times New Roman" w:hAnsi="Times New Roman"/>
          <w:szCs w:val="24"/>
        </w:rPr>
        <w:t>does not oppose</w:t>
      </w:r>
      <w:r w:rsidR="000D576C" w:rsidRPr="00094ED5">
        <w:rPr>
          <w:rFonts w:ascii="Times New Roman" w:hAnsi="Times New Roman"/>
          <w:szCs w:val="24"/>
        </w:rPr>
        <w:t xml:space="preserve"> increasing the basic charge</w:t>
      </w:r>
      <w:r w:rsidR="000F128E">
        <w:rPr>
          <w:rFonts w:ascii="Times New Roman" w:hAnsi="Times New Roman"/>
          <w:szCs w:val="24"/>
        </w:rPr>
        <w:t xml:space="preserve"> for Dedicated Facilities by 25 </w:t>
      </w:r>
      <w:r w:rsidR="000D576C" w:rsidRPr="00094ED5">
        <w:rPr>
          <w:rFonts w:ascii="Times New Roman" w:hAnsi="Times New Roman"/>
          <w:szCs w:val="24"/>
        </w:rPr>
        <w:t>percent and spreading the remainder of its increase to demand charges</w:t>
      </w:r>
      <w:r w:rsidR="008728C0" w:rsidRPr="00094ED5">
        <w:rPr>
          <w:rFonts w:ascii="Times New Roman" w:hAnsi="Times New Roman"/>
          <w:szCs w:val="24"/>
        </w:rPr>
        <w:t xml:space="preserve">.  This is not inconsistent with what I proposed in my direct testimony where I recommended </w:t>
      </w:r>
      <w:r w:rsidR="005A108E" w:rsidRPr="00094ED5">
        <w:rPr>
          <w:rFonts w:ascii="Times New Roman" w:hAnsi="Times New Roman"/>
          <w:szCs w:val="24"/>
        </w:rPr>
        <w:t>greater increases to fixed charges for Dedicated Facilities.</w:t>
      </w:r>
      <w:r w:rsidR="000969F6" w:rsidRPr="00094ED5">
        <w:rPr>
          <w:rFonts w:ascii="Times New Roman" w:hAnsi="Times New Roman"/>
          <w:szCs w:val="24"/>
        </w:rPr>
        <w:t xml:space="preserve">  What I disagree with is shifting costs to other Schedule 48T customers as </w:t>
      </w:r>
      <w:r w:rsidR="000F128E">
        <w:rPr>
          <w:rFonts w:ascii="Times New Roman" w:hAnsi="Times New Roman"/>
          <w:szCs w:val="24"/>
        </w:rPr>
        <w:t>Boise proposes</w:t>
      </w:r>
      <w:r w:rsidR="000969F6" w:rsidRPr="00094ED5">
        <w:rPr>
          <w:rFonts w:ascii="Times New Roman" w:hAnsi="Times New Roman"/>
          <w:szCs w:val="24"/>
        </w:rPr>
        <w:t>.  I</w:t>
      </w:r>
      <w:r w:rsidR="00370B25" w:rsidRPr="00094ED5">
        <w:rPr>
          <w:rFonts w:ascii="Times New Roman" w:hAnsi="Times New Roman"/>
          <w:szCs w:val="24"/>
        </w:rPr>
        <w:t>n light of th</w:t>
      </w:r>
      <w:r w:rsidR="000969F6" w:rsidRPr="00094ED5">
        <w:rPr>
          <w:rFonts w:ascii="Times New Roman" w:hAnsi="Times New Roman"/>
          <w:szCs w:val="24"/>
        </w:rPr>
        <w:t>is</w:t>
      </w:r>
      <w:r w:rsidR="00370B25" w:rsidRPr="00094ED5">
        <w:rPr>
          <w:rFonts w:ascii="Times New Roman" w:hAnsi="Times New Roman"/>
          <w:szCs w:val="24"/>
        </w:rPr>
        <w:t xml:space="preserve"> discrepancy in impacts to other customers, the Company recommends that the Commission adopt the Company’s proposed rate design for other Schedule 48T customers, which is based on applying the class average increase to all billing charges.</w:t>
      </w:r>
      <w:r w:rsidR="00133EBB" w:rsidRPr="00094ED5">
        <w:rPr>
          <w:rFonts w:ascii="Times New Roman" w:hAnsi="Times New Roman"/>
          <w:szCs w:val="24"/>
        </w:rPr>
        <w:t xml:space="preserve">  This provides more reasonable and consistent impacts across the other customers. </w:t>
      </w:r>
    </w:p>
    <w:p w:rsidR="00266A5D" w:rsidRPr="00094ED5" w:rsidRDefault="00266A5D" w:rsidP="00266A5D">
      <w:pPr>
        <w:rPr>
          <w:rFonts w:ascii="Times New Roman" w:hAnsi="Times New Roman"/>
          <w:b/>
          <w:szCs w:val="24"/>
          <w:u w:val="single"/>
        </w:rPr>
      </w:pPr>
      <w:r w:rsidRPr="00094ED5">
        <w:rPr>
          <w:rFonts w:ascii="Times New Roman" w:hAnsi="Times New Roman"/>
          <w:b/>
          <w:szCs w:val="24"/>
          <w:u w:val="single"/>
        </w:rPr>
        <w:t xml:space="preserve">Response </w:t>
      </w:r>
      <w:r w:rsidR="000D3524" w:rsidRPr="00094ED5">
        <w:rPr>
          <w:rFonts w:ascii="Times New Roman" w:hAnsi="Times New Roman"/>
          <w:b/>
          <w:szCs w:val="24"/>
          <w:u w:val="single"/>
        </w:rPr>
        <w:t>to</w:t>
      </w:r>
      <w:r w:rsidRPr="00094ED5">
        <w:rPr>
          <w:rFonts w:ascii="Times New Roman" w:hAnsi="Times New Roman"/>
          <w:b/>
          <w:szCs w:val="24"/>
          <w:u w:val="single"/>
        </w:rPr>
        <w:t xml:space="preserve"> Staff Witness Ms. Van Meter</w:t>
      </w:r>
    </w:p>
    <w:p w:rsidR="00266A5D" w:rsidRPr="00094ED5" w:rsidRDefault="00D56F8D" w:rsidP="00567C19">
      <w:pPr>
        <w:rPr>
          <w:rFonts w:ascii="Times New Roman" w:hAnsi="Times New Roman"/>
          <w:b/>
          <w:szCs w:val="24"/>
        </w:rPr>
      </w:pPr>
      <w:r w:rsidRPr="00094ED5">
        <w:rPr>
          <w:rFonts w:ascii="Times New Roman" w:hAnsi="Times New Roman"/>
          <w:b/>
          <w:szCs w:val="24"/>
        </w:rPr>
        <w:t>Q.</w:t>
      </w:r>
      <w:r w:rsidRPr="00094ED5">
        <w:rPr>
          <w:rFonts w:ascii="Times New Roman" w:hAnsi="Times New Roman"/>
          <w:b/>
          <w:szCs w:val="24"/>
        </w:rPr>
        <w:tab/>
      </w:r>
      <w:r w:rsidR="0071048C">
        <w:rPr>
          <w:rFonts w:ascii="Times New Roman" w:hAnsi="Times New Roman"/>
          <w:b/>
          <w:szCs w:val="24"/>
        </w:rPr>
        <w:t xml:space="preserve">Staff questions the reasonableness of using an equal percentage rate spread. </w:t>
      </w:r>
      <w:r w:rsidRPr="00094ED5">
        <w:rPr>
          <w:rFonts w:ascii="Times New Roman" w:hAnsi="Times New Roman"/>
          <w:b/>
          <w:szCs w:val="24"/>
        </w:rPr>
        <w:t xml:space="preserve">Does the Company still believe the proposed </w:t>
      </w:r>
      <w:r w:rsidR="005A7DDF" w:rsidRPr="00094ED5">
        <w:rPr>
          <w:rFonts w:ascii="Times New Roman" w:hAnsi="Times New Roman"/>
          <w:b/>
          <w:szCs w:val="24"/>
        </w:rPr>
        <w:t>equal percent</w:t>
      </w:r>
      <w:r w:rsidR="0088700E" w:rsidRPr="00094ED5">
        <w:rPr>
          <w:rFonts w:ascii="Times New Roman" w:hAnsi="Times New Roman"/>
          <w:b/>
          <w:szCs w:val="24"/>
        </w:rPr>
        <w:t>age</w:t>
      </w:r>
      <w:r w:rsidR="005A7DDF" w:rsidRPr="00094ED5">
        <w:rPr>
          <w:rFonts w:ascii="Times New Roman" w:hAnsi="Times New Roman"/>
          <w:b/>
          <w:szCs w:val="24"/>
        </w:rPr>
        <w:t xml:space="preserve"> </w:t>
      </w:r>
      <w:r w:rsidRPr="00094ED5">
        <w:rPr>
          <w:rFonts w:ascii="Times New Roman" w:hAnsi="Times New Roman"/>
          <w:b/>
          <w:szCs w:val="24"/>
        </w:rPr>
        <w:t>rate spread is reasonable?</w:t>
      </w:r>
    </w:p>
    <w:p w:rsidR="00304D3E" w:rsidRPr="00094ED5" w:rsidRDefault="006B788E" w:rsidP="009338C6">
      <w:pPr>
        <w:rPr>
          <w:rFonts w:ascii="Times New Roman" w:hAnsi="Times New Roman"/>
          <w:szCs w:val="24"/>
        </w:rPr>
      </w:pPr>
      <w:r w:rsidRPr="00094ED5">
        <w:rPr>
          <w:rFonts w:ascii="Times New Roman" w:hAnsi="Times New Roman"/>
          <w:szCs w:val="24"/>
        </w:rPr>
        <w:t>A.</w:t>
      </w:r>
      <w:r w:rsidRPr="00094ED5">
        <w:rPr>
          <w:rFonts w:ascii="Times New Roman" w:hAnsi="Times New Roman"/>
          <w:szCs w:val="24"/>
        </w:rPr>
        <w:tab/>
        <w:t xml:space="preserve">Yes. </w:t>
      </w:r>
      <w:r w:rsidR="00CA6914" w:rsidRPr="00094ED5">
        <w:rPr>
          <w:rFonts w:ascii="Times New Roman" w:hAnsi="Times New Roman"/>
          <w:szCs w:val="24"/>
        </w:rPr>
        <w:t xml:space="preserve"> </w:t>
      </w:r>
      <w:r w:rsidRPr="00094ED5">
        <w:rPr>
          <w:rFonts w:ascii="Times New Roman" w:hAnsi="Times New Roman"/>
          <w:szCs w:val="24"/>
        </w:rPr>
        <w:t xml:space="preserve">Table </w:t>
      </w:r>
      <w:r w:rsidR="000969F6" w:rsidRPr="00094ED5">
        <w:rPr>
          <w:rFonts w:ascii="Times New Roman" w:hAnsi="Times New Roman"/>
          <w:szCs w:val="24"/>
        </w:rPr>
        <w:t>2</w:t>
      </w:r>
      <w:r w:rsidRPr="00094ED5">
        <w:rPr>
          <w:rFonts w:ascii="Times New Roman" w:hAnsi="Times New Roman"/>
          <w:szCs w:val="24"/>
        </w:rPr>
        <w:t xml:space="preserve"> below shows </w:t>
      </w:r>
      <w:r w:rsidR="002C4CC9" w:rsidRPr="00094ED5">
        <w:rPr>
          <w:rFonts w:ascii="Times New Roman" w:hAnsi="Times New Roman"/>
          <w:szCs w:val="24"/>
        </w:rPr>
        <w:t xml:space="preserve">that </w:t>
      </w:r>
      <w:r w:rsidRPr="00094ED5">
        <w:rPr>
          <w:rFonts w:ascii="Times New Roman" w:hAnsi="Times New Roman"/>
          <w:szCs w:val="24"/>
        </w:rPr>
        <w:t xml:space="preserve">the </w:t>
      </w:r>
      <w:r w:rsidR="00354384" w:rsidRPr="00094ED5">
        <w:rPr>
          <w:rFonts w:ascii="Times New Roman" w:hAnsi="Times New Roman"/>
          <w:szCs w:val="24"/>
        </w:rPr>
        <w:t xml:space="preserve">Company’s proposed rate spread is comparable to the </w:t>
      </w:r>
      <w:r w:rsidRPr="00094ED5">
        <w:rPr>
          <w:rFonts w:ascii="Times New Roman" w:hAnsi="Times New Roman"/>
          <w:szCs w:val="24"/>
        </w:rPr>
        <w:t>ordered rate spread</w:t>
      </w:r>
      <w:r w:rsidR="002C4CC9" w:rsidRPr="00094ED5">
        <w:rPr>
          <w:rFonts w:ascii="Times New Roman" w:hAnsi="Times New Roman"/>
          <w:szCs w:val="24"/>
        </w:rPr>
        <w:t>s</w:t>
      </w:r>
      <w:r w:rsidRPr="00094ED5">
        <w:rPr>
          <w:rFonts w:ascii="Times New Roman" w:hAnsi="Times New Roman"/>
          <w:szCs w:val="24"/>
        </w:rPr>
        <w:t xml:space="preserve"> in the </w:t>
      </w:r>
      <w:r w:rsidR="002C4CC9" w:rsidRPr="00094ED5">
        <w:rPr>
          <w:rFonts w:ascii="Times New Roman" w:hAnsi="Times New Roman"/>
          <w:szCs w:val="24"/>
        </w:rPr>
        <w:t>l</w:t>
      </w:r>
      <w:r w:rsidRPr="00094ED5">
        <w:rPr>
          <w:rFonts w:ascii="Times New Roman" w:hAnsi="Times New Roman"/>
          <w:szCs w:val="24"/>
        </w:rPr>
        <w:t xml:space="preserve">ast five general rate </w:t>
      </w:r>
      <w:r w:rsidR="002C4CC9" w:rsidRPr="00094ED5">
        <w:rPr>
          <w:rFonts w:ascii="Times New Roman" w:hAnsi="Times New Roman"/>
          <w:szCs w:val="24"/>
        </w:rPr>
        <w:t>cases</w:t>
      </w:r>
      <w:r w:rsidR="005B40AF" w:rsidRPr="00094ED5">
        <w:rPr>
          <w:rFonts w:ascii="Times New Roman" w:hAnsi="Times New Roman"/>
          <w:szCs w:val="24"/>
        </w:rPr>
        <w:t>.</w:t>
      </w:r>
    </w:p>
    <w:p w:rsidR="002C4CC9" w:rsidRPr="000F128E" w:rsidRDefault="000F128E" w:rsidP="00DF5724">
      <w:pPr>
        <w:suppressLineNumbers/>
        <w:jc w:val="center"/>
        <w:rPr>
          <w:rFonts w:ascii="Times New Roman" w:hAnsi="Times New Roman"/>
          <w:b/>
          <w:szCs w:val="24"/>
        </w:rPr>
      </w:pPr>
      <w:r w:rsidRPr="000F128E">
        <w:rPr>
          <w:rFonts w:ascii="Times New Roman" w:hAnsi="Times New Roman"/>
          <w:b/>
          <w:szCs w:val="24"/>
        </w:rPr>
        <w:t>TABLE 2</w:t>
      </w:r>
    </w:p>
    <w:p w:rsidR="00410352" w:rsidRPr="00094ED5" w:rsidRDefault="00410352" w:rsidP="00DF5724">
      <w:pPr>
        <w:suppressLineNumbers/>
        <w:jc w:val="center"/>
        <w:rPr>
          <w:rFonts w:ascii="Times New Roman" w:hAnsi="Times New Roman"/>
          <w:szCs w:val="24"/>
        </w:rPr>
      </w:pPr>
      <w:r w:rsidRPr="00094ED5">
        <w:rPr>
          <w:rFonts w:ascii="Times New Roman" w:hAnsi="Times New Roman"/>
          <w:noProof/>
          <w:szCs w:val="24"/>
        </w:rPr>
        <w:drawing>
          <wp:inline distT="0" distB="0" distL="0" distR="0" wp14:anchorId="0E9A3023" wp14:editId="4C356D21">
            <wp:extent cx="5486400" cy="1747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747123"/>
                    </a:xfrm>
                    <a:prstGeom prst="rect">
                      <a:avLst/>
                    </a:prstGeom>
                    <a:noFill/>
                    <a:ln>
                      <a:noFill/>
                    </a:ln>
                  </pic:spPr>
                </pic:pic>
              </a:graphicData>
            </a:graphic>
          </wp:inline>
        </w:drawing>
      </w:r>
    </w:p>
    <w:p w:rsidR="00DD3FE1" w:rsidRPr="00094ED5" w:rsidRDefault="00DD3FE1" w:rsidP="00DF5724">
      <w:pPr>
        <w:ind w:firstLine="720"/>
        <w:rPr>
          <w:rFonts w:ascii="Times New Roman" w:hAnsi="Times New Roman"/>
          <w:szCs w:val="24"/>
        </w:rPr>
      </w:pPr>
      <w:r w:rsidRPr="00B1786E">
        <w:rPr>
          <w:rFonts w:ascii="Times New Roman" w:hAnsi="Times New Roman"/>
          <w:szCs w:val="24"/>
        </w:rPr>
        <w:t xml:space="preserve">While </w:t>
      </w:r>
      <w:r w:rsidR="000F128E">
        <w:rPr>
          <w:rFonts w:ascii="Times New Roman" w:hAnsi="Times New Roman"/>
          <w:szCs w:val="24"/>
        </w:rPr>
        <w:t>Staff</w:t>
      </w:r>
      <w:r w:rsidRPr="00B1786E">
        <w:rPr>
          <w:rFonts w:ascii="Times New Roman" w:hAnsi="Times New Roman"/>
          <w:szCs w:val="24"/>
        </w:rPr>
        <w:t xml:space="preserve"> argues in her direct tes</w:t>
      </w:r>
      <w:r w:rsidRPr="001F0C43">
        <w:rPr>
          <w:rFonts w:ascii="Times New Roman" w:hAnsi="Times New Roman"/>
          <w:szCs w:val="24"/>
        </w:rPr>
        <w:t>timony that it is not appropriate “to apply across-the-board rate increases to the different rate classes</w:t>
      </w:r>
      <w:r w:rsidR="0088700E" w:rsidRPr="00094ED5">
        <w:rPr>
          <w:rFonts w:ascii="Times New Roman" w:hAnsi="Times New Roman"/>
          <w:szCs w:val="24"/>
        </w:rPr>
        <w:t>,</w:t>
      </w:r>
      <w:r w:rsidRPr="00094ED5">
        <w:rPr>
          <w:rFonts w:ascii="Times New Roman" w:hAnsi="Times New Roman"/>
          <w:szCs w:val="24"/>
        </w:rPr>
        <w:t>”</w:t>
      </w:r>
      <w:r w:rsidR="00810649" w:rsidRPr="00810649">
        <w:rPr>
          <w:rStyle w:val="FootnoteReference"/>
          <w:rFonts w:ascii="Times New Roman" w:hAnsi="Times New Roman"/>
          <w:szCs w:val="24"/>
          <w:vertAlign w:val="superscript"/>
        </w:rPr>
        <w:footnoteReference w:id="21"/>
      </w:r>
      <w:r w:rsidRPr="00094ED5">
        <w:rPr>
          <w:rFonts w:ascii="Times New Roman" w:hAnsi="Times New Roman"/>
          <w:szCs w:val="24"/>
        </w:rPr>
        <w:t xml:space="preserve"> the Company’s experience of Commission</w:t>
      </w:r>
      <w:r w:rsidR="0088700E" w:rsidRPr="00094ED5">
        <w:rPr>
          <w:rFonts w:ascii="Times New Roman" w:hAnsi="Times New Roman"/>
          <w:szCs w:val="24"/>
        </w:rPr>
        <w:t>-</w:t>
      </w:r>
      <w:r w:rsidRPr="00094ED5">
        <w:rPr>
          <w:rFonts w:ascii="Times New Roman" w:hAnsi="Times New Roman"/>
          <w:szCs w:val="24"/>
        </w:rPr>
        <w:t xml:space="preserve">approved </w:t>
      </w:r>
      <w:r w:rsidR="0088700E" w:rsidRPr="00094ED5">
        <w:rPr>
          <w:rFonts w:ascii="Times New Roman" w:hAnsi="Times New Roman"/>
          <w:szCs w:val="24"/>
        </w:rPr>
        <w:t>allocations</w:t>
      </w:r>
      <w:r w:rsidR="00370B25" w:rsidRPr="00094ED5">
        <w:rPr>
          <w:rFonts w:ascii="Times New Roman" w:hAnsi="Times New Roman"/>
          <w:szCs w:val="24"/>
        </w:rPr>
        <w:t>, as shown</w:t>
      </w:r>
      <w:r w:rsidRPr="00094ED5">
        <w:rPr>
          <w:rFonts w:ascii="Times New Roman" w:hAnsi="Times New Roman"/>
          <w:szCs w:val="24"/>
        </w:rPr>
        <w:t xml:space="preserve"> in Table </w:t>
      </w:r>
      <w:r w:rsidR="0088700E" w:rsidRPr="00094ED5">
        <w:rPr>
          <w:rFonts w:ascii="Times New Roman" w:hAnsi="Times New Roman"/>
          <w:szCs w:val="24"/>
        </w:rPr>
        <w:t>2</w:t>
      </w:r>
      <w:r w:rsidR="00370B25" w:rsidRPr="00094ED5">
        <w:rPr>
          <w:rFonts w:ascii="Times New Roman" w:hAnsi="Times New Roman"/>
          <w:szCs w:val="24"/>
        </w:rPr>
        <w:t>, show that equal percentage increases have been accepted or ordered by the Commission on a relatively consistent basis</w:t>
      </w:r>
      <w:r w:rsidRPr="00094ED5">
        <w:rPr>
          <w:rFonts w:ascii="Times New Roman" w:hAnsi="Times New Roman"/>
          <w:szCs w:val="24"/>
        </w:rPr>
        <w:t>.</w:t>
      </w:r>
    </w:p>
    <w:p w:rsidR="006B788E" w:rsidRPr="00094ED5" w:rsidRDefault="00D5537D" w:rsidP="00567C19">
      <w:pPr>
        <w:rPr>
          <w:rFonts w:ascii="Times New Roman" w:hAnsi="Times New Roman"/>
          <w:b/>
          <w:szCs w:val="24"/>
        </w:rPr>
      </w:pPr>
      <w:r w:rsidRPr="00094ED5">
        <w:rPr>
          <w:rFonts w:ascii="Times New Roman" w:hAnsi="Times New Roman"/>
          <w:b/>
          <w:szCs w:val="24"/>
        </w:rPr>
        <w:t>Q.</w:t>
      </w:r>
      <w:r w:rsidRPr="00094ED5">
        <w:rPr>
          <w:rFonts w:ascii="Times New Roman" w:hAnsi="Times New Roman"/>
          <w:b/>
          <w:szCs w:val="24"/>
        </w:rPr>
        <w:tab/>
        <w:t xml:space="preserve">Does the Company believe that a </w:t>
      </w:r>
      <w:r w:rsidR="00AC0A62" w:rsidRPr="00094ED5">
        <w:rPr>
          <w:rFonts w:ascii="Times New Roman" w:hAnsi="Times New Roman"/>
          <w:b/>
          <w:szCs w:val="24"/>
        </w:rPr>
        <w:t xml:space="preserve">cost of service </w:t>
      </w:r>
      <w:r w:rsidRPr="00094ED5">
        <w:rPr>
          <w:rFonts w:ascii="Times New Roman" w:hAnsi="Times New Roman"/>
          <w:b/>
          <w:szCs w:val="24"/>
        </w:rPr>
        <w:t>study is necessary</w:t>
      </w:r>
      <w:r w:rsidR="00CA6914" w:rsidRPr="00094ED5">
        <w:rPr>
          <w:rFonts w:ascii="Times New Roman" w:hAnsi="Times New Roman"/>
          <w:b/>
          <w:szCs w:val="24"/>
        </w:rPr>
        <w:t xml:space="preserve"> for this filing</w:t>
      </w:r>
      <w:r w:rsidRPr="00094ED5">
        <w:rPr>
          <w:rFonts w:ascii="Times New Roman" w:hAnsi="Times New Roman"/>
          <w:b/>
          <w:szCs w:val="24"/>
        </w:rPr>
        <w:t>?</w:t>
      </w:r>
    </w:p>
    <w:p w:rsidR="00D5537D" w:rsidRPr="00094ED5" w:rsidRDefault="00D5537D" w:rsidP="00567C19">
      <w:pPr>
        <w:rPr>
          <w:rFonts w:ascii="Times New Roman" w:hAnsi="Times New Roman"/>
          <w:szCs w:val="24"/>
        </w:rPr>
      </w:pPr>
      <w:r w:rsidRPr="00094ED5">
        <w:rPr>
          <w:rFonts w:ascii="Times New Roman" w:hAnsi="Times New Roman"/>
          <w:szCs w:val="24"/>
        </w:rPr>
        <w:t>A.</w:t>
      </w:r>
      <w:r w:rsidRPr="00094ED5">
        <w:rPr>
          <w:rFonts w:ascii="Times New Roman" w:hAnsi="Times New Roman"/>
          <w:szCs w:val="24"/>
        </w:rPr>
        <w:tab/>
      </w:r>
      <w:r w:rsidR="00CA6914" w:rsidRPr="00094ED5">
        <w:rPr>
          <w:rFonts w:ascii="Times New Roman" w:hAnsi="Times New Roman"/>
          <w:szCs w:val="24"/>
        </w:rPr>
        <w:t>No</w:t>
      </w:r>
      <w:r w:rsidR="00AC0A62" w:rsidRPr="00094ED5">
        <w:rPr>
          <w:rFonts w:ascii="Times New Roman" w:hAnsi="Times New Roman"/>
          <w:szCs w:val="24"/>
        </w:rPr>
        <w:t xml:space="preserve">. </w:t>
      </w:r>
      <w:r w:rsidR="001F0C43">
        <w:rPr>
          <w:rFonts w:ascii="Times New Roman" w:hAnsi="Times New Roman"/>
          <w:szCs w:val="24"/>
        </w:rPr>
        <w:t xml:space="preserve"> </w:t>
      </w:r>
      <w:r w:rsidR="00AC0A62" w:rsidRPr="001F0C43">
        <w:rPr>
          <w:rFonts w:ascii="Times New Roman" w:hAnsi="Times New Roman"/>
          <w:szCs w:val="24"/>
        </w:rPr>
        <w:t xml:space="preserve">With the cost of service study litigated in the 2014 Rate Case plus the ordered rate spread </w:t>
      </w:r>
      <w:r w:rsidR="00D22363" w:rsidRPr="00094ED5">
        <w:rPr>
          <w:rFonts w:ascii="Times New Roman" w:hAnsi="Times New Roman"/>
          <w:szCs w:val="24"/>
        </w:rPr>
        <w:t>bringing all classes within a reasonable range of parity (10 percent) of cost of service as s</w:t>
      </w:r>
      <w:r w:rsidR="00AC0A62" w:rsidRPr="00094ED5">
        <w:rPr>
          <w:rFonts w:ascii="Times New Roman" w:hAnsi="Times New Roman"/>
          <w:szCs w:val="24"/>
        </w:rPr>
        <w:t xml:space="preserve">hown </w:t>
      </w:r>
      <w:r w:rsidR="00E22A15" w:rsidRPr="00094ED5">
        <w:rPr>
          <w:rFonts w:ascii="Times New Roman" w:hAnsi="Times New Roman"/>
          <w:szCs w:val="24"/>
        </w:rPr>
        <w:t>o</w:t>
      </w:r>
      <w:r w:rsidR="00AC0A62" w:rsidRPr="00094ED5">
        <w:rPr>
          <w:rFonts w:ascii="Times New Roman" w:hAnsi="Times New Roman"/>
          <w:szCs w:val="24"/>
        </w:rPr>
        <w:t xml:space="preserve">n Table 1 </w:t>
      </w:r>
      <w:r w:rsidR="00D22363" w:rsidRPr="00094ED5">
        <w:rPr>
          <w:rFonts w:ascii="Times New Roman" w:hAnsi="Times New Roman"/>
          <w:szCs w:val="24"/>
        </w:rPr>
        <w:t xml:space="preserve">of </w:t>
      </w:r>
      <w:r w:rsidR="00E22A15" w:rsidRPr="00094ED5">
        <w:rPr>
          <w:rFonts w:ascii="Times New Roman" w:hAnsi="Times New Roman"/>
          <w:szCs w:val="24"/>
        </w:rPr>
        <w:t>my direct testimony</w:t>
      </w:r>
      <w:r w:rsidR="00D22363" w:rsidRPr="00094ED5">
        <w:rPr>
          <w:rFonts w:ascii="Times New Roman" w:hAnsi="Times New Roman"/>
          <w:szCs w:val="24"/>
        </w:rPr>
        <w:t xml:space="preserve">, the Company believes </w:t>
      </w:r>
      <w:r w:rsidR="00E22A15" w:rsidRPr="00094ED5">
        <w:rPr>
          <w:rFonts w:ascii="Times New Roman" w:hAnsi="Times New Roman"/>
          <w:szCs w:val="24"/>
        </w:rPr>
        <w:t>a new</w:t>
      </w:r>
      <w:r w:rsidR="00D22363" w:rsidRPr="00094ED5">
        <w:rPr>
          <w:rFonts w:ascii="Times New Roman" w:hAnsi="Times New Roman"/>
          <w:szCs w:val="24"/>
        </w:rPr>
        <w:t xml:space="preserve"> cost of service study is unnecessary</w:t>
      </w:r>
      <w:r w:rsidR="00E22A15" w:rsidRPr="00094ED5">
        <w:rPr>
          <w:rFonts w:ascii="Times New Roman" w:hAnsi="Times New Roman"/>
          <w:szCs w:val="24"/>
        </w:rPr>
        <w:t xml:space="preserve"> for this </w:t>
      </w:r>
      <w:r w:rsidR="000F128E">
        <w:rPr>
          <w:rFonts w:ascii="Times New Roman" w:hAnsi="Times New Roman"/>
          <w:szCs w:val="24"/>
        </w:rPr>
        <w:t>limited-issue filing</w:t>
      </w:r>
      <w:r w:rsidR="00D22363" w:rsidRPr="00094ED5">
        <w:rPr>
          <w:rFonts w:ascii="Times New Roman" w:hAnsi="Times New Roman"/>
          <w:szCs w:val="24"/>
        </w:rPr>
        <w:t xml:space="preserve">. </w:t>
      </w:r>
    </w:p>
    <w:p w:rsidR="0054713D" w:rsidRPr="00094ED5" w:rsidRDefault="0054713D" w:rsidP="00FC7407">
      <w:pPr>
        <w:pStyle w:val="Heading1"/>
        <w:rPr>
          <w:rFonts w:ascii="Times New Roman" w:hAnsi="Times New Roman"/>
          <w:szCs w:val="24"/>
        </w:rPr>
      </w:pPr>
      <w:bookmarkStart w:id="9" w:name="_Toc447533894"/>
      <w:r w:rsidRPr="00094ED5">
        <w:rPr>
          <w:rFonts w:ascii="Times New Roman" w:hAnsi="Times New Roman"/>
          <w:szCs w:val="24"/>
        </w:rPr>
        <w:t>C</w:t>
      </w:r>
      <w:r w:rsidR="004F2969" w:rsidRPr="00094ED5">
        <w:rPr>
          <w:rFonts w:ascii="Times New Roman" w:hAnsi="Times New Roman"/>
          <w:szCs w:val="24"/>
        </w:rPr>
        <w:t>OLLABORATIVE</w:t>
      </w:r>
      <w:bookmarkEnd w:id="9"/>
    </w:p>
    <w:p w:rsidR="00CA6914" w:rsidRPr="00094ED5" w:rsidRDefault="00D5537D" w:rsidP="00567C19">
      <w:pPr>
        <w:rPr>
          <w:rFonts w:ascii="Times New Roman" w:hAnsi="Times New Roman"/>
          <w:b/>
          <w:szCs w:val="24"/>
        </w:rPr>
      </w:pPr>
      <w:r w:rsidRPr="006F199C">
        <w:rPr>
          <w:rFonts w:ascii="Times New Roman" w:hAnsi="Times New Roman"/>
          <w:b/>
          <w:szCs w:val="24"/>
        </w:rPr>
        <w:t>Q.</w:t>
      </w:r>
      <w:r w:rsidRPr="006F199C">
        <w:rPr>
          <w:rFonts w:ascii="Times New Roman" w:hAnsi="Times New Roman"/>
          <w:b/>
          <w:szCs w:val="24"/>
        </w:rPr>
        <w:tab/>
      </w:r>
      <w:r w:rsidR="00370B25" w:rsidRPr="00B1786E">
        <w:rPr>
          <w:rFonts w:ascii="Times New Roman" w:hAnsi="Times New Roman"/>
          <w:b/>
          <w:szCs w:val="24"/>
        </w:rPr>
        <w:t>Does</w:t>
      </w:r>
      <w:r w:rsidRPr="001F0C43">
        <w:rPr>
          <w:rFonts w:ascii="Times New Roman" w:hAnsi="Times New Roman"/>
          <w:b/>
          <w:szCs w:val="24"/>
        </w:rPr>
        <w:t xml:space="preserve"> the Company agree to </w:t>
      </w:r>
      <w:r w:rsidR="0054713D" w:rsidRPr="001F0C43">
        <w:rPr>
          <w:rFonts w:ascii="Times New Roman" w:hAnsi="Times New Roman"/>
          <w:b/>
          <w:szCs w:val="24"/>
        </w:rPr>
        <w:t xml:space="preserve">participate in </w:t>
      </w:r>
      <w:r w:rsidRPr="001F0C43">
        <w:rPr>
          <w:rFonts w:ascii="Times New Roman" w:hAnsi="Times New Roman"/>
          <w:b/>
          <w:szCs w:val="24"/>
        </w:rPr>
        <w:t xml:space="preserve">a </w:t>
      </w:r>
      <w:r w:rsidR="00370B25" w:rsidRPr="001F0C43">
        <w:rPr>
          <w:rFonts w:ascii="Times New Roman" w:hAnsi="Times New Roman"/>
          <w:b/>
          <w:szCs w:val="24"/>
        </w:rPr>
        <w:t>c</w:t>
      </w:r>
      <w:r w:rsidR="00CA6914" w:rsidRPr="00094ED5">
        <w:rPr>
          <w:rFonts w:ascii="Times New Roman" w:hAnsi="Times New Roman"/>
          <w:b/>
          <w:szCs w:val="24"/>
        </w:rPr>
        <w:t xml:space="preserve">ost of </w:t>
      </w:r>
      <w:r w:rsidR="00370B25" w:rsidRPr="00094ED5">
        <w:rPr>
          <w:rFonts w:ascii="Times New Roman" w:hAnsi="Times New Roman"/>
          <w:b/>
          <w:szCs w:val="24"/>
        </w:rPr>
        <w:t>s</w:t>
      </w:r>
      <w:r w:rsidR="00CA6914" w:rsidRPr="00094ED5">
        <w:rPr>
          <w:rFonts w:ascii="Times New Roman" w:hAnsi="Times New Roman"/>
          <w:b/>
          <w:szCs w:val="24"/>
        </w:rPr>
        <w:t>ervice</w:t>
      </w:r>
      <w:r w:rsidR="00370B25" w:rsidRPr="00094ED5">
        <w:rPr>
          <w:rFonts w:ascii="Times New Roman" w:hAnsi="Times New Roman"/>
          <w:b/>
          <w:szCs w:val="24"/>
        </w:rPr>
        <w:t xml:space="preserve"> and r</w:t>
      </w:r>
      <w:r w:rsidRPr="00094ED5">
        <w:rPr>
          <w:rFonts w:ascii="Times New Roman" w:hAnsi="Times New Roman"/>
          <w:b/>
          <w:szCs w:val="24"/>
        </w:rPr>
        <w:t xml:space="preserve">ate </w:t>
      </w:r>
      <w:r w:rsidR="00370B25" w:rsidRPr="00094ED5">
        <w:rPr>
          <w:rFonts w:ascii="Times New Roman" w:hAnsi="Times New Roman"/>
          <w:b/>
          <w:szCs w:val="24"/>
        </w:rPr>
        <w:t>d</w:t>
      </w:r>
      <w:r w:rsidRPr="00094ED5">
        <w:rPr>
          <w:rFonts w:ascii="Times New Roman" w:hAnsi="Times New Roman"/>
          <w:b/>
          <w:szCs w:val="24"/>
        </w:rPr>
        <w:t>esign collaborative?</w:t>
      </w:r>
    </w:p>
    <w:p w:rsidR="00D5537D" w:rsidRPr="00094ED5" w:rsidRDefault="00D5537D" w:rsidP="00567C19">
      <w:pPr>
        <w:rPr>
          <w:rFonts w:ascii="Times New Roman" w:hAnsi="Times New Roman"/>
          <w:szCs w:val="24"/>
        </w:rPr>
      </w:pPr>
      <w:r w:rsidRPr="00094ED5">
        <w:rPr>
          <w:rFonts w:ascii="Times New Roman" w:hAnsi="Times New Roman"/>
          <w:szCs w:val="24"/>
        </w:rPr>
        <w:t>A.</w:t>
      </w:r>
      <w:r w:rsidRPr="00094ED5">
        <w:rPr>
          <w:rFonts w:ascii="Times New Roman" w:hAnsi="Times New Roman"/>
          <w:szCs w:val="24"/>
        </w:rPr>
        <w:tab/>
        <w:t xml:space="preserve">Yes. </w:t>
      </w:r>
      <w:r w:rsidR="00CA6914" w:rsidRPr="00094ED5">
        <w:rPr>
          <w:rFonts w:ascii="Times New Roman" w:hAnsi="Times New Roman"/>
          <w:szCs w:val="24"/>
        </w:rPr>
        <w:t xml:space="preserve"> </w:t>
      </w:r>
      <w:r w:rsidRPr="00094ED5">
        <w:rPr>
          <w:rFonts w:ascii="Times New Roman" w:hAnsi="Times New Roman"/>
          <w:szCs w:val="24"/>
        </w:rPr>
        <w:t>The Company agree</w:t>
      </w:r>
      <w:r w:rsidR="00A0497C" w:rsidRPr="00094ED5">
        <w:rPr>
          <w:rFonts w:ascii="Times New Roman" w:hAnsi="Times New Roman"/>
          <w:szCs w:val="24"/>
        </w:rPr>
        <w:t>s</w:t>
      </w:r>
      <w:r w:rsidRPr="00094ED5">
        <w:rPr>
          <w:rFonts w:ascii="Times New Roman" w:hAnsi="Times New Roman"/>
          <w:szCs w:val="24"/>
        </w:rPr>
        <w:t xml:space="preserve"> to participate in a </w:t>
      </w:r>
      <w:r w:rsidR="00370B25" w:rsidRPr="00094ED5">
        <w:rPr>
          <w:rFonts w:ascii="Times New Roman" w:hAnsi="Times New Roman"/>
          <w:szCs w:val="24"/>
        </w:rPr>
        <w:t>c</w:t>
      </w:r>
      <w:r w:rsidR="00CA6914" w:rsidRPr="00094ED5">
        <w:rPr>
          <w:rFonts w:ascii="Times New Roman" w:hAnsi="Times New Roman"/>
          <w:szCs w:val="24"/>
        </w:rPr>
        <w:t xml:space="preserve">ost of </w:t>
      </w:r>
      <w:r w:rsidR="00370B25" w:rsidRPr="00094ED5">
        <w:rPr>
          <w:rFonts w:ascii="Times New Roman" w:hAnsi="Times New Roman"/>
          <w:szCs w:val="24"/>
        </w:rPr>
        <w:t>s</w:t>
      </w:r>
      <w:r w:rsidR="00CA6914" w:rsidRPr="00094ED5">
        <w:rPr>
          <w:rFonts w:ascii="Times New Roman" w:hAnsi="Times New Roman"/>
          <w:szCs w:val="24"/>
        </w:rPr>
        <w:t>ervice</w:t>
      </w:r>
      <w:r w:rsidR="00370B25" w:rsidRPr="00094ED5">
        <w:rPr>
          <w:rFonts w:ascii="Times New Roman" w:hAnsi="Times New Roman"/>
          <w:szCs w:val="24"/>
        </w:rPr>
        <w:t xml:space="preserve"> and r</w:t>
      </w:r>
      <w:r w:rsidRPr="00094ED5">
        <w:rPr>
          <w:rFonts w:ascii="Times New Roman" w:hAnsi="Times New Roman"/>
          <w:szCs w:val="24"/>
        </w:rPr>
        <w:t xml:space="preserve">ate </w:t>
      </w:r>
      <w:r w:rsidR="00370B25" w:rsidRPr="00094ED5">
        <w:rPr>
          <w:rFonts w:ascii="Times New Roman" w:hAnsi="Times New Roman"/>
          <w:szCs w:val="24"/>
        </w:rPr>
        <w:t>d</w:t>
      </w:r>
      <w:r w:rsidRPr="00094ED5">
        <w:rPr>
          <w:rFonts w:ascii="Times New Roman" w:hAnsi="Times New Roman"/>
          <w:szCs w:val="24"/>
        </w:rPr>
        <w:t xml:space="preserve">esign collaborative. </w:t>
      </w:r>
      <w:r w:rsidR="00CA6914" w:rsidRPr="00094ED5">
        <w:rPr>
          <w:rFonts w:ascii="Times New Roman" w:hAnsi="Times New Roman"/>
          <w:szCs w:val="24"/>
        </w:rPr>
        <w:t xml:space="preserve"> </w:t>
      </w:r>
      <w:r w:rsidRPr="00094ED5">
        <w:rPr>
          <w:rFonts w:ascii="Times New Roman" w:hAnsi="Times New Roman"/>
          <w:szCs w:val="24"/>
        </w:rPr>
        <w:t xml:space="preserve">If consensus is reached, the Company </w:t>
      </w:r>
      <w:r w:rsidR="00370B25" w:rsidRPr="00094ED5">
        <w:rPr>
          <w:rFonts w:ascii="Times New Roman" w:hAnsi="Times New Roman"/>
          <w:szCs w:val="24"/>
        </w:rPr>
        <w:t>can agree to</w:t>
      </w:r>
      <w:r w:rsidRPr="00094ED5">
        <w:rPr>
          <w:rFonts w:ascii="Times New Roman" w:hAnsi="Times New Roman"/>
          <w:szCs w:val="24"/>
        </w:rPr>
        <w:t xml:space="preserve"> implement</w:t>
      </w:r>
      <w:r w:rsidR="00370B25" w:rsidRPr="00094ED5">
        <w:rPr>
          <w:rFonts w:ascii="Times New Roman" w:hAnsi="Times New Roman"/>
          <w:szCs w:val="24"/>
        </w:rPr>
        <w:t xml:space="preserve"> </w:t>
      </w:r>
      <w:r w:rsidR="000F128E">
        <w:rPr>
          <w:rFonts w:ascii="Times New Roman" w:hAnsi="Times New Roman"/>
          <w:szCs w:val="24"/>
        </w:rPr>
        <w:t>second</w:t>
      </w:r>
      <w:r w:rsidR="000F128E">
        <w:rPr>
          <w:rFonts w:ascii="Times New Roman" w:hAnsi="Times New Roman"/>
          <w:szCs w:val="24"/>
        </w:rPr>
        <w:noBreakHyphen/>
        <w:t>year</w:t>
      </w:r>
      <w:r w:rsidRPr="00094ED5">
        <w:rPr>
          <w:rFonts w:ascii="Times New Roman" w:hAnsi="Times New Roman"/>
          <w:szCs w:val="24"/>
        </w:rPr>
        <w:t xml:space="preserve"> changes</w:t>
      </w:r>
      <w:r w:rsidR="00A0497C" w:rsidRPr="00094ED5">
        <w:rPr>
          <w:rFonts w:ascii="Times New Roman" w:hAnsi="Times New Roman"/>
          <w:szCs w:val="24"/>
        </w:rPr>
        <w:t xml:space="preserve"> subject to the Commission’s approval of those changes.</w:t>
      </w:r>
      <w:r w:rsidRPr="00094ED5">
        <w:rPr>
          <w:rFonts w:ascii="Times New Roman" w:hAnsi="Times New Roman"/>
          <w:szCs w:val="24"/>
        </w:rPr>
        <w:t xml:space="preserve"> </w:t>
      </w:r>
      <w:r w:rsidR="001F0C43">
        <w:rPr>
          <w:rFonts w:ascii="Times New Roman" w:hAnsi="Times New Roman"/>
          <w:szCs w:val="24"/>
        </w:rPr>
        <w:t xml:space="preserve"> </w:t>
      </w:r>
      <w:r w:rsidR="00370B25" w:rsidRPr="001F0C43">
        <w:rPr>
          <w:rFonts w:ascii="Times New Roman" w:hAnsi="Times New Roman"/>
          <w:szCs w:val="24"/>
        </w:rPr>
        <w:t>If consensus i</w:t>
      </w:r>
      <w:r w:rsidR="0045769B" w:rsidRPr="001F0C43">
        <w:rPr>
          <w:rFonts w:ascii="Times New Roman" w:hAnsi="Times New Roman"/>
          <w:szCs w:val="24"/>
        </w:rPr>
        <w:t>s</w:t>
      </w:r>
      <w:r w:rsidR="00370B25" w:rsidRPr="00094ED5">
        <w:rPr>
          <w:rFonts w:ascii="Times New Roman" w:hAnsi="Times New Roman"/>
          <w:szCs w:val="24"/>
        </w:rPr>
        <w:t xml:space="preserve"> not reached within a reasonable timeline </w:t>
      </w:r>
      <w:r w:rsidR="001F0C43">
        <w:rPr>
          <w:rFonts w:ascii="Times New Roman" w:hAnsi="Times New Roman"/>
          <w:szCs w:val="24"/>
        </w:rPr>
        <w:t>before</w:t>
      </w:r>
      <w:r w:rsidR="00370B25" w:rsidRPr="001F0C43">
        <w:rPr>
          <w:rFonts w:ascii="Times New Roman" w:hAnsi="Times New Roman"/>
          <w:szCs w:val="24"/>
        </w:rPr>
        <w:t xml:space="preserve"> the </w:t>
      </w:r>
      <w:r w:rsidR="000F128E">
        <w:rPr>
          <w:rFonts w:ascii="Times New Roman" w:hAnsi="Times New Roman"/>
          <w:szCs w:val="24"/>
        </w:rPr>
        <w:t>second-year</w:t>
      </w:r>
      <w:r w:rsidR="00370B25" w:rsidRPr="001F0C43">
        <w:rPr>
          <w:rFonts w:ascii="Times New Roman" w:hAnsi="Times New Roman"/>
          <w:szCs w:val="24"/>
        </w:rPr>
        <w:t xml:space="preserve"> rate changes, t</w:t>
      </w:r>
      <w:r w:rsidRPr="001F0C43">
        <w:rPr>
          <w:rFonts w:ascii="Times New Roman" w:hAnsi="Times New Roman"/>
          <w:szCs w:val="24"/>
        </w:rPr>
        <w:t xml:space="preserve">he Company proposes </w:t>
      </w:r>
      <w:r w:rsidR="00A0497C" w:rsidRPr="00094ED5">
        <w:rPr>
          <w:rFonts w:ascii="Times New Roman" w:hAnsi="Times New Roman"/>
          <w:szCs w:val="24"/>
        </w:rPr>
        <w:t>to address cost of service and rate design issues</w:t>
      </w:r>
      <w:r w:rsidRPr="00094ED5">
        <w:rPr>
          <w:rFonts w:ascii="Times New Roman" w:hAnsi="Times New Roman"/>
          <w:szCs w:val="24"/>
        </w:rPr>
        <w:t xml:space="preserve"> in the next general rate case filing.</w:t>
      </w:r>
    </w:p>
    <w:p w:rsidR="00E31D0F" w:rsidRPr="00094ED5" w:rsidRDefault="00E31D0F" w:rsidP="00E31D0F">
      <w:pPr>
        <w:rPr>
          <w:rFonts w:ascii="Times New Roman" w:hAnsi="Times New Roman"/>
          <w:b/>
          <w:szCs w:val="24"/>
        </w:rPr>
      </w:pPr>
      <w:r w:rsidRPr="00094ED5">
        <w:rPr>
          <w:rFonts w:ascii="Times New Roman" w:hAnsi="Times New Roman"/>
          <w:b/>
          <w:szCs w:val="24"/>
        </w:rPr>
        <w:t>Q.</w:t>
      </w:r>
      <w:r w:rsidRPr="00094ED5">
        <w:rPr>
          <w:rFonts w:ascii="Times New Roman" w:hAnsi="Times New Roman"/>
          <w:b/>
          <w:szCs w:val="24"/>
        </w:rPr>
        <w:tab/>
        <w:t>Does this conclude your rebuttal testimony?</w:t>
      </w:r>
    </w:p>
    <w:p w:rsidR="00EC6496" w:rsidRPr="00094ED5" w:rsidRDefault="00E31D0F" w:rsidP="001C2E4A">
      <w:pPr>
        <w:rPr>
          <w:rFonts w:ascii="Times New Roman" w:hAnsi="Times New Roman"/>
          <w:szCs w:val="24"/>
        </w:rPr>
      </w:pPr>
      <w:r w:rsidRPr="00094ED5">
        <w:rPr>
          <w:rFonts w:ascii="Times New Roman" w:hAnsi="Times New Roman"/>
          <w:szCs w:val="24"/>
        </w:rPr>
        <w:t>A.</w:t>
      </w:r>
      <w:r w:rsidRPr="00094ED5">
        <w:rPr>
          <w:rFonts w:ascii="Times New Roman" w:hAnsi="Times New Roman"/>
          <w:szCs w:val="24"/>
        </w:rPr>
        <w:tab/>
        <w:t>Yes.</w:t>
      </w:r>
    </w:p>
    <w:sectPr w:rsidR="00EC6496" w:rsidRPr="00094ED5" w:rsidSect="00C075AF">
      <w:headerReference w:type="default" r:id="rId16"/>
      <w:footerReference w:type="default" r:id="rId17"/>
      <w:pgSz w:w="12240" w:h="15840" w:code="1"/>
      <w:pgMar w:top="1440" w:right="1440" w:bottom="1440" w:left="1800" w:header="720" w:footer="720" w:gutter="0"/>
      <w:lnNumType w:countBy="1"/>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DCCF69" w15:done="0"/>
  <w15:commentEx w15:paraId="32122CA5" w15:done="0"/>
  <w15:commentEx w15:paraId="1A4CDF19" w15:done="0"/>
  <w15:commentEx w15:paraId="39D124F9" w15:done="0"/>
  <w15:commentEx w15:paraId="2D6155B8" w15:done="0"/>
  <w15:commentEx w15:paraId="164389F7" w15:done="0"/>
  <w15:commentEx w15:paraId="150DBC06" w15:done="0"/>
  <w15:commentEx w15:paraId="4AF2F3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BC" w:rsidRDefault="004677BC">
      <w:r>
        <w:separator/>
      </w:r>
    </w:p>
  </w:endnote>
  <w:endnote w:type="continuationSeparator" w:id="0">
    <w:p w:rsidR="004677BC" w:rsidRDefault="0046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94" w:rsidRDefault="009A68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C" w:rsidRDefault="004677BC" w:rsidP="006C4430">
    <w:pPr>
      <w:pStyle w:val="Footer"/>
      <w:spacing w:line="240" w:lineRule="auto"/>
      <w:rPr>
        <w:rStyle w:val="PageNumber"/>
        <w:rFonts w:ascii="Times New Roman" w:hAnsi="Times New Roman"/>
      </w:rPr>
    </w:pPr>
    <w:r>
      <w:rPr>
        <w:rStyle w:val="PageNumber"/>
        <w:rFonts w:ascii="Times New Roman" w:hAnsi="Times New Roman"/>
      </w:rPr>
      <w:t>Rebuttal Testimony of Joelle R. Steward</w:t>
    </w:r>
    <w:r>
      <w:rPr>
        <w:rStyle w:val="PageNumber"/>
        <w:rFonts w:ascii="Times New Roman" w:hAnsi="Times New Roman"/>
      </w:rPr>
      <w:tab/>
    </w:r>
    <w:r>
      <w:rPr>
        <w:rStyle w:val="PageNumber"/>
        <w:rFonts w:ascii="Times New Roman" w:hAnsi="Times New Roman"/>
      </w:rPr>
      <w:tab/>
      <w:t>Exhibit No. JRS-9</w:t>
    </w:r>
    <w:r w:rsidRPr="004026C4">
      <w:rPr>
        <w:rStyle w:val="PageNumber"/>
        <w:rFonts w:ascii="Times New Roman" w:hAnsi="Times New Roman"/>
      </w:rPr>
      <w:t>T</w:t>
    </w:r>
  </w:p>
  <w:p w:rsidR="004677BC" w:rsidRDefault="004677BC">
    <w:pPr>
      <w:pStyle w:val="Footer"/>
      <w:spacing w:line="240" w:lineRule="auto"/>
      <w:jc w:val="right"/>
      <w:rPr>
        <w:rFonts w:ascii="Times New Roman" w:hAnsi="Times New Roman"/>
      </w:rPr>
    </w:pPr>
    <w:r>
      <w:rPr>
        <w:rFonts w:ascii="Times New Roman" w:hAnsi="Times New Roman"/>
      </w:rPr>
      <w:t xml:space="preserve">Page </w:t>
    </w:r>
    <w:r w:rsidRPr="00C639F7">
      <w:rPr>
        <w:rFonts w:ascii="Times New Roman" w:hAnsi="Times New Roman"/>
      </w:rPr>
      <w:fldChar w:fldCharType="begin"/>
    </w:r>
    <w:r w:rsidRPr="00C639F7">
      <w:rPr>
        <w:rFonts w:ascii="Times New Roman" w:hAnsi="Times New Roman"/>
      </w:rPr>
      <w:instrText xml:space="preserve"> PAGE   \* MERGEFORMAT </w:instrText>
    </w:r>
    <w:r w:rsidRPr="00C639F7">
      <w:rPr>
        <w:rFonts w:ascii="Times New Roman" w:hAnsi="Times New Roman"/>
      </w:rPr>
      <w:fldChar w:fldCharType="separate"/>
    </w:r>
    <w:r w:rsidR="009A6894">
      <w:rPr>
        <w:rFonts w:ascii="Times New Roman" w:hAnsi="Times New Roman"/>
        <w:noProof/>
      </w:rPr>
      <w:t>i</w:t>
    </w:r>
    <w:r w:rsidRPr="00C639F7">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94" w:rsidRDefault="009A68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C" w:rsidRDefault="004677BC" w:rsidP="005B411A">
    <w:pPr>
      <w:pStyle w:val="Footer"/>
      <w:tabs>
        <w:tab w:val="clear" w:pos="8640"/>
        <w:tab w:val="right" w:pos="9000"/>
      </w:tabs>
      <w:spacing w:line="240" w:lineRule="auto"/>
      <w:rPr>
        <w:rStyle w:val="PageNumber"/>
        <w:rFonts w:ascii="Times New Roman" w:hAnsi="Times New Roman"/>
      </w:rPr>
    </w:pPr>
    <w:r>
      <w:rPr>
        <w:rStyle w:val="PageNumber"/>
        <w:rFonts w:ascii="Times New Roman" w:hAnsi="Times New Roman"/>
      </w:rPr>
      <w:t>Rebuttal Testimony of Joelle R. Steward</w:t>
    </w:r>
    <w:r>
      <w:rPr>
        <w:rStyle w:val="PageNumber"/>
        <w:rFonts w:ascii="Times New Roman" w:hAnsi="Times New Roman"/>
      </w:rPr>
      <w:tab/>
    </w:r>
    <w:r>
      <w:rPr>
        <w:rStyle w:val="PageNumber"/>
        <w:rFonts w:ascii="Times New Roman" w:hAnsi="Times New Roman"/>
      </w:rPr>
      <w:tab/>
      <w:t>Exhibit No. JRS-9</w:t>
    </w:r>
    <w:r w:rsidRPr="004026C4">
      <w:rPr>
        <w:rStyle w:val="PageNumber"/>
        <w:rFonts w:ascii="Times New Roman" w:hAnsi="Times New Roman"/>
      </w:rPr>
      <w:t>T</w:t>
    </w:r>
  </w:p>
  <w:p w:rsidR="004677BC" w:rsidRDefault="004677BC">
    <w:pPr>
      <w:pStyle w:val="Footer"/>
      <w:spacing w:line="240" w:lineRule="auto"/>
      <w:jc w:val="right"/>
      <w:rPr>
        <w:rFonts w:ascii="Times New Roman" w:hAnsi="Times New Roman"/>
      </w:rPr>
    </w:pPr>
    <w:r>
      <w:rPr>
        <w:rFonts w:ascii="Times New Roman" w:hAnsi="Times New Roman"/>
      </w:rPr>
      <w:t xml:space="preserve">Page </w:t>
    </w:r>
    <w:r w:rsidRPr="00C639F7">
      <w:rPr>
        <w:rFonts w:ascii="Times New Roman" w:hAnsi="Times New Roman"/>
      </w:rPr>
      <w:fldChar w:fldCharType="begin"/>
    </w:r>
    <w:r w:rsidRPr="00C639F7">
      <w:rPr>
        <w:rFonts w:ascii="Times New Roman" w:hAnsi="Times New Roman"/>
      </w:rPr>
      <w:instrText xml:space="preserve"> PAGE   \* MERGEFORMAT </w:instrText>
    </w:r>
    <w:r w:rsidRPr="00C639F7">
      <w:rPr>
        <w:rFonts w:ascii="Times New Roman" w:hAnsi="Times New Roman"/>
      </w:rPr>
      <w:fldChar w:fldCharType="separate"/>
    </w:r>
    <w:r w:rsidR="009A6894">
      <w:rPr>
        <w:rFonts w:ascii="Times New Roman" w:hAnsi="Times New Roman"/>
        <w:noProof/>
      </w:rPr>
      <w:t>1</w:t>
    </w:r>
    <w:r w:rsidRPr="00C639F7">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BC" w:rsidRDefault="004677BC" w:rsidP="006B0C5B">
      <w:pPr>
        <w:spacing w:line="240" w:lineRule="auto"/>
      </w:pPr>
      <w:r>
        <w:separator/>
      </w:r>
    </w:p>
  </w:footnote>
  <w:footnote w:type="continuationSeparator" w:id="0">
    <w:p w:rsidR="004677BC" w:rsidRDefault="004677BC">
      <w:r>
        <w:continuationSeparator/>
      </w:r>
    </w:p>
  </w:footnote>
  <w:footnote w:id="1">
    <w:p w:rsidR="004677BC" w:rsidRPr="00B2306E" w:rsidRDefault="004677BC">
      <w:pPr>
        <w:pStyle w:val="FootnoteText"/>
      </w:pPr>
      <w:r w:rsidRPr="00B2306E">
        <w:rPr>
          <w:rStyle w:val="FootnoteReference"/>
          <w:vertAlign w:val="superscript"/>
        </w:rPr>
        <w:footnoteRef/>
      </w:r>
      <w:r w:rsidRPr="00B2306E">
        <w:rPr>
          <w:vertAlign w:val="superscript"/>
        </w:rPr>
        <w:t xml:space="preserve"> </w:t>
      </w:r>
      <w:r>
        <w:t xml:space="preserve">Ball, </w:t>
      </w:r>
      <w:proofErr w:type="spellStart"/>
      <w:r>
        <w:t>Exh</w:t>
      </w:r>
      <w:proofErr w:type="spellEnd"/>
      <w:r>
        <w:t>. No. JLB-1T 45:10-28.</w:t>
      </w:r>
    </w:p>
  </w:footnote>
  <w:footnote w:id="2">
    <w:p w:rsidR="004677BC" w:rsidRPr="00B2306E" w:rsidRDefault="004677BC">
      <w:pPr>
        <w:pStyle w:val="FootnoteText"/>
      </w:pPr>
      <w:r w:rsidRPr="00B2306E">
        <w:rPr>
          <w:rStyle w:val="FootnoteReference"/>
          <w:vertAlign w:val="superscript"/>
        </w:rPr>
        <w:footnoteRef/>
      </w:r>
      <w:r w:rsidRPr="00B2306E">
        <w:rPr>
          <w:vertAlign w:val="superscript"/>
        </w:rPr>
        <w:t xml:space="preserve"> </w:t>
      </w:r>
      <w:r>
        <w:rPr>
          <w:i/>
        </w:rPr>
        <w:t>Id.,</w:t>
      </w:r>
      <w:r>
        <w:t xml:space="preserve"> 45:19-22.</w:t>
      </w:r>
    </w:p>
  </w:footnote>
  <w:footnote w:id="3">
    <w:p w:rsidR="004677BC" w:rsidRPr="00B2306E" w:rsidRDefault="004677BC">
      <w:pPr>
        <w:pStyle w:val="FootnoteText"/>
        <w:rPr>
          <w:vertAlign w:val="superscript"/>
        </w:rPr>
      </w:pPr>
      <w:r w:rsidRPr="00B2306E">
        <w:rPr>
          <w:rStyle w:val="FootnoteReference"/>
          <w:vertAlign w:val="superscript"/>
        </w:rPr>
        <w:footnoteRef/>
      </w:r>
      <w:r>
        <w:rPr>
          <w:i/>
        </w:rPr>
        <w:t>Id.</w:t>
      </w:r>
      <w:r w:rsidRPr="00B2306E">
        <w:rPr>
          <w:vertAlign w:val="superscript"/>
        </w:rPr>
        <w:t xml:space="preserve"> </w:t>
      </w:r>
    </w:p>
  </w:footnote>
  <w:footnote w:id="4">
    <w:p w:rsidR="004677BC" w:rsidRDefault="004677BC">
      <w:pPr>
        <w:pStyle w:val="FootnoteText"/>
      </w:pPr>
      <w:r w:rsidRPr="00C953D0">
        <w:rPr>
          <w:rStyle w:val="FootnoteReference"/>
          <w:vertAlign w:val="superscript"/>
        </w:rPr>
        <w:footnoteRef/>
      </w:r>
      <w:r w:rsidRPr="00C953D0">
        <w:rPr>
          <w:vertAlign w:val="superscript"/>
        </w:rPr>
        <w:t xml:space="preserve"> </w:t>
      </w:r>
      <w:r w:rsidRPr="008B4C36">
        <w:rPr>
          <w:i/>
        </w:rPr>
        <w:t>See</w:t>
      </w:r>
      <w:r>
        <w:t xml:space="preserve"> Steward </w:t>
      </w:r>
      <w:proofErr w:type="spellStart"/>
      <w:r>
        <w:t>Exh</w:t>
      </w:r>
      <w:proofErr w:type="spellEnd"/>
      <w:r>
        <w:t xml:space="preserve">. No. </w:t>
      </w:r>
      <w:proofErr w:type="gramStart"/>
      <w:r>
        <w:t>JRS-18, which is the Staff Response to Company Data Request 2.</w:t>
      </w:r>
      <w:proofErr w:type="gramEnd"/>
    </w:p>
  </w:footnote>
  <w:footnote w:id="5">
    <w:p w:rsidR="004677BC" w:rsidRDefault="004677BC">
      <w:pPr>
        <w:pStyle w:val="FootnoteText"/>
      </w:pPr>
      <w:r w:rsidRPr="009338C6">
        <w:rPr>
          <w:rStyle w:val="FootnoteReference"/>
          <w:vertAlign w:val="superscript"/>
        </w:rPr>
        <w:footnoteRef/>
      </w:r>
      <w:r w:rsidRPr="009338C6">
        <w:rPr>
          <w:vertAlign w:val="superscript"/>
        </w:rPr>
        <w:t xml:space="preserve"> </w:t>
      </w:r>
      <w:r w:rsidRPr="004A662F">
        <w:t xml:space="preserve">Ball, </w:t>
      </w:r>
      <w:proofErr w:type="spellStart"/>
      <w:r w:rsidRPr="004A662F">
        <w:t>Exh</w:t>
      </w:r>
      <w:proofErr w:type="spellEnd"/>
      <w:r w:rsidRPr="004A662F">
        <w:t>. No. JLB-1T</w:t>
      </w:r>
      <w:r>
        <w:t xml:space="preserve"> </w:t>
      </w:r>
      <w:r w:rsidR="000378FB">
        <w:t>46:</w:t>
      </w:r>
      <w:r w:rsidRPr="0019379E">
        <w:t>6.</w:t>
      </w:r>
    </w:p>
  </w:footnote>
  <w:footnote w:id="6">
    <w:p w:rsidR="004677BC" w:rsidRPr="006C30D1" w:rsidRDefault="004677BC">
      <w:pPr>
        <w:pStyle w:val="FootnoteText"/>
        <w:rPr>
          <w:vertAlign w:val="superscript"/>
        </w:rPr>
      </w:pPr>
      <w:r w:rsidRPr="006C30D1">
        <w:rPr>
          <w:rStyle w:val="FootnoteReference"/>
          <w:vertAlign w:val="superscript"/>
        </w:rPr>
        <w:footnoteRef/>
      </w:r>
      <w:r>
        <w:rPr>
          <w:i/>
        </w:rPr>
        <w:t xml:space="preserve">Id., </w:t>
      </w:r>
      <w:r>
        <w:t>48:20-21.</w:t>
      </w:r>
      <w:r w:rsidRPr="006C30D1">
        <w:rPr>
          <w:vertAlign w:val="superscript"/>
        </w:rPr>
        <w:t xml:space="preserve"> </w:t>
      </w:r>
    </w:p>
  </w:footnote>
  <w:footnote w:id="7">
    <w:p w:rsidR="004677BC" w:rsidRPr="00594F34" w:rsidRDefault="004677BC">
      <w:pPr>
        <w:pStyle w:val="FootnoteText"/>
      </w:pPr>
      <w:r w:rsidRPr="00594F34">
        <w:rPr>
          <w:rStyle w:val="FootnoteReference"/>
          <w:vertAlign w:val="superscript"/>
        </w:rPr>
        <w:footnoteRef/>
      </w:r>
      <w:r w:rsidRPr="00594F34">
        <w:rPr>
          <w:vertAlign w:val="superscript"/>
        </w:rPr>
        <w:t xml:space="preserve"> </w:t>
      </w:r>
      <w:proofErr w:type="gramStart"/>
      <w:r>
        <w:t xml:space="preserve">Steward, </w:t>
      </w:r>
      <w:proofErr w:type="spellStart"/>
      <w:r>
        <w:t>Exh</w:t>
      </w:r>
      <w:proofErr w:type="spellEnd"/>
      <w:r>
        <w:t>.</w:t>
      </w:r>
      <w:proofErr w:type="gramEnd"/>
      <w:r>
        <w:t xml:space="preserve"> No. JRS-1T </w:t>
      </w:r>
      <w:r w:rsidRPr="0019379E">
        <w:t>18:4-5.</w:t>
      </w:r>
    </w:p>
  </w:footnote>
  <w:footnote w:id="8">
    <w:p w:rsidR="004677BC" w:rsidRPr="00594F34" w:rsidRDefault="004677BC">
      <w:pPr>
        <w:pStyle w:val="FootnoteText"/>
      </w:pPr>
      <w:r w:rsidRPr="00594F34">
        <w:rPr>
          <w:rStyle w:val="FootnoteReference"/>
          <w:vertAlign w:val="superscript"/>
        </w:rPr>
        <w:footnoteRef/>
      </w:r>
      <w:r w:rsidRPr="00594F34">
        <w:rPr>
          <w:vertAlign w:val="superscript"/>
        </w:rPr>
        <w:t xml:space="preserve"> </w:t>
      </w:r>
      <w:r>
        <w:rPr>
          <w:i/>
        </w:rPr>
        <w:t>Id.,</w:t>
      </w:r>
      <w:r>
        <w:t xml:space="preserve"> 18:7-8.</w:t>
      </w:r>
    </w:p>
  </w:footnote>
  <w:footnote w:id="9">
    <w:p w:rsidR="004677BC" w:rsidRPr="00594F34" w:rsidRDefault="004677BC">
      <w:pPr>
        <w:pStyle w:val="FootnoteText"/>
      </w:pPr>
      <w:r w:rsidRPr="00594F34">
        <w:rPr>
          <w:rStyle w:val="FootnoteReference"/>
          <w:vertAlign w:val="superscript"/>
        </w:rPr>
        <w:footnoteRef/>
      </w:r>
      <w:r>
        <w:rPr>
          <w:i/>
        </w:rPr>
        <w:t xml:space="preserve"> Id., </w:t>
      </w:r>
      <w:r w:rsidRPr="00594F34">
        <w:t>18:9-10.</w:t>
      </w:r>
      <w:r w:rsidRPr="00594F34">
        <w:rPr>
          <w:vertAlign w:val="superscript"/>
        </w:rPr>
        <w:t xml:space="preserve"> </w:t>
      </w:r>
    </w:p>
  </w:footnote>
  <w:footnote w:id="10">
    <w:p w:rsidR="004677BC" w:rsidRPr="00594F34" w:rsidRDefault="004677BC">
      <w:pPr>
        <w:pStyle w:val="FootnoteText"/>
        <w:rPr>
          <w:vertAlign w:val="superscript"/>
        </w:rPr>
      </w:pPr>
      <w:r w:rsidRPr="00594F34">
        <w:rPr>
          <w:rStyle w:val="FootnoteReference"/>
          <w:vertAlign w:val="superscript"/>
        </w:rPr>
        <w:footnoteRef/>
      </w:r>
      <w:r>
        <w:rPr>
          <w:vertAlign w:val="superscript"/>
        </w:rPr>
        <w:t xml:space="preserve"> </w:t>
      </w:r>
      <w:r>
        <w:t xml:space="preserve">Ball, </w:t>
      </w:r>
      <w:proofErr w:type="spellStart"/>
      <w:r>
        <w:t>Exh</w:t>
      </w:r>
      <w:proofErr w:type="spellEnd"/>
      <w:r>
        <w:t xml:space="preserve">. No. JLB-1T </w:t>
      </w:r>
      <w:r w:rsidRPr="0019379E">
        <w:t>49:5-8, 52:3-6.</w:t>
      </w:r>
      <w:r w:rsidRPr="00594F34">
        <w:rPr>
          <w:vertAlign w:val="superscript"/>
        </w:rPr>
        <w:t xml:space="preserve"> </w:t>
      </w:r>
    </w:p>
  </w:footnote>
  <w:footnote w:id="11">
    <w:p w:rsidR="004677BC" w:rsidRPr="00594F34" w:rsidRDefault="004677BC">
      <w:pPr>
        <w:pStyle w:val="FootnoteText"/>
      </w:pPr>
      <w:r w:rsidRPr="00594F34">
        <w:rPr>
          <w:rStyle w:val="FootnoteReference"/>
          <w:vertAlign w:val="superscript"/>
        </w:rPr>
        <w:footnoteRef/>
      </w:r>
      <w:r w:rsidRPr="00594F34">
        <w:rPr>
          <w:vertAlign w:val="superscript"/>
        </w:rPr>
        <w:t xml:space="preserve"> </w:t>
      </w:r>
      <w:r w:rsidRPr="0019379E">
        <w:rPr>
          <w:i/>
        </w:rPr>
        <w:t>Id.</w:t>
      </w:r>
      <w:r>
        <w:rPr>
          <w:i/>
        </w:rPr>
        <w:t>,</w:t>
      </w:r>
      <w:r w:rsidRPr="0019379E">
        <w:rPr>
          <w:i/>
        </w:rPr>
        <w:t xml:space="preserve"> </w:t>
      </w:r>
      <w:r w:rsidRPr="0019379E">
        <w:t>49:8-9.</w:t>
      </w:r>
    </w:p>
  </w:footnote>
  <w:footnote w:id="12">
    <w:p w:rsidR="004677BC" w:rsidRPr="00594F34" w:rsidRDefault="004677BC">
      <w:pPr>
        <w:pStyle w:val="FootnoteText"/>
        <w:rPr>
          <w:vertAlign w:val="superscript"/>
        </w:rPr>
      </w:pPr>
      <w:r w:rsidRPr="00594F34">
        <w:rPr>
          <w:rStyle w:val="FootnoteReference"/>
          <w:vertAlign w:val="superscript"/>
        </w:rPr>
        <w:footnoteRef/>
      </w:r>
      <w:r>
        <w:t xml:space="preserve"> Cavanagh, </w:t>
      </w:r>
      <w:proofErr w:type="spellStart"/>
      <w:r>
        <w:t>Exh</w:t>
      </w:r>
      <w:proofErr w:type="spellEnd"/>
      <w:r>
        <w:t xml:space="preserve">. No. RC-1T </w:t>
      </w:r>
      <w:r w:rsidRPr="0019379E">
        <w:t>5:2-5, 10:2-5.</w:t>
      </w:r>
      <w:r w:rsidRPr="00594F34">
        <w:rPr>
          <w:vertAlign w:val="superscript"/>
        </w:rPr>
        <w:t xml:space="preserve"> </w:t>
      </w:r>
    </w:p>
  </w:footnote>
  <w:footnote w:id="13">
    <w:p w:rsidR="004677BC" w:rsidRPr="00057B6E" w:rsidRDefault="004677BC" w:rsidP="00052047">
      <w:pPr>
        <w:pStyle w:val="FootnoteText"/>
      </w:pPr>
      <w:r w:rsidRPr="00094ED5">
        <w:rPr>
          <w:rStyle w:val="FootnoteReference"/>
          <w:vertAlign w:val="superscript"/>
        </w:rPr>
        <w:footnoteRef/>
      </w:r>
      <w:r w:rsidRPr="00057B6E">
        <w:t xml:space="preserve"> </w:t>
      </w:r>
      <w:r>
        <w:t xml:space="preserve">Collins, </w:t>
      </w:r>
      <w:proofErr w:type="spellStart"/>
      <w:r>
        <w:t>Exh</w:t>
      </w:r>
      <w:proofErr w:type="spellEnd"/>
      <w:r>
        <w:t xml:space="preserve">. </w:t>
      </w:r>
      <w:r w:rsidRPr="00057B6E">
        <w:t xml:space="preserve"> </w:t>
      </w:r>
      <w:r>
        <w:t xml:space="preserve">No. </w:t>
      </w:r>
      <w:r w:rsidRPr="00057B6E">
        <w:t>SMC-1T</w:t>
      </w:r>
      <w:r>
        <w:t xml:space="preserve"> 5:11-12.</w:t>
      </w:r>
    </w:p>
  </w:footnote>
  <w:footnote w:id="14">
    <w:p w:rsidR="004677BC" w:rsidRPr="00F3498B" w:rsidRDefault="004677BC" w:rsidP="00052047">
      <w:pPr>
        <w:pStyle w:val="FootnoteText"/>
      </w:pPr>
      <w:r w:rsidRPr="00094ED5">
        <w:rPr>
          <w:rStyle w:val="FootnoteReference"/>
          <w:vertAlign w:val="superscript"/>
        </w:rPr>
        <w:footnoteRef/>
      </w:r>
      <w:r w:rsidRPr="00F3498B">
        <w:t xml:space="preserve"> </w:t>
      </w:r>
      <w:r w:rsidRPr="00E16253">
        <w:rPr>
          <w:i/>
        </w:rPr>
        <w:t xml:space="preserve">See Wash. </w:t>
      </w:r>
      <w:proofErr w:type="spellStart"/>
      <w:r w:rsidRPr="00E16253">
        <w:rPr>
          <w:i/>
        </w:rPr>
        <w:t>Utils</w:t>
      </w:r>
      <w:proofErr w:type="spellEnd"/>
      <w:r w:rsidRPr="00E16253">
        <w:rPr>
          <w:i/>
        </w:rPr>
        <w:t xml:space="preserve">. &amp; Transp. </w:t>
      </w:r>
      <w:proofErr w:type="spellStart"/>
      <w:r w:rsidRPr="00E16253">
        <w:rPr>
          <w:i/>
        </w:rPr>
        <w:t>Comm’n</w:t>
      </w:r>
      <w:proofErr w:type="spellEnd"/>
      <w:r w:rsidRPr="00E16253">
        <w:rPr>
          <w:i/>
        </w:rPr>
        <w:t xml:space="preserve"> v. PacifiCorp d/b/a Pacific Power &amp; Light Co</w:t>
      </w:r>
      <w:r>
        <w:t>., Docket UE-1</w:t>
      </w:r>
      <w:r w:rsidR="000F128E">
        <w:t>11190, Order 07</w:t>
      </w:r>
      <w:r>
        <w:t>, Settlement Stipulation at ¶</w:t>
      </w:r>
      <w:r w:rsidR="000F128E">
        <w:t xml:space="preserve">¶ </w:t>
      </w:r>
      <w:r>
        <w:t>25 (March 30, 2012).</w:t>
      </w:r>
    </w:p>
  </w:footnote>
  <w:footnote w:id="15">
    <w:p w:rsidR="004677BC" w:rsidRPr="00855668" w:rsidRDefault="004677BC">
      <w:pPr>
        <w:pStyle w:val="FootnoteText"/>
      </w:pPr>
      <w:r w:rsidRPr="00855668">
        <w:rPr>
          <w:rStyle w:val="FootnoteReference"/>
          <w:vertAlign w:val="superscript"/>
        </w:rPr>
        <w:footnoteRef/>
      </w:r>
      <w:r w:rsidRPr="00855668">
        <w:rPr>
          <w:vertAlign w:val="superscript"/>
        </w:rPr>
        <w:t xml:space="preserve"> </w:t>
      </w:r>
      <w:proofErr w:type="gramStart"/>
      <w:r>
        <w:t>Collins.</w:t>
      </w:r>
      <w:proofErr w:type="gramEnd"/>
      <w:r>
        <w:t xml:space="preserve"> </w:t>
      </w:r>
      <w:proofErr w:type="spellStart"/>
      <w:proofErr w:type="gramStart"/>
      <w:r>
        <w:t>Exh</w:t>
      </w:r>
      <w:proofErr w:type="spellEnd"/>
      <w:r>
        <w:t>.</w:t>
      </w:r>
      <w:proofErr w:type="gramEnd"/>
      <w:r>
        <w:t xml:space="preserve"> No. SMC-1T </w:t>
      </w:r>
      <w:r w:rsidRPr="0019379E">
        <w:t>8:21-22.</w:t>
      </w:r>
    </w:p>
  </w:footnote>
  <w:footnote w:id="16">
    <w:p w:rsidR="004677BC" w:rsidRPr="00855668" w:rsidRDefault="004677BC">
      <w:pPr>
        <w:pStyle w:val="FootnoteText"/>
        <w:rPr>
          <w:vertAlign w:val="superscript"/>
        </w:rPr>
      </w:pPr>
      <w:r w:rsidRPr="00855668">
        <w:rPr>
          <w:rStyle w:val="FootnoteReference"/>
          <w:vertAlign w:val="superscript"/>
        </w:rPr>
        <w:footnoteRef/>
      </w:r>
      <w:r>
        <w:t xml:space="preserve"> </w:t>
      </w:r>
      <w:r w:rsidRPr="00855668">
        <w:rPr>
          <w:i/>
        </w:rPr>
        <w:t>I</w:t>
      </w:r>
      <w:r w:rsidRPr="0019379E">
        <w:rPr>
          <w:i/>
        </w:rPr>
        <w:t xml:space="preserve">d. </w:t>
      </w:r>
      <w:r w:rsidRPr="0019379E">
        <w:t>9:1-7.</w:t>
      </w:r>
      <w:r w:rsidRPr="00855668">
        <w:rPr>
          <w:vertAlign w:val="superscript"/>
        </w:rPr>
        <w:t xml:space="preserve"> </w:t>
      </w:r>
    </w:p>
  </w:footnote>
  <w:footnote w:id="17">
    <w:p w:rsidR="004677BC" w:rsidRPr="00506ABF" w:rsidRDefault="004677BC">
      <w:pPr>
        <w:pStyle w:val="FootnoteText"/>
        <w:rPr>
          <w:vertAlign w:val="superscript"/>
        </w:rPr>
      </w:pPr>
      <w:r w:rsidRPr="00506ABF">
        <w:rPr>
          <w:rStyle w:val="FootnoteReference"/>
          <w:vertAlign w:val="superscript"/>
        </w:rPr>
        <w:footnoteRef/>
      </w:r>
      <w:r>
        <w:t xml:space="preserve"> </w:t>
      </w:r>
      <w:r w:rsidRPr="0019379E">
        <w:rPr>
          <w:i/>
        </w:rPr>
        <w:t xml:space="preserve">Id. </w:t>
      </w:r>
      <w:r w:rsidRPr="0019379E">
        <w:t>9:19-21.</w:t>
      </w:r>
      <w:r w:rsidRPr="00506ABF">
        <w:rPr>
          <w:vertAlign w:val="superscript"/>
        </w:rPr>
        <w:t xml:space="preserve"> </w:t>
      </w:r>
    </w:p>
  </w:footnote>
  <w:footnote w:id="18">
    <w:p w:rsidR="004677BC" w:rsidRPr="00506ABF" w:rsidRDefault="004677BC">
      <w:pPr>
        <w:pStyle w:val="FootnoteText"/>
        <w:rPr>
          <w:vertAlign w:val="superscript"/>
        </w:rPr>
      </w:pPr>
      <w:r w:rsidRPr="00506ABF">
        <w:rPr>
          <w:rStyle w:val="FootnoteReference"/>
          <w:vertAlign w:val="superscript"/>
        </w:rPr>
        <w:footnoteRef/>
      </w:r>
      <w:r w:rsidRPr="00506ABF">
        <w:rPr>
          <w:vertAlign w:val="superscript"/>
        </w:rPr>
        <w:t xml:space="preserve"> </w:t>
      </w:r>
      <w:r>
        <w:t xml:space="preserve">Mullins, </w:t>
      </w:r>
      <w:proofErr w:type="spellStart"/>
      <w:r>
        <w:t>Exh</w:t>
      </w:r>
      <w:proofErr w:type="spellEnd"/>
      <w:r>
        <w:t xml:space="preserve">. No. BGM-1CT </w:t>
      </w:r>
      <w:r w:rsidRPr="0019379E">
        <w:t>43:4-6.</w:t>
      </w:r>
    </w:p>
  </w:footnote>
  <w:footnote w:id="19">
    <w:p w:rsidR="004677BC" w:rsidRPr="00ED1A24" w:rsidRDefault="004677BC">
      <w:pPr>
        <w:pStyle w:val="FootnoteText"/>
      </w:pPr>
      <w:r w:rsidRPr="00ED1A24">
        <w:rPr>
          <w:rStyle w:val="FootnoteReference"/>
          <w:vertAlign w:val="superscript"/>
        </w:rPr>
        <w:footnoteRef/>
      </w:r>
      <w:r w:rsidRPr="00ED1A24">
        <w:rPr>
          <w:vertAlign w:val="superscript"/>
        </w:rPr>
        <w:t xml:space="preserve"> </w:t>
      </w:r>
      <w:r>
        <w:rPr>
          <w:vertAlign w:val="superscript"/>
        </w:rPr>
        <w:t xml:space="preserve"> </w:t>
      </w:r>
      <w:proofErr w:type="gramStart"/>
      <w:r w:rsidRPr="00ED1A24">
        <w:t>Ste</w:t>
      </w:r>
      <w:r>
        <w:t xml:space="preserve">ward, </w:t>
      </w:r>
      <w:proofErr w:type="spellStart"/>
      <w:r>
        <w:t>Exh</w:t>
      </w:r>
      <w:proofErr w:type="spellEnd"/>
      <w:r>
        <w:t>.</w:t>
      </w:r>
      <w:proofErr w:type="gramEnd"/>
      <w:r>
        <w:t xml:space="preserve"> No. JRS-1T </w:t>
      </w:r>
      <w:r w:rsidRPr="0019379E">
        <w:t>7:14-23.</w:t>
      </w:r>
    </w:p>
  </w:footnote>
  <w:footnote w:id="20">
    <w:p w:rsidR="004677BC" w:rsidRDefault="004677BC">
      <w:pPr>
        <w:pStyle w:val="FootnoteText"/>
      </w:pPr>
      <w:r w:rsidRPr="009A0EC3">
        <w:rPr>
          <w:rStyle w:val="FootnoteReference"/>
          <w:vertAlign w:val="superscript"/>
        </w:rPr>
        <w:footnoteRef/>
      </w:r>
      <w:r>
        <w:t xml:space="preserve"> </w:t>
      </w:r>
      <w:r w:rsidRPr="00186C6B">
        <w:rPr>
          <w:i/>
        </w:rPr>
        <w:t>See</w:t>
      </w:r>
      <w:r>
        <w:t xml:space="preserve"> </w:t>
      </w:r>
      <w:r w:rsidRPr="0019379E">
        <w:rPr>
          <w:i/>
        </w:rPr>
        <w:t xml:space="preserve">Wash. </w:t>
      </w:r>
      <w:proofErr w:type="spellStart"/>
      <w:r w:rsidRPr="0019379E">
        <w:rPr>
          <w:i/>
        </w:rPr>
        <w:t>Utils</w:t>
      </w:r>
      <w:proofErr w:type="spellEnd"/>
      <w:r w:rsidRPr="0019379E">
        <w:rPr>
          <w:i/>
        </w:rPr>
        <w:t>. &amp; Transp.</w:t>
      </w:r>
      <w:r w:rsidR="000F128E">
        <w:rPr>
          <w:i/>
        </w:rPr>
        <w:t xml:space="preserve"> </w:t>
      </w:r>
      <w:proofErr w:type="spellStart"/>
      <w:r w:rsidR="000F128E">
        <w:rPr>
          <w:i/>
        </w:rPr>
        <w:t>Comm’n</w:t>
      </w:r>
      <w:proofErr w:type="spellEnd"/>
      <w:r w:rsidR="000F128E">
        <w:rPr>
          <w:i/>
        </w:rPr>
        <w:t xml:space="preserve"> v. PacifiCorp d/b/a Pacific</w:t>
      </w:r>
      <w:r w:rsidRPr="0019379E">
        <w:rPr>
          <w:i/>
        </w:rPr>
        <w:t xml:space="preserve"> Power &amp; Light Co., </w:t>
      </w:r>
      <w:r>
        <w:t xml:space="preserve">Docket </w:t>
      </w:r>
      <w:r w:rsidRPr="001C2E4A">
        <w:t>UE-080220</w:t>
      </w:r>
      <w:r>
        <w:t>, Order 05, Settlement Stipulation, ¶</w:t>
      </w:r>
      <w:r w:rsidR="000F128E">
        <w:t>¶</w:t>
      </w:r>
      <w:r>
        <w:t xml:space="preserve"> 13-14 (</w:t>
      </w:r>
      <w:r w:rsidRPr="001C2E4A">
        <w:t>October, 8, 2008</w:t>
      </w:r>
      <w:r>
        <w:t xml:space="preserve">). </w:t>
      </w:r>
    </w:p>
  </w:footnote>
  <w:footnote w:id="21">
    <w:p w:rsidR="004677BC" w:rsidRPr="00810649" w:rsidRDefault="004677BC">
      <w:pPr>
        <w:pStyle w:val="FootnoteText"/>
        <w:rPr>
          <w:vertAlign w:val="superscript"/>
        </w:rPr>
      </w:pPr>
      <w:r w:rsidRPr="00810649">
        <w:rPr>
          <w:rStyle w:val="FootnoteReference"/>
          <w:vertAlign w:val="superscript"/>
        </w:rPr>
        <w:footnoteRef/>
      </w:r>
      <w:r>
        <w:t xml:space="preserve"> Van Meter, </w:t>
      </w:r>
      <w:proofErr w:type="spellStart"/>
      <w:r>
        <w:t>Exh</w:t>
      </w:r>
      <w:proofErr w:type="spellEnd"/>
      <w:r>
        <w:t>. No. TMV-1T 6:26-27.</w:t>
      </w:r>
      <w:r w:rsidRPr="00810649">
        <w:rPr>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94" w:rsidRDefault="009A6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94" w:rsidRDefault="009A68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94" w:rsidRDefault="009A68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BC" w:rsidRDefault="00467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450"/>
    <w:multiLevelType w:val="hybridMultilevel"/>
    <w:tmpl w:val="3A32200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D5852"/>
    <w:multiLevelType w:val="hybridMultilevel"/>
    <w:tmpl w:val="52364A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D781D"/>
    <w:multiLevelType w:val="singleLevel"/>
    <w:tmpl w:val="73DE8872"/>
    <w:lvl w:ilvl="0">
      <w:start w:val="17"/>
      <w:numFmt w:val="upperLetter"/>
      <w:lvlText w:val="%1."/>
      <w:lvlJc w:val="left"/>
      <w:pPr>
        <w:tabs>
          <w:tab w:val="num" w:pos="720"/>
        </w:tabs>
        <w:ind w:left="720" w:hanging="720"/>
      </w:pPr>
      <w:rPr>
        <w:rFonts w:hint="default"/>
      </w:rPr>
    </w:lvl>
  </w:abstractNum>
  <w:abstractNum w:abstractNumId="3">
    <w:nsid w:val="0A657A8E"/>
    <w:multiLevelType w:val="multilevel"/>
    <w:tmpl w:val="F7422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15234B"/>
    <w:multiLevelType w:val="hybridMultilevel"/>
    <w:tmpl w:val="0CA0C378"/>
    <w:lvl w:ilvl="0" w:tplc="FDDEC1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41A35"/>
    <w:multiLevelType w:val="singleLevel"/>
    <w:tmpl w:val="25EC57DA"/>
    <w:lvl w:ilvl="0">
      <w:start w:val="1"/>
      <w:numFmt w:val="lowerLetter"/>
      <w:lvlText w:val="%1)"/>
      <w:lvlJc w:val="left"/>
      <w:pPr>
        <w:tabs>
          <w:tab w:val="num" w:pos="1080"/>
        </w:tabs>
        <w:ind w:left="1080" w:hanging="360"/>
      </w:pPr>
      <w:rPr>
        <w:rFonts w:hint="default"/>
      </w:rPr>
    </w:lvl>
  </w:abstractNum>
  <w:abstractNum w:abstractNumId="6">
    <w:nsid w:val="157568FE"/>
    <w:multiLevelType w:val="hybridMultilevel"/>
    <w:tmpl w:val="5B4034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8A46D8"/>
    <w:multiLevelType w:val="hybridMultilevel"/>
    <w:tmpl w:val="BE66CA3C"/>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7F473D"/>
    <w:multiLevelType w:val="hybridMultilevel"/>
    <w:tmpl w:val="1C2E7B02"/>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5C7FF4"/>
    <w:multiLevelType w:val="hybridMultilevel"/>
    <w:tmpl w:val="5B3A5708"/>
    <w:lvl w:ilvl="0" w:tplc="04090015">
      <w:start w:val="1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254BEF"/>
    <w:multiLevelType w:val="singleLevel"/>
    <w:tmpl w:val="B9240E28"/>
    <w:lvl w:ilvl="0">
      <w:start w:val="17"/>
      <w:numFmt w:val="upperLetter"/>
      <w:lvlText w:val="%1."/>
      <w:lvlJc w:val="left"/>
      <w:pPr>
        <w:tabs>
          <w:tab w:val="num" w:pos="1440"/>
        </w:tabs>
        <w:ind w:left="1440" w:hanging="720"/>
      </w:pPr>
      <w:rPr>
        <w:rFonts w:hint="default"/>
      </w:rPr>
    </w:lvl>
  </w:abstractNum>
  <w:abstractNum w:abstractNumId="11">
    <w:nsid w:val="25E5706C"/>
    <w:multiLevelType w:val="hybridMultilevel"/>
    <w:tmpl w:val="A4BA14EC"/>
    <w:lvl w:ilvl="0" w:tplc="3D402B3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62A90"/>
    <w:multiLevelType w:val="hybridMultilevel"/>
    <w:tmpl w:val="578CF076"/>
    <w:lvl w:ilvl="0" w:tplc="703AD3FE">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FA5885"/>
    <w:multiLevelType w:val="hybridMultilevel"/>
    <w:tmpl w:val="5A4A2B30"/>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4">
    <w:nsid w:val="331D1D67"/>
    <w:multiLevelType w:val="singleLevel"/>
    <w:tmpl w:val="537A0A46"/>
    <w:lvl w:ilvl="0">
      <w:start w:val="17"/>
      <w:numFmt w:val="upperLetter"/>
      <w:lvlText w:val="%1."/>
      <w:lvlJc w:val="left"/>
      <w:pPr>
        <w:tabs>
          <w:tab w:val="num" w:pos="810"/>
        </w:tabs>
        <w:ind w:left="810" w:hanging="720"/>
      </w:pPr>
      <w:rPr>
        <w:rFonts w:hint="default"/>
      </w:rPr>
    </w:lvl>
  </w:abstractNum>
  <w:abstractNum w:abstractNumId="15">
    <w:nsid w:val="3FEF6A08"/>
    <w:multiLevelType w:val="singleLevel"/>
    <w:tmpl w:val="104A23EC"/>
    <w:lvl w:ilvl="0">
      <w:start w:val="1"/>
      <w:numFmt w:val="decimal"/>
      <w:lvlText w:val="%1."/>
      <w:legacy w:legacy="1" w:legacySpace="0" w:legacyIndent="360"/>
      <w:lvlJc w:val="left"/>
      <w:pPr>
        <w:ind w:left="1800" w:hanging="360"/>
      </w:pPr>
    </w:lvl>
  </w:abstractNum>
  <w:abstractNum w:abstractNumId="16">
    <w:nsid w:val="41C97E81"/>
    <w:multiLevelType w:val="hybridMultilevel"/>
    <w:tmpl w:val="EBF0F5D0"/>
    <w:lvl w:ilvl="0" w:tplc="F4C6E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0440C5"/>
    <w:multiLevelType w:val="hybridMultilevel"/>
    <w:tmpl w:val="38FED69C"/>
    <w:lvl w:ilvl="0" w:tplc="19BA3E1A">
      <w:start w:val="17"/>
      <w:numFmt w:val="upperLetter"/>
      <w:lvlText w:val="%1."/>
      <w:lvlJc w:val="left"/>
      <w:pPr>
        <w:tabs>
          <w:tab w:val="num" w:pos="720"/>
        </w:tabs>
        <w:ind w:left="720" w:hanging="360"/>
      </w:pPr>
      <w:rPr>
        <w:rFonts w:hint="default"/>
      </w:rPr>
    </w:lvl>
    <w:lvl w:ilvl="1" w:tplc="CEBC923A" w:tentative="1">
      <w:start w:val="1"/>
      <w:numFmt w:val="lowerLetter"/>
      <w:lvlText w:val="%2."/>
      <w:lvlJc w:val="left"/>
      <w:pPr>
        <w:tabs>
          <w:tab w:val="num" w:pos="1440"/>
        </w:tabs>
        <w:ind w:left="1440" w:hanging="360"/>
      </w:pPr>
    </w:lvl>
    <w:lvl w:ilvl="2" w:tplc="25BC11A2" w:tentative="1">
      <w:start w:val="1"/>
      <w:numFmt w:val="lowerRoman"/>
      <w:lvlText w:val="%3."/>
      <w:lvlJc w:val="right"/>
      <w:pPr>
        <w:tabs>
          <w:tab w:val="num" w:pos="2160"/>
        </w:tabs>
        <w:ind w:left="2160" w:hanging="180"/>
      </w:pPr>
    </w:lvl>
    <w:lvl w:ilvl="3" w:tplc="E0E691D6" w:tentative="1">
      <w:start w:val="1"/>
      <w:numFmt w:val="decimal"/>
      <w:lvlText w:val="%4."/>
      <w:lvlJc w:val="left"/>
      <w:pPr>
        <w:tabs>
          <w:tab w:val="num" w:pos="2880"/>
        </w:tabs>
        <w:ind w:left="2880" w:hanging="360"/>
      </w:pPr>
    </w:lvl>
    <w:lvl w:ilvl="4" w:tplc="652CE65A" w:tentative="1">
      <w:start w:val="1"/>
      <w:numFmt w:val="lowerLetter"/>
      <w:lvlText w:val="%5."/>
      <w:lvlJc w:val="left"/>
      <w:pPr>
        <w:tabs>
          <w:tab w:val="num" w:pos="3600"/>
        </w:tabs>
        <w:ind w:left="3600" w:hanging="360"/>
      </w:pPr>
    </w:lvl>
    <w:lvl w:ilvl="5" w:tplc="AE6E39CC" w:tentative="1">
      <w:start w:val="1"/>
      <w:numFmt w:val="lowerRoman"/>
      <w:lvlText w:val="%6."/>
      <w:lvlJc w:val="right"/>
      <w:pPr>
        <w:tabs>
          <w:tab w:val="num" w:pos="4320"/>
        </w:tabs>
        <w:ind w:left="4320" w:hanging="180"/>
      </w:pPr>
    </w:lvl>
    <w:lvl w:ilvl="6" w:tplc="D410F028" w:tentative="1">
      <w:start w:val="1"/>
      <w:numFmt w:val="decimal"/>
      <w:lvlText w:val="%7."/>
      <w:lvlJc w:val="left"/>
      <w:pPr>
        <w:tabs>
          <w:tab w:val="num" w:pos="5040"/>
        </w:tabs>
        <w:ind w:left="5040" w:hanging="360"/>
      </w:pPr>
    </w:lvl>
    <w:lvl w:ilvl="7" w:tplc="C7CEBAC4" w:tentative="1">
      <w:start w:val="1"/>
      <w:numFmt w:val="lowerLetter"/>
      <w:lvlText w:val="%8."/>
      <w:lvlJc w:val="left"/>
      <w:pPr>
        <w:tabs>
          <w:tab w:val="num" w:pos="5760"/>
        </w:tabs>
        <w:ind w:left="5760" w:hanging="360"/>
      </w:pPr>
    </w:lvl>
    <w:lvl w:ilvl="8" w:tplc="6D2A49E8" w:tentative="1">
      <w:start w:val="1"/>
      <w:numFmt w:val="lowerRoman"/>
      <w:lvlText w:val="%9."/>
      <w:lvlJc w:val="right"/>
      <w:pPr>
        <w:tabs>
          <w:tab w:val="num" w:pos="6480"/>
        </w:tabs>
        <w:ind w:left="6480" w:hanging="180"/>
      </w:pPr>
    </w:lvl>
  </w:abstractNum>
  <w:abstractNum w:abstractNumId="18">
    <w:nsid w:val="47542C1E"/>
    <w:multiLevelType w:val="hybridMultilevel"/>
    <w:tmpl w:val="AD925D94"/>
    <w:lvl w:ilvl="0" w:tplc="6EC608F6">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7A66EBE"/>
    <w:multiLevelType w:val="hybridMultilevel"/>
    <w:tmpl w:val="BCC41C9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82E4C6E"/>
    <w:multiLevelType w:val="hybridMultilevel"/>
    <w:tmpl w:val="99668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5055ED"/>
    <w:multiLevelType w:val="hybridMultilevel"/>
    <w:tmpl w:val="711E1464"/>
    <w:lvl w:ilvl="0" w:tplc="B03EE91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1240751"/>
    <w:multiLevelType w:val="singleLevel"/>
    <w:tmpl w:val="A65EF87C"/>
    <w:lvl w:ilvl="0">
      <w:start w:val="1"/>
      <w:numFmt w:val="upperLetter"/>
      <w:lvlText w:val="%1."/>
      <w:lvlJc w:val="left"/>
      <w:pPr>
        <w:tabs>
          <w:tab w:val="num" w:pos="900"/>
        </w:tabs>
        <w:ind w:left="900" w:hanging="720"/>
      </w:pPr>
      <w:rPr>
        <w:rFonts w:hint="default"/>
      </w:rPr>
    </w:lvl>
  </w:abstractNum>
  <w:abstractNum w:abstractNumId="23">
    <w:nsid w:val="52611B91"/>
    <w:multiLevelType w:val="hybridMultilevel"/>
    <w:tmpl w:val="6A8049B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D73DEA"/>
    <w:multiLevelType w:val="hybridMultilevel"/>
    <w:tmpl w:val="C206F0C0"/>
    <w:lvl w:ilvl="0" w:tplc="C1E62E5A">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430470"/>
    <w:multiLevelType w:val="hybridMultilevel"/>
    <w:tmpl w:val="660EAF02"/>
    <w:lvl w:ilvl="0" w:tplc="04090015">
      <w:start w:val="17"/>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44740B"/>
    <w:multiLevelType w:val="hybridMultilevel"/>
    <w:tmpl w:val="1EB8C8D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nsid w:val="5CC83557"/>
    <w:multiLevelType w:val="hybridMultilevel"/>
    <w:tmpl w:val="1228D87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FA930C7"/>
    <w:multiLevelType w:val="hybridMultilevel"/>
    <w:tmpl w:val="13E45B78"/>
    <w:lvl w:ilvl="0" w:tplc="DC40184E">
      <w:start w:val="1"/>
      <w:numFmt w:val="upperLetter"/>
      <w:lvlText w:val="%1."/>
      <w:lvlJc w:val="left"/>
      <w:pPr>
        <w:tabs>
          <w:tab w:val="num" w:pos="720"/>
        </w:tabs>
        <w:ind w:left="720" w:hanging="360"/>
      </w:pPr>
      <w:rPr>
        <w:rFonts w:hint="default"/>
      </w:rPr>
    </w:lvl>
    <w:lvl w:ilvl="1" w:tplc="D2A478B6" w:tentative="1">
      <w:start w:val="1"/>
      <w:numFmt w:val="lowerLetter"/>
      <w:lvlText w:val="%2."/>
      <w:lvlJc w:val="left"/>
      <w:pPr>
        <w:tabs>
          <w:tab w:val="num" w:pos="1440"/>
        </w:tabs>
        <w:ind w:left="1440" w:hanging="360"/>
      </w:pPr>
    </w:lvl>
    <w:lvl w:ilvl="2" w:tplc="4CF00D9A" w:tentative="1">
      <w:start w:val="1"/>
      <w:numFmt w:val="lowerRoman"/>
      <w:lvlText w:val="%3."/>
      <w:lvlJc w:val="right"/>
      <w:pPr>
        <w:tabs>
          <w:tab w:val="num" w:pos="2160"/>
        </w:tabs>
        <w:ind w:left="2160" w:hanging="180"/>
      </w:pPr>
    </w:lvl>
    <w:lvl w:ilvl="3" w:tplc="311669E0" w:tentative="1">
      <w:start w:val="1"/>
      <w:numFmt w:val="decimal"/>
      <w:lvlText w:val="%4."/>
      <w:lvlJc w:val="left"/>
      <w:pPr>
        <w:tabs>
          <w:tab w:val="num" w:pos="2880"/>
        </w:tabs>
        <w:ind w:left="2880" w:hanging="360"/>
      </w:pPr>
    </w:lvl>
    <w:lvl w:ilvl="4" w:tplc="23B648F4" w:tentative="1">
      <w:start w:val="1"/>
      <w:numFmt w:val="lowerLetter"/>
      <w:lvlText w:val="%5."/>
      <w:lvlJc w:val="left"/>
      <w:pPr>
        <w:tabs>
          <w:tab w:val="num" w:pos="3600"/>
        </w:tabs>
        <w:ind w:left="3600" w:hanging="360"/>
      </w:pPr>
    </w:lvl>
    <w:lvl w:ilvl="5" w:tplc="42226698" w:tentative="1">
      <w:start w:val="1"/>
      <w:numFmt w:val="lowerRoman"/>
      <w:lvlText w:val="%6."/>
      <w:lvlJc w:val="right"/>
      <w:pPr>
        <w:tabs>
          <w:tab w:val="num" w:pos="4320"/>
        </w:tabs>
        <w:ind w:left="4320" w:hanging="180"/>
      </w:pPr>
    </w:lvl>
    <w:lvl w:ilvl="6" w:tplc="645EE10C" w:tentative="1">
      <w:start w:val="1"/>
      <w:numFmt w:val="decimal"/>
      <w:lvlText w:val="%7."/>
      <w:lvlJc w:val="left"/>
      <w:pPr>
        <w:tabs>
          <w:tab w:val="num" w:pos="5040"/>
        </w:tabs>
        <w:ind w:left="5040" w:hanging="360"/>
      </w:pPr>
    </w:lvl>
    <w:lvl w:ilvl="7" w:tplc="33581194" w:tentative="1">
      <w:start w:val="1"/>
      <w:numFmt w:val="lowerLetter"/>
      <w:lvlText w:val="%8."/>
      <w:lvlJc w:val="left"/>
      <w:pPr>
        <w:tabs>
          <w:tab w:val="num" w:pos="5760"/>
        </w:tabs>
        <w:ind w:left="5760" w:hanging="360"/>
      </w:pPr>
    </w:lvl>
    <w:lvl w:ilvl="8" w:tplc="98CA1BB4" w:tentative="1">
      <w:start w:val="1"/>
      <w:numFmt w:val="lowerRoman"/>
      <w:lvlText w:val="%9."/>
      <w:lvlJc w:val="right"/>
      <w:pPr>
        <w:tabs>
          <w:tab w:val="num" w:pos="6480"/>
        </w:tabs>
        <w:ind w:left="6480" w:hanging="180"/>
      </w:pPr>
    </w:lvl>
  </w:abstractNum>
  <w:abstractNum w:abstractNumId="29">
    <w:nsid w:val="64CB0831"/>
    <w:multiLevelType w:val="hybridMultilevel"/>
    <w:tmpl w:val="C95A3F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3E4BC4"/>
    <w:multiLevelType w:val="hybridMultilevel"/>
    <w:tmpl w:val="0472E85C"/>
    <w:lvl w:ilvl="0" w:tplc="8CF8B074">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0728FA"/>
    <w:multiLevelType w:val="hybridMultilevel"/>
    <w:tmpl w:val="519066C2"/>
    <w:lvl w:ilvl="0" w:tplc="BA48E9AC">
      <w:start w:val="17"/>
      <w:numFmt w:val="upperLetter"/>
      <w:lvlText w:val="%1."/>
      <w:lvlJc w:val="left"/>
      <w:pPr>
        <w:tabs>
          <w:tab w:val="num" w:pos="720"/>
        </w:tabs>
        <w:ind w:left="720" w:hanging="360"/>
      </w:pPr>
      <w:rPr>
        <w:rFonts w:hint="default"/>
      </w:rPr>
    </w:lvl>
    <w:lvl w:ilvl="1" w:tplc="257081D4" w:tentative="1">
      <w:start w:val="1"/>
      <w:numFmt w:val="lowerLetter"/>
      <w:lvlText w:val="%2."/>
      <w:lvlJc w:val="left"/>
      <w:pPr>
        <w:tabs>
          <w:tab w:val="num" w:pos="1440"/>
        </w:tabs>
        <w:ind w:left="1440" w:hanging="360"/>
      </w:pPr>
    </w:lvl>
    <w:lvl w:ilvl="2" w:tplc="21B2EA14" w:tentative="1">
      <w:start w:val="1"/>
      <w:numFmt w:val="lowerRoman"/>
      <w:lvlText w:val="%3."/>
      <w:lvlJc w:val="right"/>
      <w:pPr>
        <w:tabs>
          <w:tab w:val="num" w:pos="2160"/>
        </w:tabs>
        <w:ind w:left="2160" w:hanging="180"/>
      </w:pPr>
    </w:lvl>
    <w:lvl w:ilvl="3" w:tplc="8A5EA28E" w:tentative="1">
      <w:start w:val="1"/>
      <w:numFmt w:val="decimal"/>
      <w:lvlText w:val="%4."/>
      <w:lvlJc w:val="left"/>
      <w:pPr>
        <w:tabs>
          <w:tab w:val="num" w:pos="2880"/>
        </w:tabs>
        <w:ind w:left="2880" w:hanging="360"/>
      </w:pPr>
    </w:lvl>
    <w:lvl w:ilvl="4" w:tplc="BE400E30" w:tentative="1">
      <w:start w:val="1"/>
      <w:numFmt w:val="lowerLetter"/>
      <w:lvlText w:val="%5."/>
      <w:lvlJc w:val="left"/>
      <w:pPr>
        <w:tabs>
          <w:tab w:val="num" w:pos="3600"/>
        </w:tabs>
        <w:ind w:left="3600" w:hanging="360"/>
      </w:pPr>
    </w:lvl>
    <w:lvl w:ilvl="5" w:tplc="CDEA1346" w:tentative="1">
      <w:start w:val="1"/>
      <w:numFmt w:val="lowerRoman"/>
      <w:lvlText w:val="%6."/>
      <w:lvlJc w:val="right"/>
      <w:pPr>
        <w:tabs>
          <w:tab w:val="num" w:pos="4320"/>
        </w:tabs>
        <w:ind w:left="4320" w:hanging="180"/>
      </w:pPr>
    </w:lvl>
    <w:lvl w:ilvl="6" w:tplc="A074F280" w:tentative="1">
      <w:start w:val="1"/>
      <w:numFmt w:val="decimal"/>
      <w:lvlText w:val="%7."/>
      <w:lvlJc w:val="left"/>
      <w:pPr>
        <w:tabs>
          <w:tab w:val="num" w:pos="5040"/>
        </w:tabs>
        <w:ind w:left="5040" w:hanging="360"/>
      </w:pPr>
    </w:lvl>
    <w:lvl w:ilvl="7" w:tplc="A4BC50C8" w:tentative="1">
      <w:start w:val="1"/>
      <w:numFmt w:val="lowerLetter"/>
      <w:lvlText w:val="%8."/>
      <w:lvlJc w:val="left"/>
      <w:pPr>
        <w:tabs>
          <w:tab w:val="num" w:pos="5760"/>
        </w:tabs>
        <w:ind w:left="5760" w:hanging="360"/>
      </w:pPr>
    </w:lvl>
    <w:lvl w:ilvl="8" w:tplc="5A167D9A" w:tentative="1">
      <w:start w:val="1"/>
      <w:numFmt w:val="lowerRoman"/>
      <w:lvlText w:val="%9."/>
      <w:lvlJc w:val="right"/>
      <w:pPr>
        <w:tabs>
          <w:tab w:val="num" w:pos="6480"/>
        </w:tabs>
        <w:ind w:left="6480" w:hanging="180"/>
      </w:pPr>
    </w:lvl>
  </w:abstractNum>
  <w:abstractNum w:abstractNumId="32">
    <w:nsid w:val="6F235667"/>
    <w:multiLevelType w:val="singleLevel"/>
    <w:tmpl w:val="0734C138"/>
    <w:lvl w:ilvl="0">
      <w:start w:val="1"/>
      <w:numFmt w:val="lowerLetter"/>
      <w:lvlText w:val="%1)"/>
      <w:lvlJc w:val="left"/>
      <w:pPr>
        <w:tabs>
          <w:tab w:val="num" w:pos="1080"/>
        </w:tabs>
        <w:ind w:left="1080" w:hanging="360"/>
      </w:pPr>
      <w:rPr>
        <w:rFonts w:hint="default"/>
      </w:rPr>
    </w:lvl>
  </w:abstractNum>
  <w:abstractNum w:abstractNumId="33">
    <w:nsid w:val="7D591DEA"/>
    <w:multiLevelType w:val="hybridMultilevel"/>
    <w:tmpl w:val="00169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17"/>
  </w:num>
  <w:num w:numId="4">
    <w:abstractNumId w:val="13"/>
  </w:num>
  <w:num w:numId="5">
    <w:abstractNumId w:val="26"/>
  </w:num>
  <w:num w:numId="6">
    <w:abstractNumId w:val="24"/>
  </w:num>
  <w:num w:numId="7">
    <w:abstractNumId w:val="19"/>
  </w:num>
  <w:num w:numId="8">
    <w:abstractNumId w:val="11"/>
  </w:num>
  <w:num w:numId="9">
    <w:abstractNumId w:val="30"/>
  </w:num>
  <w:num w:numId="10">
    <w:abstractNumId w:val="29"/>
  </w:num>
  <w:num w:numId="11">
    <w:abstractNumId w:val="23"/>
  </w:num>
  <w:num w:numId="12">
    <w:abstractNumId w:val="25"/>
  </w:num>
  <w:num w:numId="13">
    <w:abstractNumId w:val="32"/>
  </w:num>
  <w:num w:numId="14">
    <w:abstractNumId w:val="5"/>
  </w:num>
  <w:num w:numId="15">
    <w:abstractNumId w:val="14"/>
  </w:num>
  <w:num w:numId="16">
    <w:abstractNumId w:val="10"/>
  </w:num>
  <w:num w:numId="17">
    <w:abstractNumId w:val="22"/>
  </w:num>
  <w:num w:numId="18">
    <w:abstractNumId w:val="2"/>
  </w:num>
  <w:num w:numId="19">
    <w:abstractNumId w:val="7"/>
  </w:num>
  <w:num w:numId="20">
    <w:abstractNumId w:val="18"/>
  </w:num>
  <w:num w:numId="21">
    <w:abstractNumId w:val="6"/>
  </w:num>
  <w:num w:numId="22">
    <w:abstractNumId w:val="27"/>
  </w:num>
  <w:num w:numId="23">
    <w:abstractNumId w:val="8"/>
  </w:num>
  <w:num w:numId="24">
    <w:abstractNumId w:val="0"/>
  </w:num>
  <w:num w:numId="25">
    <w:abstractNumId w:val="16"/>
  </w:num>
  <w:num w:numId="26">
    <w:abstractNumId w:val="4"/>
  </w:num>
  <w:num w:numId="27">
    <w:abstractNumId w:val="21"/>
  </w:num>
  <w:num w:numId="28">
    <w:abstractNumId w:val="15"/>
  </w:num>
  <w:num w:numId="29">
    <w:abstractNumId w:val="9"/>
  </w:num>
  <w:num w:numId="30">
    <w:abstractNumId w:val="1"/>
  </w:num>
  <w:num w:numId="31">
    <w:abstractNumId w:val="20"/>
  </w:num>
  <w:num w:numId="32">
    <w:abstractNumId w:val="33"/>
  </w:num>
  <w:num w:numId="33">
    <w:abstractNumId w:val="3"/>
  </w:num>
  <w:num w:numId="3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Rackner">
    <w15:presenceInfo w15:providerId="None" w15:userId="Lisa Rack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AB5"/>
    <w:rsid w:val="00000DC7"/>
    <w:rsid w:val="00003598"/>
    <w:rsid w:val="000047E7"/>
    <w:rsid w:val="000047F4"/>
    <w:rsid w:val="00004D6F"/>
    <w:rsid w:val="00004D8B"/>
    <w:rsid w:val="00005F2F"/>
    <w:rsid w:val="00010B70"/>
    <w:rsid w:val="00013F11"/>
    <w:rsid w:val="00017351"/>
    <w:rsid w:val="00017F0F"/>
    <w:rsid w:val="000217A0"/>
    <w:rsid w:val="00021B21"/>
    <w:rsid w:val="00022178"/>
    <w:rsid w:val="000228E9"/>
    <w:rsid w:val="00023EDC"/>
    <w:rsid w:val="000243A7"/>
    <w:rsid w:val="00024F42"/>
    <w:rsid w:val="000257CA"/>
    <w:rsid w:val="000260BF"/>
    <w:rsid w:val="00026649"/>
    <w:rsid w:val="00026CEB"/>
    <w:rsid w:val="000305A3"/>
    <w:rsid w:val="00030D2C"/>
    <w:rsid w:val="00032352"/>
    <w:rsid w:val="0003283F"/>
    <w:rsid w:val="00033601"/>
    <w:rsid w:val="00033C75"/>
    <w:rsid w:val="00033FE9"/>
    <w:rsid w:val="00035451"/>
    <w:rsid w:val="0003781F"/>
    <w:rsid w:val="000378FB"/>
    <w:rsid w:val="00037EE9"/>
    <w:rsid w:val="0004306E"/>
    <w:rsid w:val="000435DA"/>
    <w:rsid w:val="0004451A"/>
    <w:rsid w:val="00044C27"/>
    <w:rsid w:val="000451CD"/>
    <w:rsid w:val="00045858"/>
    <w:rsid w:val="00050334"/>
    <w:rsid w:val="0005145B"/>
    <w:rsid w:val="00052047"/>
    <w:rsid w:val="00052C26"/>
    <w:rsid w:val="00053FBB"/>
    <w:rsid w:val="00063AA2"/>
    <w:rsid w:val="00064F9F"/>
    <w:rsid w:val="00067448"/>
    <w:rsid w:val="0007132E"/>
    <w:rsid w:val="000717B2"/>
    <w:rsid w:val="00071D36"/>
    <w:rsid w:val="00074371"/>
    <w:rsid w:val="000755C3"/>
    <w:rsid w:val="00075E91"/>
    <w:rsid w:val="00080159"/>
    <w:rsid w:val="00082945"/>
    <w:rsid w:val="00082DCE"/>
    <w:rsid w:val="000835CC"/>
    <w:rsid w:val="00085355"/>
    <w:rsid w:val="000869A5"/>
    <w:rsid w:val="00087978"/>
    <w:rsid w:val="0009025E"/>
    <w:rsid w:val="0009290A"/>
    <w:rsid w:val="00094ED5"/>
    <w:rsid w:val="000969F6"/>
    <w:rsid w:val="00097093"/>
    <w:rsid w:val="000A1DF1"/>
    <w:rsid w:val="000A3BFE"/>
    <w:rsid w:val="000A5C0D"/>
    <w:rsid w:val="000A7B80"/>
    <w:rsid w:val="000B203A"/>
    <w:rsid w:val="000B28B9"/>
    <w:rsid w:val="000B386A"/>
    <w:rsid w:val="000B479E"/>
    <w:rsid w:val="000B6672"/>
    <w:rsid w:val="000B7070"/>
    <w:rsid w:val="000B7AF0"/>
    <w:rsid w:val="000C3633"/>
    <w:rsid w:val="000C3C7B"/>
    <w:rsid w:val="000C7C21"/>
    <w:rsid w:val="000C7E94"/>
    <w:rsid w:val="000D0A17"/>
    <w:rsid w:val="000D0AD5"/>
    <w:rsid w:val="000D33C3"/>
    <w:rsid w:val="000D3524"/>
    <w:rsid w:val="000D45E1"/>
    <w:rsid w:val="000D4702"/>
    <w:rsid w:val="000D5546"/>
    <w:rsid w:val="000D576C"/>
    <w:rsid w:val="000E0009"/>
    <w:rsid w:val="000E378E"/>
    <w:rsid w:val="000E4326"/>
    <w:rsid w:val="000E45CF"/>
    <w:rsid w:val="000E53D0"/>
    <w:rsid w:val="000F07C7"/>
    <w:rsid w:val="000F128E"/>
    <w:rsid w:val="000F30F9"/>
    <w:rsid w:val="000F32F4"/>
    <w:rsid w:val="000F7762"/>
    <w:rsid w:val="00100547"/>
    <w:rsid w:val="0010133E"/>
    <w:rsid w:val="001041EA"/>
    <w:rsid w:val="0010648A"/>
    <w:rsid w:val="0010786A"/>
    <w:rsid w:val="001145F6"/>
    <w:rsid w:val="00114CC3"/>
    <w:rsid w:val="0011656B"/>
    <w:rsid w:val="0011657E"/>
    <w:rsid w:val="0012136C"/>
    <w:rsid w:val="00122D94"/>
    <w:rsid w:val="001247BC"/>
    <w:rsid w:val="00125A78"/>
    <w:rsid w:val="00126B29"/>
    <w:rsid w:val="00127BDE"/>
    <w:rsid w:val="00130B7A"/>
    <w:rsid w:val="00132A8A"/>
    <w:rsid w:val="00133D26"/>
    <w:rsid w:val="00133EBB"/>
    <w:rsid w:val="001344D8"/>
    <w:rsid w:val="00136947"/>
    <w:rsid w:val="00136948"/>
    <w:rsid w:val="0013699D"/>
    <w:rsid w:val="00141730"/>
    <w:rsid w:val="00141B05"/>
    <w:rsid w:val="00141D8D"/>
    <w:rsid w:val="00142949"/>
    <w:rsid w:val="001434AF"/>
    <w:rsid w:val="00143A85"/>
    <w:rsid w:val="00145182"/>
    <w:rsid w:val="00145240"/>
    <w:rsid w:val="0014730E"/>
    <w:rsid w:val="001532DE"/>
    <w:rsid w:val="001553F9"/>
    <w:rsid w:val="001573CE"/>
    <w:rsid w:val="001601C8"/>
    <w:rsid w:val="00163005"/>
    <w:rsid w:val="0016589D"/>
    <w:rsid w:val="001667E8"/>
    <w:rsid w:val="00170783"/>
    <w:rsid w:val="00173476"/>
    <w:rsid w:val="00174B2D"/>
    <w:rsid w:val="00175957"/>
    <w:rsid w:val="00176A79"/>
    <w:rsid w:val="00176B86"/>
    <w:rsid w:val="00181266"/>
    <w:rsid w:val="00181D02"/>
    <w:rsid w:val="00184E22"/>
    <w:rsid w:val="00186C6B"/>
    <w:rsid w:val="00187063"/>
    <w:rsid w:val="00187E09"/>
    <w:rsid w:val="00191E91"/>
    <w:rsid w:val="00194744"/>
    <w:rsid w:val="001958FA"/>
    <w:rsid w:val="00196FAB"/>
    <w:rsid w:val="001A0868"/>
    <w:rsid w:val="001A17F8"/>
    <w:rsid w:val="001A3441"/>
    <w:rsid w:val="001A3823"/>
    <w:rsid w:val="001A6A0E"/>
    <w:rsid w:val="001A6F96"/>
    <w:rsid w:val="001B080C"/>
    <w:rsid w:val="001B097A"/>
    <w:rsid w:val="001B0DB3"/>
    <w:rsid w:val="001B76AF"/>
    <w:rsid w:val="001B774A"/>
    <w:rsid w:val="001C2E4A"/>
    <w:rsid w:val="001C52F7"/>
    <w:rsid w:val="001C58D5"/>
    <w:rsid w:val="001C7F68"/>
    <w:rsid w:val="001D06F3"/>
    <w:rsid w:val="001D0F34"/>
    <w:rsid w:val="001D0F79"/>
    <w:rsid w:val="001D12D0"/>
    <w:rsid w:val="001D179E"/>
    <w:rsid w:val="001D2CE1"/>
    <w:rsid w:val="001D399C"/>
    <w:rsid w:val="001D5A3F"/>
    <w:rsid w:val="001D5D35"/>
    <w:rsid w:val="001D70F1"/>
    <w:rsid w:val="001E5059"/>
    <w:rsid w:val="001E58A2"/>
    <w:rsid w:val="001E6D9F"/>
    <w:rsid w:val="001F0C43"/>
    <w:rsid w:val="001F16F8"/>
    <w:rsid w:val="001F428D"/>
    <w:rsid w:val="001F4454"/>
    <w:rsid w:val="001F5B51"/>
    <w:rsid w:val="001F5F84"/>
    <w:rsid w:val="001F6336"/>
    <w:rsid w:val="001F6F4E"/>
    <w:rsid w:val="00200BF0"/>
    <w:rsid w:val="00201361"/>
    <w:rsid w:val="0020152A"/>
    <w:rsid w:val="00201BC0"/>
    <w:rsid w:val="002038C9"/>
    <w:rsid w:val="00205FE4"/>
    <w:rsid w:val="00206530"/>
    <w:rsid w:val="0020664C"/>
    <w:rsid w:val="00207A47"/>
    <w:rsid w:val="002110D2"/>
    <w:rsid w:val="00213577"/>
    <w:rsid w:val="00213EA4"/>
    <w:rsid w:val="00213F76"/>
    <w:rsid w:val="00217E30"/>
    <w:rsid w:val="002213FC"/>
    <w:rsid w:val="00223B5E"/>
    <w:rsid w:val="002243B3"/>
    <w:rsid w:val="0022491E"/>
    <w:rsid w:val="00224A39"/>
    <w:rsid w:val="002255A5"/>
    <w:rsid w:val="002256CA"/>
    <w:rsid w:val="0022665B"/>
    <w:rsid w:val="00230EEF"/>
    <w:rsid w:val="00232E28"/>
    <w:rsid w:val="0023392D"/>
    <w:rsid w:val="0023403A"/>
    <w:rsid w:val="002345F5"/>
    <w:rsid w:val="00236A93"/>
    <w:rsid w:val="00237E9F"/>
    <w:rsid w:val="00244E7F"/>
    <w:rsid w:val="0024541A"/>
    <w:rsid w:val="00253041"/>
    <w:rsid w:val="002532BB"/>
    <w:rsid w:val="00255026"/>
    <w:rsid w:val="00255D28"/>
    <w:rsid w:val="0025698E"/>
    <w:rsid w:val="00256A3D"/>
    <w:rsid w:val="002620B9"/>
    <w:rsid w:val="00266A5D"/>
    <w:rsid w:val="00267241"/>
    <w:rsid w:val="00267D42"/>
    <w:rsid w:val="002702D0"/>
    <w:rsid w:val="0027073E"/>
    <w:rsid w:val="00271AC4"/>
    <w:rsid w:val="002734C5"/>
    <w:rsid w:val="00274F13"/>
    <w:rsid w:val="00277A71"/>
    <w:rsid w:val="00282C5F"/>
    <w:rsid w:val="00283025"/>
    <w:rsid w:val="00283D7D"/>
    <w:rsid w:val="0028498D"/>
    <w:rsid w:val="002870FD"/>
    <w:rsid w:val="00290FC5"/>
    <w:rsid w:val="002921E2"/>
    <w:rsid w:val="00292B70"/>
    <w:rsid w:val="00294C20"/>
    <w:rsid w:val="00295326"/>
    <w:rsid w:val="002954F0"/>
    <w:rsid w:val="0029551A"/>
    <w:rsid w:val="00295FCB"/>
    <w:rsid w:val="002A245B"/>
    <w:rsid w:val="002A285A"/>
    <w:rsid w:val="002A2F00"/>
    <w:rsid w:val="002A39DE"/>
    <w:rsid w:val="002A5F6D"/>
    <w:rsid w:val="002A76D1"/>
    <w:rsid w:val="002B0BFA"/>
    <w:rsid w:val="002B1237"/>
    <w:rsid w:val="002B207B"/>
    <w:rsid w:val="002B2908"/>
    <w:rsid w:val="002B34EE"/>
    <w:rsid w:val="002B466F"/>
    <w:rsid w:val="002B4FF4"/>
    <w:rsid w:val="002B58F6"/>
    <w:rsid w:val="002C1F95"/>
    <w:rsid w:val="002C2A5E"/>
    <w:rsid w:val="002C2D2B"/>
    <w:rsid w:val="002C2D4B"/>
    <w:rsid w:val="002C4CC9"/>
    <w:rsid w:val="002C50F6"/>
    <w:rsid w:val="002D01D4"/>
    <w:rsid w:val="002D0668"/>
    <w:rsid w:val="002D0C4F"/>
    <w:rsid w:val="002D16F4"/>
    <w:rsid w:val="002D3BCB"/>
    <w:rsid w:val="002E0A90"/>
    <w:rsid w:val="002E0C4A"/>
    <w:rsid w:val="002E1A61"/>
    <w:rsid w:val="002E238E"/>
    <w:rsid w:val="002E36A3"/>
    <w:rsid w:val="002E4AAB"/>
    <w:rsid w:val="002F185B"/>
    <w:rsid w:val="002F1A94"/>
    <w:rsid w:val="002F1B4C"/>
    <w:rsid w:val="002F288C"/>
    <w:rsid w:val="002F2CE4"/>
    <w:rsid w:val="002F32C1"/>
    <w:rsid w:val="002F3EED"/>
    <w:rsid w:val="002F692D"/>
    <w:rsid w:val="00301866"/>
    <w:rsid w:val="0030239E"/>
    <w:rsid w:val="00303077"/>
    <w:rsid w:val="00303B75"/>
    <w:rsid w:val="00304D3E"/>
    <w:rsid w:val="003054A9"/>
    <w:rsid w:val="003117FD"/>
    <w:rsid w:val="00312B5A"/>
    <w:rsid w:val="003141E3"/>
    <w:rsid w:val="00315ECC"/>
    <w:rsid w:val="003168F3"/>
    <w:rsid w:val="00316E59"/>
    <w:rsid w:val="00317603"/>
    <w:rsid w:val="0031765D"/>
    <w:rsid w:val="00322185"/>
    <w:rsid w:val="00326499"/>
    <w:rsid w:val="00330E3C"/>
    <w:rsid w:val="00333A55"/>
    <w:rsid w:val="0033641D"/>
    <w:rsid w:val="003367A6"/>
    <w:rsid w:val="00341262"/>
    <w:rsid w:val="00341658"/>
    <w:rsid w:val="00343BA9"/>
    <w:rsid w:val="00344FCA"/>
    <w:rsid w:val="0034595D"/>
    <w:rsid w:val="0035134A"/>
    <w:rsid w:val="0035397F"/>
    <w:rsid w:val="00354384"/>
    <w:rsid w:val="00356F05"/>
    <w:rsid w:val="00360AA7"/>
    <w:rsid w:val="0036416B"/>
    <w:rsid w:val="00364835"/>
    <w:rsid w:val="00364B1D"/>
    <w:rsid w:val="00367CAA"/>
    <w:rsid w:val="00370B25"/>
    <w:rsid w:val="00371F7C"/>
    <w:rsid w:val="003747DA"/>
    <w:rsid w:val="003773A4"/>
    <w:rsid w:val="00377675"/>
    <w:rsid w:val="00377E5D"/>
    <w:rsid w:val="003807B0"/>
    <w:rsid w:val="00381A1E"/>
    <w:rsid w:val="0038239F"/>
    <w:rsid w:val="003833E1"/>
    <w:rsid w:val="003835A6"/>
    <w:rsid w:val="00387414"/>
    <w:rsid w:val="00391883"/>
    <w:rsid w:val="00392364"/>
    <w:rsid w:val="00392469"/>
    <w:rsid w:val="00392ADB"/>
    <w:rsid w:val="0039334B"/>
    <w:rsid w:val="00394EE0"/>
    <w:rsid w:val="00397E21"/>
    <w:rsid w:val="003A16C3"/>
    <w:rsid w:val="003A178F"/>
    <w:rsid w:val="003A250B"/>
    <w:rsid w:val="003A3B78"/>
    <w:rsid w:val="003A460A"/>
    <w:rsid w:val="003A5542"/>
    <w:rsid w:val="003A55AF"/>
    <w:rsid w:val="003B278A"/>
    <w:rsid w:val="003B2F0F"/>
    <w:rsid w:val="003B6052"/>
    <w:rsid w:val="003C5238"/>
    <w:rsid w:val="003C5685"/>
    <w:rsid w:val="003D0334"/>
    <w:rsid w:val="003D2B73"/>
    <w:rsid w:val="003D3593"/>
    <w:rsid w:val="003D45DA"/>
    <w:rsid w:val="003D4EFC"/>
    <w:rsid w:val="003D5254"/>
    <w:rsid w:val="003D67D1"/>
    <w:rsid w:val="003D7292"/>
    <w:rsid w:val="003E081D"/>
    <w:rsid w:val="003E0E43"/>
    <w:rsid w:val="003E339C"/>
    <w:rsid w:val="003E436A"/>
    <w:rsid w:val="003E46AE"/>
    <w:rsid w:val="003E48E0"/>
    <w:rsid w:val="003E5C7A"/>
    <w:rsid w:val="003E748A"/>
    <w:rsid w:val="003F15FE"/>
    <w:rsid w:val="003F1660"/>
    <w:rsid w:val="003F2E4D"/>
    <w:rsid w:val="003F6C97"/>
    <w:rsid w:val="003F6EFA"/>
    <w:rsid w:val="003F7012"/>
    <w:rsid w:val="003F7334"/>
    <w:rsid w:val="004026C4"/>
    <w:rsid w:val="00410352"/>
    <w:rsid w:val="00410654"/>
    <w:rsid w:val="004120D4"/>
    <w:rsid w:val="004121E9"/>
    <w:rsid w:val="00415280"/>
    <w:rsid w:val="00415F56"/>
    <w:rsid w:val="004168FE"/>
    <w:rsid w:val="00420544"/>
    <w:rsid w:val="00423737"/>
    <w:rsid w:val="00425B65"/>
    <w:rsid w:val="0042631F"/>
    <w:rsid w:val="00426CB6"/>
    <w:rsid w:val="004337F3"/>
    <w:rsid w:val="004341FA"/>
    <w:rsid w:val="004344C6"/>
    <w:rsid w:val="00435F46"/>
    <w:rsid w:val="0043728C"/>
    <w:rsid w:val="004372F3"/>
    <w:rsid w:val="004378D6"/>
    <w:rsid w:val="00437FCF"/>
    <w:rsid w:val="00441AA9"/>
    <w:rsid w:val="004422F7"/>
    <w:rsid w:val="004426D1"/>
    <w:rsid w:val="00442B1D"/>
    <w:rsid w:val="00443841"/>
    <w:rsid w:val="00443962"/>
    <w:rsid w:val="00444A1F"/>
    <w:rsid w:val="00446574"/>
    <w:rsid w:val="00451A94"/>
    <w:rsid w:val="00454D4E"/>
    <w:rsid w:val="00455B85"/>
    <w:rsid w:val="0045665F"/>
    <w:rsid w:val="0045769B"/>
    <w:rsid w:val="00457D21"/>
    <w:rsid w:val="0046081A"/>
    <w:rsid w:val="004608DC"/>
    <w:rsid w:val="00465F0D"/>
    <w:rsid w:val="004677BC"/>
    <w:rsid w:val="0046790A"/>
    <w:rsid w:val="00472998"/>
    <w:rsid w:val="004764C7"/>
    <w:rsid w:val="00477179"/>
    <w:rsid w:val="004771F2"/>
    <w:rsid w:val="0047737C"/>
    <w:rsid w:val="004777CE"/>
    <w:rsid w:val="004840D2"/>
    <w:rsid w:val="00485884"/>
    <w:rsid w:val="00486F62"/>
    <w:rsid w:val="00487BDD"/>
    <w:rsid w:val="0049099C"/>
    <w:rsid w:val="00492713"/>
    <w:rsid w:val="004A08A9"/>
    <w:rsid w:val="004A0BEF"/>
    <w:rsid w:val="004A1D03"/>
    <w:rsid w:val="004A1EB8"/>
    <w:rsid w:val="004A3544"/>
    <w:rsid w:val="004A359C"/>
    <w:rsid w:val="004A5155"/>
    <w:rsid w:val="004B0DD9"/>
    <w:rsid w:val="004B1246"/>
    <w:rsid w:val="004B1C1A"/>
    <w:rsid w:val="004B21D0"/>
    <w:rsid w:val="004B280E"/>
    <w:rsid w:val="004B3BD5"/>
    <w:rsid w:val="004B444D"/>
    <w:rsid w:val="004B4B85"/>
    <w:rsid w:val="004B7079"/>
    <w:rsid w:val="004B72A2"/>
    <w:rsid w:val="004C042A"/>
    <w:rsid w:val="004C0D79"/>
    <w:rsid w:val="004C1355"/>
    <w:rsid w:val="004C14D4"/>
    <w:rsid w:val="004C25DF"/>
    <w:rsid w:val="004C311B"/>
    <w:rsid w:val="004C3335"/>
    <w:rsid w:val="004C6314"/>
    <w:rsid w:val="004C7B16"/>
    <w:rsid w:val="004D0557"/>
    <w:rsid w:val="004D12EB"/>
    <w:rsid w:val="004D1C25"/>
    <w:rsid w:val="004D3BD8"/>
    <w:rsid w:val="004E0629"/>
    <w:rsid w:val="004E0B02"/>
    <w:rsid w:val="004E165C"/>
    <w:rsid w:val="004E6928"/>
    <w:rsid w:val="004E71A3"/>
    <w:rsid w:val="004E734D"/>
    <w:rsid w:val="004E786C"/>
    <w:rsid w:val="004F0461"/>
    <w:rsid w:val="004F0482"/>
    <w:rsid w:val="004F1512"/>
    <w:rsid w:val="004F16D4"/>
    <w:rsid w:val="004F2969"/>
    <w:rsid w:val="004F2A4A"/>
    <w:rsid w:val="004F3DDA"/>
    <w:rsid w:val="004F4178"/>
    <w:rsid w:val="004F5828"/>
    <w:rsid w:val="004F60A3"/>
    <w:rsid w:val="004F63C9"/>
    <w:rsid w:val="0050012F"/>
    <w:rsid w:val="00500E05"/>
    <w:rsid w:val="005011AD"/>
    <w:rsid w:val="0050434C"/>
    <w:rsid w:val="005054B4"/>
    <w:rsid w:val="00506ABF"/>
    <w:rsid w:val="00510A46"/>
    <w:rsid w:val="00512133"/>
    <w:rsid w:val="005127EE"/>
    <w:rsid w:val="00515E88"/>
    <w:rsid w:val="0051604A"/>
    <w:rsid w:val="005175A0"/>
    <w:rsid w:val="005201DF"/>
    <w:rsid w:val="00520483"/>
    <w:rsid w:val="0052386F"/>
    <w:rsid w:val="005243F1"/>
    <w:rsid w:val="005306D1"/>
    <w:rsid w:val="00532D14"/>
    <w:rsid w:val="005338F8"/>
    <w:rsid w:val="0054002D"/>
    <w:rsid w:val="00540FDE"/>
    <w:rsid w:val="00541798"/>
    <w:rsid w:val="00543B78"/>
    <w:rsid w:val="00543C68"/>
    <w:rsid w:val="00545C62"/>
    <w:rsid w:val="00546D81"/>
    <w:rsid w:val="0054713D"/>
    <w:rsid w:val="00550F24"/>
    <w:rsid w:val="005548F0"/>
    <w:rsid w:val="00557295"/>
    <w:rsid w:val="00557595"/>
    <w:rsid w:val="00557D14"/>
    <w:rsid w:val="005619A7"/>
    <w:rsid w:val="00566460"/>
    <w:rsid w:val="00566AF2"/>
    <w:rsid w:val="00566FB6"/>
    <w:rsid w:val="005678D7"/>
    <w:rsid w:val="00567C19"/>
    <w:rsid w:val="005709A5"/>
    <w:rsid w:val="00571643"/>
    <w:rsid w:val="00572207"/>
    <w:rsid w:val="00574554"/>
    <w:rsid w:val="0057659A"/>
    <w:rsid w:val="00576DA4"/>
    <w:rsid w:val="00580B33"/>
    <w:rsid w:val="005820AE"/>
    <w:rsid w:val="00584FAE"/>
    <w:rsid w:val="00586852"/>
    <w:rsid w:val="0058784A"/>
    <w:rsid w:val="00590F24"/>
    <w:rsid w:val="005911F4"/>
    <w:rsid w:val="00592989"/>
    <w:rsid w:val="0059368E"/>
    <w:rsid w:val="0059369B"/>
    <w:rsid w:val="0059398A"/>
    <w:rsid w:val="00594E61"/>
    <w:rsid w:val="00594F34"/>
    <w:rsid w:val="00595CC0"/>
    <w:rsid w:val="005968F2"/>
    <w:rsid w:val="005A108E"/>
    <w:rsid w:val="005A368F"/>
    <w:rsid w:val="005A42F3"/>
    <w:rsid w:val="005A7A39"/>
    <w:rsid w:val="005A7DDF"/>
    <w:rsid w:val="005B00BB"/>
    <w:rsid w:val="005B084B"/>
    <w:rsid w:val="005B0DA8"/>
    <w:rsid w:val="005B19D5"/>
    <w:rsid w:val="005B1BF7"/>
    <w:rsid w:val="005B40AF"/>
    <w:rsid w:val="005B411A"/>
    <w:rsid w:val="005B624C"/>
    <w:rsid w:val="005C15F9"/>
    <w:rsid w:val="005C367A"/>
    <w:rsid w:val="005C4EE5"/>
    <w:rsid w:val="005D093B"/>
    <w:rsid w:val="005D38F5"/>
    <w:rsid w:val="005D39E4"/>
    <w:rsid w:val="005D521D"/>
    <w:rsid w:val="005D5632"/>
    <w:rsid w:val="005D6E85"/>
    <w:rsid w:val="005E01F6"/>
    <w:rsid w:val="005E1785"/>
    <w:rsid w:val="005E4387"/>
    <w:rsid w:val="005E4CDB"/>
    <w:rsid w:val="005E506B"/>
    <w:rsid w:val="005E61BA"/>
    <w:rsid w:val="005E6C88"/>
    <w:rsid w:val="005F4530"/>
    <w:rsid w:val="005F4B20"/>
    <w:rsid w:val="005F4FD7"/>
    <w:rsid w:val="005F5369"/>
    <w:rsid w:val="005F5AF2"/>
    <w:rsid w:val="005F654A"/>
    <w:rsid w:val="005F6D0C"/>
    <w:rsid w:val="005F6D29"/>
    <w:rsid w:val="005F7942"/>
    <w:rsid w:val="005F7EDA"/>
    <w:rsid w:val="006028F1"/>
    <w:rsid w:val="00605206"/>
    <w:rsid w:val="00605385"/>
    <w:rsid w:val="00611F69"/>
    <w:rsid w:val="00612777"/>
    <w:rsid w:val="00612FAB"/>
    <w:rsid w:val="00613305"/>
    <w:rsid w:val="006143E3"/>
    <w:rsid w:val="006176EE"/>
    <w:rsid w:val="00617C2F"/>
    <w:rsid w:val="00620795"/>
    <w:rsid w:val="00622DBA"/>
    <w:rsid w:val="00623DF3"/>
    <w:rsid w:val="00624B75"/>
    <w:rsid w:val="00624F3F"/>
    <w:rsid w:val="0062568B"/>
    <w:rsid w:val="0062632C"/>
    <w:rsid w:val="00626A11"/>
    <w:rsid w:val="00631511"/>
    <w:rsid w:val="0063225B"/>
    <w:rsid w:val="00633967"/>
    <w:rsid w:val="00633F00"/>
    <w:rsid w:val="006342F6"/>
    <w:rsid w:val="00634674"/>
    <w:rsid w:val="00636F61"/>
    <w:rsid w:val="00637385"/>
    <w:rsid w:val="00640ED8"/>
    <w:rsid w:val="00642FE7"/>
    <w:rsid w:val="006432FA"/>
    <w:rsid w:val="00644C89"/>
    <w:rsid w:val="006460E6"/>
    <w:rsid w:val="006469AF"/>
    <w:rsid w:val="006523F9"/>
    <w:rsid w:val="0065266A"/>
    <w:rsid w:val="0065574E"/>
    <w:rsid w:val="00655942"/>
    <w:rsid w:val="006579A5"/>
    <w:rsid w:val="00660061"/>
    <w:rsid w:val="00660939"/>
    <w:rsid w:val="006634B2"/>
    <w:rsid w:val="0066449A"/>
    <w:rsid w:val="006644D7"/>
    <w:rsid w:val="006664AC"/>
    <w:rsid w:val="00670F08"/>
    <w:rsid w:val="00676544"/>
    <w:rsid w:val="0067747F"/>
    <w:rsid w:val="00681E48"/>
    <w:rsid w:val="0068276C"/>
    <w:rsid w:val="00686799"/>
    <w:rsid w:val="00686BF2"/>
    <w:rsid w:val="00687BA8"/>
    <w:rsid w:val="00687DC9"/>
    <w:rsid w:val="00690BF0"/>
    <w:rsid w:val="00691165"/>
    <w:rsid w:val="00691E46"/>
    <w:rsid w:val="00694AED"/>
    <w:rsid w:val="006950DE"/>
    <w:rsid w:val="006A01DF"/>
    <w:rsid w:val="006A2B9E"/>
    <w:rsid w:val="006A2F07"/>
    <w:rsid w:val="006A3CC0"/>
    <w:rsid w:val="006A6F4C"/>
    <w:rsid w:val="006A75F3"/>
    <w:rsid w:val="006A7981"/>
    <w:rsid w:val="006A7EEB"/>
    <w:rsid w:val="006B0C5B"/>
    <w:rsid w:val="006B21DC"/>
    <w:rsid w:val="006B25DE"/>
    <w:rsid w:val="006B3856"/>
    <w:rsid w:val="006B4FBC"/>
    <w:rsid w:val="006B788E"/>
    <w:rsid w:val="006C055D"/>
    <w:rsid w:val="006C132F"/>
    <w:rsid w:val="006C267D"/>
    <w:rsid w:val="006C30D1"/>
    <w:rsid w:val="006C4430"/>
    <w:rsid w:val="006C459D"/>
    <w:rsid w:val="006C4C4A"/>
    <w:rsid w:val="006D0225"/>
    <w:rsid w:val="006D03AF"/>
    <w:rsid w:val="006D1998"/>
    <w:rsid w:val="006D1E15"/>
    <w:rsid w:val="006D3D54"/>
    <w:rsid w:val="006D4293"/>
    <w:rsid w:val="006D5AE6"/>
    <w:rsid w:val="006D6508"/>
    <w:rsid w:val="006E03D5"/>
    <w:rsid w:val="006E043C"/>
    <w:rsid w:val="006E1501"/>
    <w:rsid w:val="006E375D"/>
    <w:rsid w:val="006E4E5C"/>
    <w:rsid w:val="006E5440"/>
    <w:rsid w:val="006E5788"/>
    <w:rsid w:val="006F199C"/>
    <w:rsid w:val="006F2974"/>
    <w:rsid w:val="006F34CE"/>
    <w:rsid w:val="006F6081"/>
    <w:rsid w:val="006F6141"/>
    <w:rsid w:val="00700639"/>
    <w:rsid w:val="00702F5A"/>
    <w:rsid w:val="00702F70"/>
    <w:rsid w:val="007037FD"/>
    <w:rsid w:val="00703DEE"/>
    <w:rsid w:val="00706A7F"/>
    <w:rsid w:val="0071048C"/>
    <w:rsid w:val="00711379"/>
    <w:rsid w:val="0071225B"/>
    <w:rsid w:val="00712A96"/>
    <w:rsid w:val="00714C14"/>
    <w:rsid w:val="00714F33"/>
    <w:rsid w:val="0071522A"/>
    <w:rsid w:val="00715EF7"/>
    <w:rsid w:val="007166FE"/>
    <w:rsid w:val="00721A3B"/>
    <w:rsid w:val="00722375"/>
    <w:rsid w:val="00723DDB"/>
    <w:rsid w:val="00724D03"/>
    <w:rsid w:val="00725256"/>
    <w:rsid w:val="0072691E"/>
    <w:rsid w:val="00727C6E"/>
    <w:rsid w:val="00730C08"/>
    <w:rsid w:val="00733AFC"/>
    <w:rsid w:val="00735847"/>
    <w:rsid w:val="00735E9E"/>
    <w:rsid w:val="0074102C"/>
    <w:rsid w:val="00741C4B"/>
    <w:rsid w:val="00741D07"/>
    <w:rsid w:val="00742358"/>
    <w:rsid w:val="007450F9"/>
    <w:rsid w:val="007477F5"/>
    <w:rsid w:val="007517EB"/>
    <w:rsid w:val="007527DC"/>
    <w:rsid w:val="00756CFC"/>
    <w:rsid w:val="00757308"/>
    <w:rsid w:val="00757B03"/>
    <w:rsid w:val="00757B63"/>
    <w:rsid w:val="00760F9F"/>
    <w:rsid w:val="00761EA1"/>
    <w:rsid w:val="007654B5"/>
    <w:rsid w:val="0077112B"/>
    <w:rsid w:val="00772D52"/>
    <w:rsid w:val="007733A7"/>
    <w:rsid w:val="00775824"/>
    <w:rsid w:val="00777120"/>
    <w:rsid w:val="007832D9"/>
    <w:rsid w:val="0078359B"/>
    <w:rsid w:val="00783BED"/>
    <w:rsid w:val="0079177C"/>
    <w:rsid w:val="00791A69"/>
    <w:rsid w:val="00793788"/>
    <w:rsid w:val="00796DDF"/>
    <w:rsid w:val="007974C7"/>
    <w:rsid w:val="007A1219"/>
    <w:rsid w:val="007A16D8"/>
    <w:rsid w:val="007A2305"/>
    <w:rsid w:val="007A2D60"/>
    <w:rsid w:val="007A30FC"/>
    <w:rsid w:val="007A51B5"/>
    <w:rsid w:val="007A58BF"/>
    <w:rsid w:val="007A66EF"/>
    <w:rsid w:val="007B06A4"/>
    <w:rsid w:val="007B2F49"/>
    <w:rsid w:val="007B360A"/>
    <w:rsid w:val="007B505C"/>
    <w:rsid w:val="007B5614"/>
    <w:rsid w:val="007B57CF"/>
    <w:rsid w:val="007B6D92"/>
    <w:rsid w:val="007B7436"/>
    <w:rsid w:val="007C1146"/>
    <w:rsid w:val="007C2F35"/>
    <w:rsid w:val="007C35CD"/>
    <w:rsid w:val="007C3C2F"/>
    <w:rsid w:val="007C45EE"/>
    <w:rsid w:val="007C601C"/>
    <w:rsid w:val="007C6D25"/>
    <w:rsid w:val="007C7FC2"/>
    <w:rsid w:val="007D0B71"/>
    <w:rsid w:val="007D1B95"/>
    <w:rsid w:val="007D1C6D"/>
    <w:rsid w:val="007D2F7A"/>
    <w:rsid w:val="007D30A9"/>
    <w:rsid w:val="007D32BE"/>
    <w:rsid w:val="007D45BD"/>
    <w:rsid w:val="007D5A21"/>
    <w:rsid w:val="007E050A"/>
    <w:rsid w:val="007E0CE8"/>
    <w:rsid w:val="007E33C9"/>
    <w:rsid w:val="007E3E59"/>
    <w:rsid w:val="007E5F31"/>
    <w:rsid w:val="007E625A"/>
    <w:rsid w:val="007F5849"/>
    <w:rsid w:val="007F5C6C"/>
    <w:rsid w:val="007F6BCF"/>
    <w:rsid w:val="007F7843"/>
    <w:rsid w:val="007F7D80"/>
    <w:rsid w:val="00804115"/>
    <w:rsid w:val="00810649"/>
    <w:rsid w:val="0081141E"/>
    <w:rsid w:val="00811579"/>
    <w:rsid w:val="00812A15"/>
    <w:rsid w:val="0081332D"/>
    <w:rsid w:val="00815781"/>
    <w:rsid w:val="00816AB2"/>
    <w:rsid w:val="00820C63"/>
    <w:rsid w:val="00822F88"/>
    <w:rsid w:val="008263F0"/>
    <w:rsid w:val="00837829"/>
    <w:rsid w:val="008449F2"/>
    <w:rsid w:val="008453E1"/>
    <w:rsid w:val="008462BC"/>
    <w:rsid w:val="00852555"/>
    <w:rsid w:val="00853818"/>
    <w:rsid w:val="0085500C"/>
    <w:rsid w:val="008550B6"/>
    <w:rsid w:val="00855668"/>
    <w:rsid w:val="00856E44"/>
    <w:rsid w:val="00860D10"/>
    <w:rsid w:val="0086122B"/>
    <w:rsid w:val="008655EA"/>
    <w:rsid w:val="0086568C"/>
    <w:rsid w:val="008666E2"/>
    <w:rsid w:val="008700D5"/>
    <w:rsid w:val="00871889"/>
    <w:rsid w:val="008728C0"/>
    <w:rsid w:val="00872C53"/>
    <w:rsid w:val="008757CA"/>
    <w:rsid w:val="00876333"/>
    <w:rsid w:val="00876BED"/>
    <w:rsid w:val="00877FCF"/>
    <w:rsid w:val="00881324"/>
    <w:rsid w:val="008817DA"/>
    <w:rsid w:val="00882372"/>
    <w:rsid w:val="0088700E"/>
    <w:rsid w:val="0089120C"/>
    <w:rsid w:val="00891449"/>
    <w:rsid w:val="00891C4B"/>
    <w:rsid w:val="00892DEA"/>
    <w:rsid w:val="00894C6E"/>
    <w:rsid w:val="0089715B"/>
    <w:rsid w:val="008972AB"/>
    <w:rsid w:val="00897E9C"/>
    <w:rsid w:val="008A0A09"/>
    <w:rsid w:val="008A12A2"/>
    <w:rsid w:val="008A3774"/>
    <w:rsid w:val="008A4E8A"/>
    <w:rsid w:val="008A4EA9"/>
    <w:rsid w:val="008A58FB"/>
    <w:rsid w:val="008A7261"/>
    <w:rsid w:val="008A7E48"/>
    <w:rsid w:val="008B01C9"/>
    <w:rsid w:val="008B1391"/>
    <w:rsid w:val="008B1CE9"/>
    <w:rsid w:val="008B1EE4"/>
    <w:rsid w:val="008B3F68"/>
    <w:rsid w:val="008B4C36"/>
    <w:rsid w:val="008B5D9F"/>
    <w:rsid w:val="008B5FEE"/>
    <w:rsid w:val="008B63CB"/>
    <w:rsid w:val="008C0C5E"/>
    <w:rsid w:val="008C16CD"/>
    <w:rsid w:val="008C2070"/>
    <w:rsid w:val="008C249D"/>
    <w:rsid w:val="008C2784"/>
    <w:rsid w:val="008C2D6D"/>
    <w:rsid w:val="008D001E"/>
    <w:rsid w:val="008D4531"/>
    <w:rsid w:val="008D4DA3"/>
    <w:rsid w:val="008D54D3"/>
    <w:rsid w:val="008D703C"/>
    <w:rsid w:val="008D7981"/>
    <w:rsid w:val="008D7E57"/>
    <w:rsid w:val="008E423A"/>
    <w:rsid w:val="008E4868"/>
    <w:rsid w:val="008F026C"/>
    <w:rsid w:val="008F2164"/>
    <w:rsid w:val="008F5056"/>
    <w:rsid w:val="008F674A"/>
    <w:rsid w:val="008F75B6"/>
    <w:rsid w:val="008F774D"/>
    <w:rsid w:val="00904DC0"/>
    <w:rsid w:val="00905546"/>
    <w:rsid w:val="009055AD"/>
    <w:rsid w:val="00905F81"/>
    <w:rsid w:val="009107E0"/>
    <w:rsid w:val="00912810"/>
    <w:rsid w:val="00912E77"/>
    <w:rsid w:val="009139E9"/>
    <w:rsid w:val="00913F64"/>
    <w:rsid w:val="00914EEE"/>
    <w:rsid w:val="009164CB"/>
    <w:rsid w:val="00916FAF"/>
    <w:rsid w:val="009173BA"/>
    <w:rsid w:val="009174B4"/>
    <w:rsid w:val="0092023E"/>
    <w:rsid w:val="00920DDC"/>
    <w:rsid w:val="00921482"/>
    <w:rsid w:val="00921504"/>
    <w:rsid w:val="00921DA6"/>
    <w:rsid w:val="009222D8"/>
    <w:rsid w:val="00922808"/>
    <w:rsid w:val="00922E30"/>
    <w:rsid w:val="00932245"/>
    <w:rsid w:val="009338C6"/>
    <w:rsid w:val="00935D65"/>
    <w:rsid w:val="009360D9"/>
    <w:rsid w:val="00937E63"/>
    <w:rsid w:val="0094071C"/>
    <w:rsid w:val="00940E41"/>
    <w:rsid w:val="00950434"/>
    <w:rsid w:val="00951DB9"/>
    <w:rsid w:val="00952C66"/>
    <w:rsid w:val="00953E22"/>
    <w:rsid w:val="00954E28"/>
    <w:rsid w:val="00956B8B"/>
    <w:rsid w:val="00957FA6"/>
    <w:rsid w:val="00962489"/>
    <w:rsid w:val="00962CE4"/>
    <w:rsid w:val="00965B35"/>
    <w:rsid w:val="009676F1"/>
    <w:rsid w:val="00967887"/>
    <w:rsid w:val="009728D7"/>
    <w:rsid w:val="00981285"/>
    <w:rsid w:val="00981891"/>
    <w:rsid w:val="009818D5"/>
    <w:rsid w:val="009822F6"/>
    <w:rsid w:val="009837B8"/>
    <w:rsid w:val="00983F48"/>
    <w:rsid w:val="00985411"/>
    <w:rsid w:val="00990421"/>
    <w:rsid w:val="00990FC8"/>
    <w:rsid w:val="009922B7"/>
    <w:rsid w:val="009923C4"/>
    <w:rsid w:val="00992414"/>
    <w:rsid w:val="009928BB"/>
    <w:rsid w:val="0099303D"/>
    <w:rsid w:val="0099335D"/>
    <w:rsid w:val="00994072"/>
    <w:rsid w:val="00994EF5"/>
    <w:rsid w:val="009954C0"/>
    <w:rsid w:val="00996324"/>
    <w:rsid w:val="009A0EC3"/>
    <w:rsid w:val="009A181C"/>
    <w:rsid w:val="009A3D2B"/>
    <w:rsid w:val="009A6894"/>
    <w:rsid w:val="009B062A"/>
    <w:rsid w:val="009B0F02"/>
    <w:rsid w:val="009B21A9"/>
    <w:rsid w:val="009B2B0A"/>
    <w:rsid w:val="009B455B"/>
    <w:rsid w:val="009B474C"/>
    <w:rsid w:val="009B6F24"/>
    <w:rsid w:val="009B70C3"/>
    <w:rsid w:val="009C0299"/>
    <w:rsid w:val="009C1AF2"/>
    <w:rsid w:val="009C58FC"/>
    <w:rsid w:val="009C5CB9"/>
    <w:rsid w:val="009C625D"/>
    <w:rsid w:val="009C77BC"/>
    <w:rsid w:val="009C78DB"/>
    <w:rsid w:val="009D061C"/>
    <w:rsid w:val="009D160C"/>
    <w:rsid w:val="009D377A"/>
    <w:rsid w:val="009D50A8"/>
    <w:rsid w:val="009D553D"/>
    <w:rsid w:val="009D57CF"/>
    <w:rsid w:val="009D5DE1"/>
    <w:rsid w:val="009D6DCA"/>
    <w:rsid w:val="009D78BE"/>
    <w:rsid w:val="009E11F4"/>
    <w:rsid w:val="009E16A0"/>
    <w:rsid w:val="009E2FA4"/>
    <w:rsid w:val="009E3964"/>
    <w:rsid w:val="009E4470"/>
    <w:rsid w:val="009E55A1"/>
    <w:rsid w:val="009E7001"/>
    <w:rsid w:val="009F1F57"/>
    <w:rsid w:val="009F2252"/>
    <w:rsid w:val="009F364D"/>
    <w:rsid w:val="009F37D0"/>
    <w:rsid w:val="009F3C55"/>
    <w:rsid w:val="009F4525"/>
    <w:rsid w:val="009F5559"/>
    <w:rsid w:val="009F5CEE"/>
    <w:rsid w:val="009F6FBD"/>
    <w:rsid w:val="009F70E0"/>
    <w:rsid w:val="009F774A"/>
    <w:rsid w:val="00A00252"/>
    <w:rsid w:val="00A047B0"/>
    <w:rsid w:val="00A0497C"/>
    <w:rsid w:val="00A10153"/>
    <w:rsid w:val="00A10353"/>
    <w:rsid w:val="00A11A87"/>
    <w:rsid w:val="00A122CB"/>
    <w:rsid w:val="00A132E9"/>
    <w:rsid w:val="00A1410F"/>
    <w:rsid w:val="00A147B8"/>
    <w:rsid w:val="00A157DC"/>
    <w:rsid w:val="00A15D71"/>
    <w:rsid w:val="00A16974"/>
    <w:rsid w:val="00A16E26"/>
    <w:rsid w:val="00A17217"/>
    <w:rsid w:val="00A22F01"/>
    <w:rsid w:val="00A2460A"/>
    <w:rsid w:val="00A24756"/>
    <w:rsid w:val="00A260CC"/>
    <w:rsid w:val="00A3681E"/>
    <w:rsid w:val="00A434BE"/>
    <w:rsid w:val="00A44DA6"/>
    <w:rsid w:val="00A45902"/>
    <w:rsid w:val="00A46103"/>
    <w:rsid w:val="00A46777"/>
    <w:rsid w:val="00A5146B"/>
    <w:rsid w:val="00A517D7"/>
    <w:rsid w:val="00A51A4D"/>
    <w:rsid w:val="00A52B0D"/>
    <w:rsid w:val="00A535E3"/>
    <w:rsid w:val="00A557C7"/>
    <w:rsid w:val="00A55E0C"/>
    <w:rsid w:val="00A575B9"/>
    <w:rsid w:val="00A57AB1"/>
    <w:rsid w:val="00A64460"/>
    <w:rsid w:val="00A64D3E"/>
    <w:rsid w:val="00A6787A"/>
    <w:rsid w:val="00A70091"/>
    <w:rsid w:val="00A70211"/>
    <w:rsid w:val="00A7047F"/>
    <w:rsid w:val="00A704BA"/>
    <w:rsid w:val="00A70843"/>
    <w:rsid w:val="00A7291B"/>
    <w:rsid w:val="00A73CE5"/>
    <w:rsid w:val="00A74F7C"/>
    <w:rsid w:val="00A74FB3"/>
    <w:rsid w:val="00A7589F"/>
    <w:rsid w:val="00A766AE"/>
    <w:rsid w:val="00A81C2F"/>
    <w:rsid w:val="00A851F9"/>
    <w:rsid w:val="00A86B14"/>
    <w:rsid w:val="00A86C71"/>
    <w:rsid w:val="00A915B5"/>
    <w:rsid w:val="00A92475"/>
    <w:rsid w:val="00A92E87"/>
    <w:rsid w:val="00A93212"/>
    <w:rsid w:val="00A93594"/>
    <w:rsid w:val="00A94527"/>
    <w:rsid w:val="00A95DBC"/>
    <w:rsid w:val="00A97545"/>
    <w:rsid w:val="00A97EF1"/>
    <w:rsid w:val="00AA11A4"/>
    <w:rsid w:val="00AA15EF"/>
    <w:rsid w:val="00AA19AE"/>
    <w:rsid w:val="00AA35F5"/>
    <w:rsid w:val="00AA368B"/>
    <w:rsid w:val="00AA36DA"/>
    <w:rsid w:val="00AA4937"/>
    <w:rsid w:val="00AA51BE"/>
    <w:rsid w:val="00AA5315"/>
    <w:rsid w:val="00AA5F62"/>
    <w:rsid w:val="00AA72BF"/>
    <w:rsid w:val="00AB118C"/>
    <w:rsid w:val="00AB4239"/>
    <w:rsid w:val="00AB5166"/>
    <w:rsid w:val="00AB5C57"/>
    <w:rsid w:val="00AC0A62"/>
    <w:rsid w:val="00AC34AB"/>
    <w:rsid w:val="00AC3CDE"/>
    <w:rsid w:val="00AD204B"/>
    <w:rsid w:val="00AD2824"/>
    <w:rsid w:val="00AD66F5"/>
    <w:rsid w:val="00AD73ED"/>
    <w:rsid w:val="00AD7EBC"/>
    <w:rsid w:val="00AE0359"/>
    <w:rsid w:val="00AE03B0"/>
    <w:rsid w:val="00AE11CD"/>
    <w:rsid w:val="00AE1370"/>
    <w:rsid w:val="00AE2497"/>
    <w:rsid w:val="00AE27F9"/>
    <w:rsid w:val="00AF0A51"/>
    <w:rsid w:val="00AF3567"/>
    <w:rsid w:val="00AF3A17"/>
    <w:rsid w:val="00AF4C76"/>
    <w:rsid w:val="00AF544E"/>
    <w:rsid w:val="00AF57AA"/>
    <w:rsid w:val="00B00F42"/>
    <w:rsid w:val="00B02D64"/>
    <w:rsid w:val="00B02F96"/>
    <w:rsid w:val="00B04E6D"/>
    <w:rsid w:val="00B06AA9"/>
    <w:rsid w:val="00B07B37"/>
    <w:rsid w:val="00B13E1C"/>
    <w:rsid w:val="00B142C2"/>
    <w:rsid w:val="00B1463E"/>
    <w:rsid w:val="00B16354"/>
    <w:rsid w:val="00B1786E"/>
    <w:rsid w:val="00B2306E"/>
    <w:rsid w:val="00B242E2"/>
    <w:rsid w:val="00B268A5"/>
    <w:rsid w:val="00B275FF"/>
    <w:rsid w:val="00B27A00"/>
    <w:rsid w:val="00B30192"/>
    <w:rsid w:val="00B30C66"/>
    <w:rsid w:val="00B30CA7"/>
    <w:rsid w:val="00B31359"/>
    <w:rsid w:val="00B34FE2"/>
    <w:rsid w:val="00B3759E"/>
    <w:rsid w:val="00B41E42"/>
    <w:rsid w:val="00B42B78"/>
    <w:rsid w:val="00B445AD"/>
    <w:rsid w:val="00B46133"/>
    <w:rsid w:val="00B507FA"/>
    <w:rsid w:val="00B54283"/>
    <w:rsid w:val="00B55F7F"/>
    <w:rsid w:val="00B5752D"/>
    <w:rsid w:val="00B60665"/>
    <w:rsid w:val="00B61CE4"/>
    <w:rsid w:val="00B61FEF"/>
    <w:rsid w:val="00B6225E"/>
    <w:rsid w:val="00B63239"/>
    <w:rsid w:val="00B6444C"/>
    <w:rsid w:val="00B64D7E"/>
    <w:rsid w:val="00B6591C"/>
    <w:rsid w:val="00B70684"/>
    <w:rsid w:val="00B7193D"/>
    <w:rsid w:val="00B71CD7"/>
    <w:rsid w:val="00B7340C"/>
    <w:rsid w:val="00B809B9"/>
    <w:rsid w:val="00B82B89"/>
    <w:rsid w:val="00B82CC6"/>
    <w:rsid w:val="00B84428"/>
    <w:rsid w:val="00B853D0"/>
    <w:rsid w:val="00B8558E"/>
    <w:rsid w:val="00B86F69"/>
    <w:rsid w:val="00B90607"/>
    <w:rsid w:val="00B93BB9"/>
    <w:rsid w:val="00B94467"/>
    <w:rsid w:val="00B94F9E"/>
    <w:rsid w:val="00B96D78"/>
    <w:rsid w:val="00BA0196"/>
    <w:rsid w:val="00BA0252"/>
    <w:rsid w:val="00BA1A0F"/>
    <w:rsid w:val="00BA3E37"/>
    <w:rsid w:val="00BB0F31"/>
    <w:rsid w:val="00BB11E9"/>
    <w:rsid w:val="00BB1B8B"/>
    <w:rsid w:val="00BB4920"/>
    <w:rsid w:val="00BB7673"/>
    <w:rsid w:val="00BB77E6"/>
    <w:rsid w:val="00BC2F23"/>
    <w:rsid w:val="00BC3176"/>
    <w:rsid w:val="00BC3E63"/>
    <w:rsid w:val="00BC49EC"/>
    <w:rsid w:val="00BC5D80"/>
    <w:rsid w:val="00BC6B2D"/>
    <w:rsid w:val="00BC77DB"/>
    <w:rsid w:val="00BC7C90"/>
    <w:rsid w:val="00BD39BE"/>
    <w:rsid w:val="00BD43DC"/>
    <w:rsid w:val="00BD4AFE"/>
    <w:rsid w:val="00BD6073"/>
    <w:rsid w:val="00BD6D9E"/>
    <w:rsid w:val="00BE0BAF"/>
    <w:rsid w:val="00BE14E3"/>
    <w:rsid w:val="00BE2FEB"/>
    <w:rsid w:val="00BE4DAE"/>
    <w:rsid w:val="00BE51AA"/>
    <w:rsid w:val="00BF2A62"/>
    <w:rsid w:val="00BF36FE"/>
    <w:rsid w:val="00BF4FDF"/>
    <w:rsid w:val="00BF5F0B"/>
    <w:rsid w:val="00BF7FF1"/>
    <w:rsid w:val="00C0081F"/>
    <w:rsid w:val="00C00868"/>
    <w:rsid w:val="00C028F3"/>
    <w:rsid w:val="00C04EC2"/>
    <w:rsid w:val="00C05D64"/>
    <w:rsid w:val="00C062E5"/>
    <w:rsid w:val="00C0669B"/>
    <w:rsid w:val="00C0748A"/>
    <w:rsid w:val="00C075AF"/>
    <w:rsid w:val="00C111CC"/>
    <w:rsid w:val="00C11EFB"/>
    <w:rsid w:val="00C1292C"/>
    <w:rsid w:val="00C12A56"/>
    <w:rsid w:val="00C15F0E"/>
    <w:rsid w:val="00C16AA0"/>
    <w:rsid w:val="00C17203"/>
    <w:rsid w:val="00C2070F"/>
    <w:rsid w:val="00C214D8"/>
    <w:rsid w:val="00C21759"/>
    <w:rsid w:val="00C24EBF"/>
    <w:rsid w:val="00C25410"/>
    <w:rsid w:val="00C30A6D"/>
    <w:rsid w:val="00C31E63"/>
    <w:rsid w:val="00C327EA"/>
    <w:rsid w:val="00C335EE"/>
    <w:rsid w:val="00C33B4A"/>
    <w:rsid w:val="00C33C17"/>
    <w:rsid w:val="00C34806"/>
    <w:rsid w:val="00C3505E"/>
    <w:rsid w:val="00C35B3D"/>
    <w:rsid w:val="00C43483"/>
    <w:rsid w:val="00C43EFB"/>
    <w:rsid w:val="00C44ACD"/>
    <w:rsid w:val="00C46CC3"/>
    <w:rsid w:val="00C47E85"/>
    <w:rsid w:val="00C47F85"/>
    <w:rsid w:val="00C50308"/>
    <w:rsid w:val="00C50C40"/>
    <w:rsid w:val="00C51CB5"/>
    <w:rsid w:val="00C54282"/>
    <w:rsid w:val="00C563D7"/>
    <w:rsid w:val="00C56769"/>
    <w:rsid w:val="00C602BD"/>
    <w:rsid w:val="00C60BD7"/>
    <w:rsid w:val="00C639F7"/>
    <w:rsid w:val="00C652FE"/>
    <w:rsid w:val="00C71062"/>
    <w:rsid w:val="00C75122"/>
    <w:rsid w:val="00C76AAF"/>
    <w:rsid w:val="00C771CA"/>
    <w:rsid w:val="00C77298"/>
    <w:rsid w:val="00C80A7D"/>
    <w:rsid w:val="00C816F2"/>
    <w:rsid w:val="00C81A76"/>
    <w:rsid w:val="00C81F11"/>
    <w:rsid w:val="00C8314F"/>
    <w:rsid w:val="00C842A7"/>
    <w:rsid w:val="00C87030"/>
    <w:rsid w:val="00C9028F"/>
    <w:rsid w:val="00C93862"/>
    <w:rsid w:val="00C93889"/>
    <w:rsid w:val="00C93F66"/>
    <w:rsid w:val="00C953D0"/>
    <w:rsid w:val="00C95EA2"/>
    <w:rsid w:val="00C96331"/>
    <w:rsid w:val="00CA0AAA"/>
    <w:rsid w:val="00CA57A1"/>
    <w:rsid w:val="00CA63A9"/>
    <w:rsid w:val="00CA6914"/>
    <w:rsid w:val="00CB45A7"/>
    <w:rsid w:val="00CB484F"/>
    <w:rsid w:val="00CB5716"/>
    <w:rsid w:val="00CB7064"/>
    <w:rsid w:val="00CB79C8"/>
    <w:rsid w:val="00CC0AB6"/>
    <w:rsid w:val="00CC0FDC"/>
    <w:rsid w:val="00CC4513"/>
    <w:rsid w:val="00CC788B"/>
    <w:rsid w:val="00CD009F"/>
    <w:rsid w:val="00CD0174"/>
    <w:rsid w:val="00CD185C"/>
    <w:rsid w:val="00CD1AC1"/>
    <w:rsid w:val="00CD333A"/>
    <w:rsid w:val="00CD4D90"/>
    <w:rsid w:val="00CD57AD"/>
    <w:rsid w:val="00CD7647"/>
    <w:rsid w:val="00CE16D6"/>
    <w:rsid w:val="00CE1EDD"/>
    <w:rsid w:val="00CE2265"/>
    <w:rsid w:val="00CE2AA5"/>
    <w:rsid w:val="00CE568E"/>
    <w:rsid w:val="00CE56F5"/>
    <w:rsid w:val="00CE59A0"/>
    <w:rsid w:val="00CE699D"/>
    <w:rsid w:val="00CE77F5"/>
    <w:rsid w:val="00CF1A11"/>
    <w:rsid w:val="00CF2441"/>
    <w:rsid w:val="00CF6574"/>
    <w:rsid w:val="00CF75D5"/>
    <w:rsid w:val="00D03DE9"/>
    <w:rsid w:val="00D05039"/>
    <w:rsid w:val="00D076BE"/>
    <w:rsid w:val="00D10D4E"/>
    <w:rsid w:val="00D11F80"/>
    <w:rsid w:val="00D11F98"/>
    <w:rsid w:val="00D12827"/>
    <w:rsid w:val="00D15740"/>
    <w:rsid w:val="00D158EC"/>
    <w:rsid w:val="00D1604C"/>
    <w:rsid w:val="00D20E9E"/>
    <w:rsid w:val="00D21BCC"/>
    <w:rsid w:val="00D22363"/>
    <w:rsid w:val="00D242CE"/>
    <w:rsid w:val="00D24707"/>
    <w:rsid w:val="00D24DDE"/>
    <w:rsid w:val="00D255C4"/>
    <w:rsid w:val="00D2731A"/>
    <w:rsid w:val="00D27F09"/>
    <w:rsid w:val="00D30A64"/>
    <w:rsid w:val="00D31D1E"/>
    <w:rsid w:val="00D33643"/>
    <w:rsid w:val="00D34139"/>
    <w:rsid w:val="00D34E4B"/>
    <w:rsid w:val="00D366D4"/>
    <w:rsid w:val="00D36B04"/>
    <w:rsid w:val="00D373D7"/>
    <w:rsid w:val="00D4109E"/>
    <w:rsid w:val="00D428CE"/>
    <w:rsid w:val="00D42EA6"/>
    <w:rsid w:val="00D42EC4"/>
    <w:rsid w:val="00D43F40"/>
    <w:rsid w:val="00D4567D"/>
    <w:rsid w:val="00D462F8"/>
    <w:rsid w:val="00D47647"/>
    <w:rsid w:val="00D476C2"/>
    <w:rsid w:val="00D512BE"/>
    <w:rsid w:val="00D51DFC"/>
    <w:rsid w:val="00D51F50"/>
    <w:rsid w:val="00D534F3"/>
    <w:rsid w:val="00D53D7A"/>
    <w:rsid w:val="00D5537D"/>
    <w:rsid w:val="00D553D1"/>
    <w:rsid w:val="00D55EB8"/>
    <w:rsid w:val="00D56F8D"/>
    <w:rsid w:val="00D60120"/>
    <w:rsid w:val="00D6244A"/>
    <w:rsid w:val="00D63628"/>
    <w:rsid w:val="00D63C2B"/>
    <w:rsid w:val="00D64DA5"/>
    <w:rsid w:val="00D6533C"/>
    <w:rsid w:val="00D653FD"/>
    <w:rsid w:val="00D666DF"/>
    <w:rsid w:val="00D6709E"/>
    <w:rsid w:val="00D70DC6"/>
    <w:rsid w:val="00D7481B"/>
    <w:rsid w:val="00D74AA4"/>
    <w:rsid w:val="00D758DE"/>
    <w:rsid w:val="00D813AF"/>
    <w:rsid w:val="00D81D7A"/>
    <w:rsid w:val="00D84998"/>
    <w:rsid w:val="00D84C8F"/>
    <w:rsid w:val="00D85337"/>
    <w:rsid w:val="00D854FD"/>
    <w:rsid w:val="00D865AE"/>
    <w:rsid w:val="00D86A27"/>
    <w:rsid w:val="00D87F2A"/>
    <w:rsid w:val="00D904A1"/>
    <w:rsid w:val="00D95928"/>
    <w:rsid w:val="00DA1B21"/>
    <w:rsid w:val="00DA3BBD"/>
    <w:rsid w:val="00DA3DEA"/>
    <w:rsid w:val="00DA4DCA"/>
    <w:rsid w:val="00DA71DF"/>
    <w:rsid w:val="00DB024C"/>
    <w:rsid w:val="00DB0AEF"/>
    <w:rsid w:val="00DB0D45"/>
    <w:rsid w:val="00DB25BF"/>
    <w:rsid w:val="00DB3C9E"/>
    <w:rsid w:val="00DB7283"/>
    <w:rsid w:val="00DC002D"/>
    <w:rsid w:val="00DC03EC"/>
    <w:rsid w:val="00DC49DF"/>
    <w:rsid w:val="00DC6016"/>
    <w:rsid w:val="00DC6BF1"/>
    <w:rsid w:val="00DC7C79"/>
    <w:rsid w:val="00DC7D18"/>
    <w:rsid w:val="00DD2E72"/>
    <w:rsid w:val="00DD3FE1"/>
    <w:rsid w:val="00DD578C"/>
    <w:rsid w:val="00DD7041"/>
    <w:rsid w:val="00DD77B2"/>
    <w:rsid w:val="00DD7D48"/>
    <w:rsid w:val="00DE0E5C"/>
    <w:rsid w:val="00DE0F6D"/>
    <w:rsid w:val="00DE10CF"/>
    <w:rsid w:val="00DE1FDD"/>
    <w:rsid w:val="00DE4794"/>
    <w:rsid w:val="00DE48EC"/>
    <w:rsid w:val="00DE50BA"/>
    <w:rsid w:val="00DE54ED"/>
    <w:rsid w:val="00DE6099"/>
    <w:rsid w:val="00DF0723"/>
    <w:rsid w:val="00DF1345"/>
    <w:rsid w:val="00DF16E2"/>
    <w:rsid w:val="00DF1B66"/>
    <w:rsid w:val="00DF49DA"/>
    <w:rsid w:val="00DF4B82"/>
    <w:rsid w:val="00DF5724"/>
    <w:rsid w:val="00DF768B"/>
    <w:rsid w:val="00DF7CFC"/>
    <w:rsid w:val="00E002DA"/>
    <w:rsid w:val="00E00F0B"/>
    <w:rsid w:val="00E013FE"/>
    <w:rsid w:val="00E01403"/>
    <w:rsid w:val="00E0220A"/>
    <w:rsid w:val="00E02B6A"/>
    <w:rsid w:val="00E05671"/>
    <w:rsid w:val="00E07190"/>
    <w:rsid w:val="00E07218"/>
    <w:rsid w:val="00E07C56"/>
    <w:rsid w:val="00E07F67"/>
    <w:rsid w:val="00E12680"/>
    <w:rsid w:val="00E13D11"/>
    <w:rsid w:val="00E140F7"/>
    <w:rsid w:val="00E16D68"/>
    <w:rsid w:val="00E170A6"/>
    <w:rsid w:val="00E204DE"/>
    <w:rsid w:val="00E22A15"/>
    <w:rsid w:val="00E262DD"/>
    <w:rsid w:val="00E274CF"/>
    <w:rsid w:val="00E311EF"/>
    <w:rsid w:val="00E31D0F"/>
    <w:rsid w:val="00E34511"/>
    <w:rsid w:val="00E348F8"/>
    <w:rsid w:val="00E34CF5"/>
    <w:rsid w:val="00E35453"/>
    <w:rsid w:val="00E35734"/>
    <w:rsid w:val="00E363A8"/>
    <w:rsid w:val="00E37A6D"/>
    <w:rsid w:val="00E4232B"/>
    <w:rsid w:val="00E4314E"/>
    <w:rsid w:val="00E44FE2"/>
    <w:rsid w:val="00E47295"/>
    <w:rsid w:val="00E5115C"/>
    <w:rsid w:val="00E526FB"/>
    <w:rsid w:val="00E532F4"/>
    <w:rsid w:val="00E61775"/>
    <w:rsid w:val="00E6344A"/>
    <w:rsid w:val="00E63A5E"/>
    <w:rsid w:val="00E63B4E"/>
    <w:rsid w:val="00E64E4F"/>
    <w:rsid w:val="00E67996"/>
    <w:rsid w:val="00E7092A"/>
    <w:rsid w:val="00E75AD9"/>
    <w:rsid w:val="00E77513"/>
    <w:rsid w:val="00E829B4"/>
    <w:rsid w:val="00E83D70"/>
    <w:rsid w:val="00E83D82"/>
    <w:rsid w:val="00E848F9"/>
    <w:rsid w:val="00E92304"/>
    <w:rsid w:val="00E92681"/>
    <w:rsid w:val="00E929C6"/>
    <w:rsid w:val="00E95013"/>
    <w:rsid w:val="00E974BE"/>
    <w:rsid w:val="00EA0B11"/>
    <w:rsid w:val="00EA2BEB"/>
    <w:rsid w:val="00EA310F"/>
    <w:rsid w:val="00EA6418"/>
    <w:rsid w:val="00EA64DE"/>
    <w:rsid w:val="00EA6CC8"/>
    <w:rsid w:val="00EB09DC"/>
    <w:rsid w:val="00EB24FA"/>
    <w:rsid w:val="00EB363E"/>
    <w:rsid w:val="00EC1418"/>
    <w:rsid w:val="00EC27A7"/>
    <w:rsid w:val="00EC30FB"/>
    <w:rsid w:val="00EC4F97"/>
    <w:rsid w:val="00EC6496"/>
    <w:rsid w:val="00EC6754"/>
    <w:rsid w:val="00ED0038"/>
    <w:rsid w:val="00ED0B41"/>
    <w:rsid w:val="00ED167E"/>
    <w:rsid w:val="00ED1A24"/>
    <w:rsid w:val="00ED1E01"/>
    <w:rsid w:val="00ED3433"/>
    <w:rsid w:val="00ED44BA"/>
    <w:rsid w:val="00ED4CA1"/>
    <w:rsid w:val="00ED5778"/>
    <w:rsid w:val="00ED6ABA"/>
    <w:rsid w:val="00ED6F41"/>
    <w:rsid w:val="00EE1184"/>
    <w:rsid w:val="00EE1973"/>
    <w:rsid w:val="00EE1AEC"/>
    <w:rsid w:val="00EE35CA"/>
    <w:rsid w:val="00EE378A"/>
    <w:rsid w:val="00EE5FEC"/>
    <w:rsid w:val="00EE72E4"/>
    <w:rsid w:val="00EF0EAF"/>
    <w:rsid w:val="00EF230B"/>
    <w:rsid w:val="00EF52D7"/>
    <w:rsid w:val="00EF5EB2"/>
    <w:rsid w:val="00EF6911"/>
    <w:rsid w:val="00EF6CF0"/>
    <w:rsid w:val="00F02012"/>
    <w:rsid w:val="00F02B83"/>
    <w:rsid w:val="00F054D3"/>
    <w:rsid w:val="00F05764"/>
    <w:rsid w:val="00F06928"/>
    <w:rsid w:val="00F11E76"/>
    <w:rsid w:val="00F1374E"/>
    <w:rsid w:val="00F15FB3"/>
    <w:rsid w:val="00F209C6"/>
    <w:rsid w:val="00F220D8"/>
    <w:rsid w:val="00F2232A"/>
    <w:rsid w:val="00F22688"/>
    <w:rsid w:val="00F2310E"/>
    <w:rsid w:val="00F2486D"/>
    <w:rsid w:val="00F26AB6"/>
    <w:rsid w:val="00F27338"/>
    <w:rsid w:val="00F300E2"/>
    <w:rsid w:val="00F30503"/>
    <w:rsid w:val="00F31971"/>
    <w:rsid w:val="00F3329B"/>
    <w:rsid w:val="00F336E7"/>
    <w:rsid w:val="00F33D3B"/>
    <w:rsid w:val="00F343B6"/>
    <w:rsid w:val="00F353E7"/>
    <w:rsid w:val="00F37D61"/>
    <w:rsid w:val="00F40688"/>
    <w:rsid w:val="00F40EA7"/>
    <w:rsid w:val="00F41E0F"/>
    <w:rsid w:val="00F44954"/>
    <w:rsid w:val="00F44CA7"/>
    <w:rsid w:val="00F44E48"/>
    <w:rsid w:val="00F4523B"/>
    <w:rsid w:val="00F4593F"/>
    <w:rsid w:val="00F47771"/>
    <w:rsid w:val="00F52210"/>
    <w:rsid w:val="00F539AA"/>
    <w:rsid w:val="00F5682A"/>
    <w:rsid w:val="00F60265"/>
    <w:rsid w:val="00F6340B"/>
    <w:rsid w:val="00F66940"/>
    <w:rsid w:val="00F66C52"/>
    <w:rsid w:val="00F704FB"/>
    <w:rsid w:val="00F739E6"/>
    <w:rsid w:val="00F742EB"/>
    <w:rsid w:val="00F74CD9"/>
    <w:rsid w:val="00F75D7A"/>
    <w:rsid w:val="00F77370"/>
    <w:rsid w:val="00F77B09"/>
    <w:rsid w:val="00F77E19"/>
    <w:rsid w:val="00F77F9A"/>
    <w:rsid w:val="00F8128D"/>
    <w:rsid w:val="00F836BB"/>
    <w:rsid w:val="00F8372A"/>
    <w:rsid w:val="00F84551"/>
    <w:rsid w:val="00F84CE5"/>
    <w:rsid w:val="00F852BA"/>
    <w:rsid w:val="00F85346"/>
    <w:rsid w:val="00F85CA5"/>
    <w:rsid w:val="00F86633"/>
    <w:rsid w:val="00F87BC1"/>
    <w:rsid w:val="00F91184"/>
    <w:rsid w:val="00F9344F"/>
    <w:rsid w:val="00F93D4D"/>
    <w:rsid w:val="00F977F2"/>
    <w:rsid w:val="00FA1084"/>
    <w:rsid w:val="00FA14A7"/>
    <w:rsid w:val="00FA28E6"/>
    <w:rsid w:val="00FA2FAC"/>
    <w:rsid w:val="00FA2FAD"/>
    <w:rsid w:val="00FA3166"/>
    <w:rsid w:val="00FA385A"/>
    <w:rsid w:val="00FA3A1B"/>
    <w:rsid w:val="00FA713F"/>
    <w:rsid w:val="00FA71E6"/>
    <w:rsid w:val="00FA7630"/>
    <w:rsid w:val="00FB03B1"/>
    <w:rsid w:val="00FB1036"/>
    <w:rsid w:val="00FB581B"/>
    <w:rsid w:val="00FB6EBA"/>
    <w:rsid w:val="00FC04D3"/>
    <w:rsid w:val="00FC503A"/>
    <w:rsid w:val="00FC5249"/>
    <w:rsid w:val="00FC56D9"/>
    <w:rsid w:val="00FC574B"/>
    <w:rsid w:val="00FC6C8C"/>
    <w:rsid w:val="00FC70C6"/>
    <w:rsid w:val="00FC7407"/>
    <w:rsid w:val="00FC7D77"/>
    <w:rsid w:val="00FD0AA0"/>
    <w:rsid w:val="00FD1B93"/>
    <w:rsid w:val="00FD2ED3"/>
    <w:rsid w:val="00FD3C5C"/>
    <w:rsid w:val="00FD3CB5"/>
    <w:rsid w:val="00FD4AB5"/>
    <w:rsid w:val="00FD4F03"/>
    <w:rsid w:val="00FE0115"/>
    <w:rsid w:val="00FE6525"/>
    <w:rsid w:val="00FF20F6"/>
    <w:rsid w:val="00FF22EA"/>
    <w:rsid w:val="00FF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CE"/>
    <w:pPr>
      <w:spacing w:line="480" w:lineRule="auto"/>
      <w:ind w:left="720" w:hanging="720"/>
    </w:pPr>
    <w:rPr>
      <w:rFonts w:ascii="Garamond" w:hAnsi="Garamond"/>
      <w:sz w:val="24"/>
    </w:rPr>
  </w:style>
  <w:style w:type="paragraph" w:styleId="Heading1">
    <w:name w:val="heading 1"/>
    <w:basedOn w:val="Normal"/>
    <w:next w:val="Normal"/>
    <w:link w:val="Heading1Char"/>
    <w:qFormat/>
    <w:rsid w:val="00F02012"/>
    <w:pPr>
      <w:keepNext/>
      <w:jc w:val="center"/>
      <w:outlineLvl w:val="0"/>
    </w:pPr>
    <w:rPr>
      <w:rFonts w:ascii="Times New Roman Bold" w:hAnsi="Times New Roman Bold"/>
      <w:b/>
      <w:caps/>
    </w:rPr>
  </w:style>
  <w:style w:type="paragraph" w:styleId="Heading2">
    <w:name w:val="heading 2"/>
    <w:basedOn w:val="Normal"/>
    <w:next w:val="Normal"/>
    <w:qFormat/>
    <w:rsid w:val="00D242CE"/>
    <w:pPr>
      <w:keepNext/>
      <w:ind w:firstLine="0"/>
      <w:outlineLvl w:val="1"/>
    </w:pPr>
    <w:rPr>
      <w:rFonts w:ascii="Times New Roman" w:hAnsi="Times New Roman"/>
      <w:bCs/>
      <w:u w:val="single"/>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D242CE"/>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link w:val="CommentTextChar"/>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customStyle="1" w:styleId="CharCharCharCharCharCharCharCharCharCharCharCharCharChar">
    <w:name w:val="Char Char Char Char Char Char Char Char Char Char Char Char Char Char"/>
    <w:basedOn w:val="Normal"/>
    <w:rsid w:val="009F4525"/>
    <w:pPr>
      <w:widowControl w:val="0"/>
      <w:adjustRightInd w:val="0"/>
      <w:spacing w:after="160" w:line="240" w:lineRule="exact"/>
      <w:ind w:left="0" w:firstLine="0"/>
      <w:jc w:val="both"/>
      <w:textAlignment w:val="baseline"/>
    </w:pPr>
    <w:rPr>
      <w:rFonts w:ascii="Verdana" w:hAnsi="Verdana"/>
      <w:sz w:val="20"/>
    </w:rPr>
  </w:style>
  <w:style w:type="character" w:styleId="Hyperlink">
    <w:name w:val="Hyperlink"/>
    <w:uiPriority w:val="99"/>
    <w:unhideWhenUsed/>
    <w:rsid w:val="00CC4513"/>
    <w:rPr>
      <w:color w:val="0000FF"/>
      <w:u w:val="single"/>
    </w:rPr>
  </w:style>
  <w:style w:type="paragraph" w:styleId="HTMLPreformatted">
    <w:name w:val="HTML Preformatted"/>
    <w:basedOn w:val="Normal"/>
    <w:link w:val="HTMLPreformattedChar"/>
    <w:uiPriority w:val="99"/>
    <w:semiHidden/>
    <w:unhideWhenUsed/>
    <w:rsid w:val="00CC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CC4513"/>
    <w:rPr>
      <w:rFonts w:ascii="Courier New" w:hAnsi="Courier New" w:cs="Courier New"/>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CC4513"/>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4 Char,Footnote Text Char Char1"/>
    <w:basedOn w:val="Normal"/>
    <w:link w:val="FootnoteTextChar"/>
    <w:uiPriority w:val="99"/>
    <w:unhideWhenUsed/>
    <w:qFormat/>
    <w:rsid w:val="00CC4513"/>
    <w:pPr>
      <w:spacing w:line="240" w:lineRule="auto"/>
      <w:ind w:left="0" w:firstLine="0"/>
    </w:pPr>
    <w:rPr>
      <w:rFonts w:ascii="Times New Roman" w:hAnsi="Times New Roman"/>
      <w:sz w:val="20"/>
    </w:rPr>
  </w:style>
  <w:style w:type="character" w:customStyle="1" w:styleId="FootnoteTextChar1">
    <w:name w:val="Footnote Text Char1"/>
    <w:basedOn w:val="DefaultParagraphFont"/>
    <w:uiPriority w:val="99"/>
    <w:semiHidden/>
    <w:rsid w:val="00CC4513"/>
    <w:rPr>
      <w:rFonts w:ascii="Garamond" w:hAnsi="Garamond"/>
    </w:rPr>
  </w:style>
  <w:style w:type="character" w:customStyle="1" w:styleId="CommentTextChar">
    <w:name w:val="Comment Text Char"/>
    <w:basedOn w:val="DefaultParagraphFont"/>
    <w:link w:val="CommentText"/>
    <w:semiHidden/>
    <w:rsid w:val="00CC4513"/>
    <w:rPr>
      <w:rFonts w:ascii="Garamond" w:hAnsi="Garamond"/>
    </w:rPr>
  </w:style>
  <w:style w:type="paragraph" w:customStyle="1" w:styleId="testimony">
    <w:name w:val="testimony"/>
    <w:basedOn w:val="Normal"/>
    <w:rsid w:val="00CC4513"/>
    <w:pPr>
      <w:tabs>
        <w:tab w:val="left" w:pos="720"/>
        <w:tab w:val="left" w:pos="2160"/>
      </w:tabs>
      <w:spacing w:line="440" w:lineRule="atLeast"/>
      <w:ind w:left="0" w:hanging="360"/>
    </w:pPr>
    <w:rPr>
      <w:rFonts w:ascii="Times" w:hAnsi="Times"/>
    </w:rPr>
  </w:style>
  <w:style w:type="character" w:customStyle="1" w:styleId="Answer-TestimonyChar">
    <w:name w:val="Answer - Testimony Char"/>
    <w:link w:val="Answer-Testimony"/>
    <w:locked/>
    <w:rsid w:val="00CC4513"/>
    <w:rPr>
      <w:sz w:val="24"/>
      <w:szCs w:val="24"/>
    </w:rPr>
  </w:style>
  <w:style w:type="paragraph" w:customStyle="1" w:styleId="Answer-Testimony">
    <w:name w:val="Answer - Testimony"/>
    <w:basedOn w:val="Normal"/>
    <w:link w:val="Answer-TestimonyChar"/>
    <w:qFormat/>
    <w:rsid w:val="00CC4513"/>
    <w:rPr>
      <w:rFonts w:ascii="Times New Roman" w:hAnsi="Times New Roman"/>
      <w:szCs w:val="24"/>
    </w:rPr>
  </w:style>
  <w:style w:type="character" w:styleId="Strong">
    <w:name w:val="Strong"/>
    <w:aliases w:val="Quote - Testimony"/>
    <w:qFormat/>
    <w:rsid w:val="00B82B89"/>
  </w:style>
  <w:style w:type="paragraph" w:styleId="Revision">
    <w:name w:val="Revision"/>
    <w:hidden/>
    <w:uiPriority w:val="99"/>
    <w:semiHidden/>
    <w:rsid w:val="005D38F5"/>
    <w:rPr>
      <w:rFonts w:ascii="Garamond" w:hAnsi="Garamond"/>
      <w:sz w:val="24"/>
    </w:rPr>
  </w:style>
  <w:style w:type="character" w:customStyle="1" w:styleId="Heading1Char">
    <w:name w:val="Heading 1 Char"/>
    <w:basedOn w:val="DefaultParagraphFont"/>
    <w:link w:val="Heading1"/>
    <w:rsid w:val="00D86A27"/>
    <w:rPr>
      <w:rFonts w:ascii="Times New Roman Bold" w:hAnsi="Times New Roman Bold"/>
      <w:b/>
      <w:caps/>
      <w:sz w:val="24"/>
    </w:rPr>
  </w:style>
  <w:style w:type="paragraph" w:styleId="TOCHeading">
    <w:name w:val="TOC Heading"/>
    <w:basedOn w:val="Heading1"/>
    <w:next w:val="Normal"/>
    <w:uiPriority w:val="39"/>
    <w:semiHidden/>
    <w:unhideWhenUsed/>
    <w:qFormat/>
    <w:rsid w:val="00D86A27"/>
    <w:pPr>
      <w:keepLines/>
      <w:spacing w:before="480" w:line="276" w:lineRule="auto"/>
      <w:ind w:left="0" w:firstLine="0"/>
      <w:jc w:val="left"/>
      <w:outlineLvl w:val="9"/>
    </w:pPr>
    <w:rPr>
      <w:rFonts w:asciiTheme="majorHAnsi" w:eastAsiaTheme="majorEastAsia" w:hAnsiTheme="majorHAnsi" w:cstheme="majorBidi"/>
      <w:bCs/>
      <w:caps w:val="0"/>
      <w:color w:val="365F91" w:themeColor="accent1" w:themeShade="BF"/>
      <w:sz w:val="28"/>
      <w:szCs w:val="28"/>
    </w:rPr>
  </w:style>
  <w:style w:type="paragraph" w:styleId="TOC1">
    <w:name w:val="toc 1"/>
    <w:basedOn w:val="Normal"/>
    <w:next w:val="Normal"/>
    <w:autoRedefine/>
    <w:uiPriority w:val="39"/>
    <w:unhideWhenUsed/>
    <w:rsid w:val="00D86A27"/>
    <w:pPr>
      <w:tabs>
        <w:tab w:val="right" w:leader="dot" w:pos="8990"/>
      </w:tabs>
      <w:spacing w:after="100"/>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CE"/>
    <w:pPr>
      <w:spacing w:line="480" w:lineRule="auto"/>
      <w:ind w:left="720" w:hanging="720"/>
    </w:pPr>
    <w:rPr>
      <w:rFonts w:ascii="Garamond" w:hAnsi="Garamond"/>
      <w:sz w:val="24"/>
    </w:rPr>
  </w:style>
  <w:style w:type="paragraph" w:styleId="Heading1">
    <w:name w:val="heading 1"/>
    <w:basedOn w:val="Normal"/>
    <w:next w:val="Normal"/>
    <w:link w:val="Heading1Char"/>
    <w:qFormat/>
    <w:rsid w:val="00F02012"/>
    <w:pPr>
      <w:keepNext/>
      <w:jc w:val="center"/>
      <w:outlineLvl w:val="0"/>
    </w:pPr>
    <w:rPr>
      <w:rFonts w:ascii="Times New Roman Bold" w:hAnsi="Times New Roman Bold"/>
      <w:b/>
      <w:caps/>
    </w:rPr>
  </w:style>
  <w:style w:type="paragraph" w:styleId="Heading2">
    <w:name w:val="heading 2"/>
    <w:basedOn w:val="Normal"/>
    <w:next w:val="Normal"/>
    <w:qFormat/>
    <w:rsid w:val="00D242CE"/>
    <w:pPr>
      <w:keepNext/>
      <w:ind w:firstLine="0"/>
      <w:outlineLvl w:val="1"/>
    </w:pPr>
    <w:rPr>
      <w:rFonts w:ascii="Times New Roman" w:hAnsi="Times New Roman"/>
      <w:bCs/>
      <w:u w:val="single"/>
    </w:rPr>
  </w:style>
  <w:style w:type="paragraph" w:styleId="Heading3">
    <w:name w:val="heading 3"/>
    <w:basedOn w:val="Normal"/>
    <w:next w:val="Normal"/>
    <w:qFormat/>
    <w:rsid w:val="00D242CE"/>
    <w:pPr>
      <w:keepNext/>
      <w:ind w:firstLine="0"/>
      <w:outlineLvl w:val="2"/>
    </w:pPr>
    <w:rPr>
      <w:rFonts w:ascii="Times New Roman" w:hAnsi="Times New Roman"/>
      <w:u w:val="single"/>
    </w:rPr>
  </w:style>
  <w:style w:type="paragraph" w:styleId="Heading4">
    <w:name w:val="heading 4"/>
    <w:basedOn w:val="Normal"/>
    <w:next w:val="Normal"/>
    <w:qFormat/>
    <w:rsid w:val="00D242CE"/>
    <w:pPr>
      <w:keepNext/>
      <w:spacing w:line="240" w:lineRule="auto"/>
      <w:ind w:left="0" w:firstLine="0"/>
      <w:outlineLvl w:val="3"/>
    </w:pPr>
    <w:rPr>
      <w:rFonts w:ascii="Times New Roman" w:hAnsi="Times New Roman"/>
      <w:sz w:val="20"/>
      <w:u w:val="single"/>
    </w:rPr>
  </w:style>
  <w:style w:type="paragraph" w:styleId="Heading5">
    <w:name w:val="heading 5"/>
    <w:basedOn w:val="Normal"/>
    <w:next w:val="Normal"/>
    <w:qFormat/>
    <w:rsid w:val="00D242CE"/>
    <w:pPr>
      <w:keepNext/>
      <w:outlineLvl w:val="4"/>
    </w:pPr>
  </w:style>
  <w:style w:type="paragraph" w:styleId="Heading6">
    <w:name w:val="heading 6"/>
    <w:basedOn w:val="Normal"/>
    <w:next w:val="Normal"/>
    <w:qFormat/>
    <w:rsid w:val="00D242CE"/>
    <w:pPr>
      <w:keepNext/>
      <w:ind w:firstLine="720"/>
      <w:outlineLvl w:val="5"/>
    </w:pPr>
    <w:rPr>
      <w:b/>
    </w:rPr>
  </w:style>
  <w:style w:type="paragraph" w:styleId="Heading9">
    <w:name w:val="heading 9"/>
    <w:basedOn w:val="Normal"/>
    <w:next w:val="Normal"/>
    <w:qFormat/>
    <w:rsid w:val="005D09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42CE"/>
  </w:style>
  <w:style w:type="paragraph" w:styleId="Header">
    <w:name w:val="header"/>
    <w:basedOn w:val="Normal"/>
    <w:rsid w:val="00D242CE"/>
    <w:pPr>
      <w:tabs>
        <w:tab w:val="center" w:pos="4320"/>
        <w:tab w:val="right" w:pos="8640"/>
      </w:tabs>
      <w:spacing w:line="240" w:lineRule="auto"/>
    </w:pPr>
  </w:style>
  <w:style w:type="paragraph" w:styleId="Footer">
    <w:name w:val="footer"/>
    <w:basedOn w:val="Normal"/>
    <w:rsid w:val="00D242CE"/>
    <w:pPr>
      <w:tabs>
        <w:tab w:val="center" w:pos="4320"/>
        <w:tab w:val="right" w:pos="8640"/>
      </w:tabs>
    </w:pPr>
  </w:style>
  <w:style w:type="character" w:styleId="PageNumber">
    <w:name w:val="page number"/>
    <w:basedOn w:val="DefaultParagraphFont"/>
    <w:rsid w:val="00D242CE"/>
  </w:style>
  <w:style w:type="character" w:styleId="LineNumber">
    <w:name w:val="line number"/>
    <w:basedOn w:val="DefaultParagraphFont"/>
    <w:rsid w:val="00D242CE"/>
    <w:rPr>
      <w:rFonts w:ascii="Times New Roman" w:hAnsi="Times New Roman"/>
      <w:sz w:val="24"/>
    </w:rPr>
  </w:style>
  <w:style w:type="character" w:styleId="FootnoteReference">
    <w:name w:val="footnote reference"/>
    <w:aliases w:val="o,fr,Style 3,Style 13,Style 12,Style 15,Style 17,Style 9,o1,fr1,o2,fr2,o3,fr3,Style 18,(NECG) Footnote Reference,Style 20,Style 7,Style 8,Style 19,Style 28,Style 11,Style 16,Styl,Style 6"/>
    <w:uiPriority w:val="99"/>
    <w:qFormat/>
    <w:rsid w:val="00D242CE"/>
  </w:style>
  <w:style w:type="paragraph" w:styleId="BodyTextIndent2">
    <w:name w:val="Body Text Indent 2"/>
    <w:basedOn w:val="Normal"/>
    <w:rsid w:val="00D242CE"/>
    <w:pPr>
      <w:ind w:firstLine="720"/>
    </w:pPr>
  </w:style>
  <w:style w:type="paragraph" w:styleId="BodyTextIndent3">
    <w:name w:val="Body Text Indent 3"/>
    <w:basedOn w:val="Normal"/>
    <w:rsid w:val="00D242CE"/>
    <w:pPr>
      <w:tabs>
        <w:tab w:val="left" w:pos="720"/>
      </w:tabs>
      <w:ind w:hanging="630"/>
    </w:pPr>
  </w:style>
  <w:style w:type="paragraph" w:styleId="BalloonText">
    <w:name w:val="Balloon Text"/>
    <w:basedOn w:val="Normal"/>
    <w:semiHidden/>
    <w:rsid w:val="00D242CE"/>
    <w:rPr>
      <w:rFonts w:ascii="Tahoma" w:hAnsi="Tahoma" w:cs="Tahoma"/>
      <w:sz w:val="16"/>
      <w:szCs w:val="16"/>
    </w:rPr>
  </w:style>
  <w:style w:type="character" w:styleId="CommentReference">
    <w:name w:val="annotation reference"/>
    <w:basedOn w:val="DefaultParagraphFont"/>
    <w:semiHidden/>
    <w:rsid w:val="00FC56D9"/>
    <w:rPr>
      <w:sz w:val="16"/>
      <w:szCs w:val="16"/>
    </w:rPr>
  </w:style>
  <w:style w:type="paragraph" w:styleId="CommentText">
    <w:name w:val="annotation text"/>
    <w:basedOn w:val="Normal"/>
    <w:link w:val="CommentTextChar"/>
    <w:semiHidden/>
    <w:rsid w:val="00FC56D9"/>
    <w:rPr>
      <w:sz w:val="20"/>
    </w:rPr>
  </w:style>
  <w:style w:type="paragraph" w:styleId="CommentSubject">
    <w:name w:val="annotation subject"/>
    <w:basedOn w:val="CommentText"/>
    <w:next w:val="CommentText"/>
    <w:semiHidden/>
    <w:rsid w:val="00FC56D9"/>
    <w:rPr>
      <w:b/>
      <w:bCs/>
    </w:rPr>
  </w:style>
  <w:style w:type="paragraph" w:customStyle="1" w:styleId="CharChar1">
    <w:name w:val="Char Char1"/>
    <w:basedOn w:val="Normal"/>
    <w:rsid w:val="008B3F68"/>
    <w:pPr>
      <w:spacing w:after="160" w:line="240" w:lineRule="exact"/>
      <w:ind w:left="0" w:firstLine="0"/>
    </w:pPr>
    <w:rPr>
      <w:rFonts w:ascii="Verdana" w:hAnsi="Verdana"/>
      <w:sz w:val="20"/>
    </w:rPr>
  </w:style>
  <w:style w:type="paragraph" w:styleId="ListParagraph">
    <w:name w:val="List Paragraph"/>
    <w:basedOn w:val="Normal"/>
    <w:uiPriority w:val="34"/>
    <w:qFormat/>
    <w:rsid w:val="00D666DF"/>
    <w:pPr>
      <w:contextualSpacing/>
    </w:pPr>
  </w:style>
  <w:style w:type="paragraph" w:customStyle="1" w:styleId="CharCharCharCharCharCharCharCharCharCharCharCharCharChar">
    <w:name w:val="Char Char Char Char Char Char Char Char Char Char Char Char Char Char"/>
    <w:basedOn w:val="Normal"/>
    <w:rsid w:val="009F4525"/>
    <w:pPr>
      <w:widowControl w:val="0"/>
      <w:adjustRightInd w:val="0"/>
      <w:spacing w:after="160" w:line="240" w:lineRule="exact"/>
      <w:ind w:left="0" w:firstLine="0"/>
      <w:jc w:val="both"/>
      <w:textAlignment w:val="baseline"/>
    </w:pPr>
    <w:rPr>
      <w:rFonts w:ascii="Verdana" w:hAnsi="Verdana"/>
      <w:sz w:val="20"/>
    </w:rPr>
  </w:style>
  <w:style w:type="character" w:styleId="Hyperlink">
    <w:name w:val="Hyperlink"/>
    <w:uiPriority w:val="99"/>
    <w:unhideWhenUsed/>
    <w:rsid w:val="00CC4513"/>
    <w:rPr>
      <w:color w:val="0000FF"/>
      <w:u w:val="single"/>
    </w:rPr>
  </w:style>
  <w:style w:type="paragraph" w:styleId="HTMLPreformatted">
    <w:name w:val="HTML Preformatted"/>
    <w:basedOn w:val="Normal"/>
    <w:link w:val="HTMLPreformattedChar"/>
    <w:uiPriority w:val="99"/>
    <w:semiHidden/>
    <w:unhideWhenUsed/>
    <w:rsid w:val="00CC4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CC4513"/>
    <w:rPr>
      <w:rFonts w:ascii="Courier New" w:hAnsi="Courier New" w:cs="Courier New"/>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locked/>
    <w:rsid w:val="00CC4513"/>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4 Char,Footnote Text Char Char1"/>
    <w:basedOn w:val="Normal"/>
    <w:link w:val="FootnoteTextChar"/>
    <w:uiPriority w:val="99"/>
    <w:unhideWhenUsed/>
    <w:qFormat/>
    <w:rsid w:val="00CC4513"/>
    <w:pPr>
      <w:spacing w:line="240" w:lineRule="auto"/>
      <w:ind w:left="0" w:firstLine="0"/>
    </w:pPr>
    <w:rPr>
      <w:rFonts w:ascii="Times New Roman" w:hAnsi="Times New Roman"/>
      <w:sz w:val="20"/>
    </w:rPr>
  </w:style>
  <w:style w:type="character" w:customStyle="1" w:styleId="FootnoteTextChar1">
    <w:name w:val="Footnote Text Char1"/>
    <w:basedOn w:val="DefaultParagraphFont"/>
    <w:uiPriority w:val="99"/>
    <w:semiHidden/>
    <w:rsid w:val="00CC4513"/>
    <w:rPr>
      <w:rFonts w:ascii="Garamond" w:hAnsi="Garamond"/>
    </w:rPr>
  </w:style>
  <w:style w:type="character" w:customStyle="1" w:styleId="CommentTextChar">
    <w:name w:val="Comment Text Char"/>
    <w:basedOn w:val="DefaultParagraphFont"/>
    <w:link w:val="CommentText"/>
    <w:semiHidden/>
    <w:rsid w:val="00CC4513"/>
    <w:rPr>
      <w:rFonts w:ascii="Garamond" w:hAnsi="Garamond"/>
    </w:rPr>
  </w:style>
  <w:style w:type="paragraph" w:customStyle="1" w:styleId="testimony">
    <w:name w:val="testimony"/>
    <w:basedOn w:val="Normal"/>
    <w:rsid w:val="00CC4513"/>
    <w:pPr>
      <w:tabs>
        <w:tab w:val="left" w:pos="720"/>
        <w:tab w:val="left" w:pos="2160"/>
      </w:tabs>
      <w:spacing w:line="440" w:lineRule="atLeast"/>
      <w:ind w:left="0" w:hanging="360"/>
    </w:pPr>
    <w:rPr>
      <w:rFonts w:ascii="Times" w:hAnsi="Times"/>
    </w:rPr>
  </w:style>
  <w:style w:type="character" w:customStyle="1" w:styleId="Answer-TestimonyChar">
    <w:name w:val="Answer - Testimony Char"/>
    <w:link w:val="Answer-Testimony"/>
    <w:locked/>
    <w:rsid w:val="00CC4513"/>
    <w:rPr>
      <w:sz w:val="24"/>
      <w:szCs w:val="24"/>
    </w:rPr>
  </w:style>
  <w:style w:type="paragraph" w:customStyle="1" w:styleId="Answer-Testimony">
    <w:name w:val="Answer - Testimony"/>
    <w:basedOn w:val="Normal"/>
    <w:link w:val="Answer-TestimonyChar"/>
    <w:qFormat/>
    <w:rsid w:val="00CC4513"/>
    <w:rPr>
      <w:rFonts w:ascii="Times New Roman" w:hAnsi="Times New Roman"/>
      <w:szCs w:val="24"/>
    </w:rPr>
  </w:style>
  <w:style w:type="character" w:styleId="Strong">
    <w:name w:val="Strong"/>
    <w:aliases w:val="Quote - Testimony"/>
    <w:qFormat/>
    <w:rsid w:val="00B82B89"/>
  </w:style>
  <w:style w:type="paragraph" w:styleId="Revision">
    <w:name w:val="Revision"/>
    <w:hidden/>
    <w:uiPriority w:val="99"/>
    <w:semiHidden/>
    <w:rsid w:val="005D38F5"/>
    <w:rPr>
      <w:rFonts w:ascii="Garamond" w:hAnsi="Garamond"/>
      <w:sz w:val="24"/>
    </w:rPr>
  </w:style>
  <w:style w:type="character" w:customStyle="1" w:styleId="Heading1Char">
    <w:name w:val="Heading 1 Char"/>
    <w:basedOn w:val="DefaultParagraphFont"/>
    <w:link w:val="Heading1"/>
    <w:rsid w:val="00D86A27"/>
    <w:rPr>
      <w:rFonts w:ascii="Times New Roman Bold" w:hAnsi="Times New Roman Bold"/>
      <w:b/>
      <w:caps/>
      <w:sz w:val="24"/>
    </w:rPr>
  </w:style>
  <w:style w:type="paragraph" w:styleId="TOCHeading">
    <w:name w:val="TOC Heading"/>
    <w:basedOn w:val="Heading1"/>
    <w:next w:val="Normal"/>
    <w:uiPriority w:val="39"/>
    <w:semiHidden/>
    <w:unhideWhenUsed/>
    <w:qFormat/>
    <w:rsid w:val="00D86A27"/>
    <w:pPr>
      <w:keepLines/>
      <w:spacing w:before="480" w:line="276" w:lineRule="auto"/>
      <w:ind w:left="0" w:firstLine="0"/>
      <w:jc w:val="left"/>
      <w:outlineLvl w:val="9"/>
    </w:pPr>
    <w:rPr>
      <w:rFonts w:asciiTheme="majorHAnsi" w:eastAsiaTheme="majorEastAsia" w:hAnsiTheme="majorHAnsi" w:cstheme="majorBidi"/>
      <w:bCs/>
      <w:caps w:val="0"/>
      <w:color w:val="365F91" w:themeColor="accent1" w:themeShade="BF"/>
      <w:sz w:val="28"/>
      <w:szCs w:val="28"/>
    </w:rPr>
  </w:style>
  <w:style w:type="paragraph" w:styleId="TOC1">
    <w:name w:val="toc 1"/>
    <w:basedOn w:val="Normal"/>
    <w:next w:val="Normal"/>
    <w:autoRedefine/>
    <w:uiPriority w:val="39"/>
    <w:unhideWhenUsed/>
    <w:rsid w:val="00D86A27"/>
    <w:pPr>
      <w:tabs>
        <w:tab w:val="right" w:leader="dot" w:pos="8990"/>
      </w:tabs>
      <w:spacing w:after="10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936">
      <w:bodyDiv w:val="1"/>
      <w:marLeft w:val="0"/>
      <w:marRight w:val="0"/>
      <w:marTop w:val="0"/>
      <w:marBottom w:val="0"/>
      <w:divBdr>
        <w:top w:val="none" w:sz="0" w:space="0" w:color="auto"/>
        <w:left w:val="none" w:sz="0" w:space="0" w:color="auto"/>
        <w:bottom w:val="none" w:sz="0" w:space="0" w:color="auto"/>
        <w:right w:val="none" w:sz="0" w:space="0" w:color="auto"/>
      </w:divBdr>
    </w:div>
    <w:div w:id="149443081">
      <w:bodyDiv w:val="1"/>
      <w:marLeft w:val="0"/>
      <w:marRight w:val="0"/>
      <w:marTop w:val="0"/>
      <w:marBottom w:val="0"/>
      <w:divBdr>
        <w:top w:val="none" w:sz="0" w:space="0" w:color="auto"/>
        <w:left w:val="none" w:sz="0" w:space="0" w:color="auto"/>
        <w:bottom w:val="none" w:sz="0" w:space="0" w:color="auto"/>
        <w:right w:val="none" w:sz="0" w:space="0" w:color="auto"/>
      </w:divBdr>
    </w:div>
    <w:div w:id="170878946">
      <w:bodyDiv w:val="1"/>
      <w:marLeft w:val="0"/>
      <w:marRight w:val="0"/>
      <w:marTop w:val="0"/>
      <w:marBottom w:val="0"/>
      <w:divBdr>
        <w:top w:val="none" w:sz="0" w:space="0" w:color="auto"/>
        <w:left w:val="none" w:sz="0" w:space="0" w:color="auto"/>
        <w:bottom w:val="none" w:sz="0" w:space="0" w:color="auto"/>
        <w:right w:val="none" w:sz="0" w:space="0" w:color="auto"/>
      </w:divBdr>
    </w:div>
    <w:div w:id="219874268">
      <w:bodyDiv w:val="1"/>
      <w:marLeft w:val="0"/>
      <w:marRight w:val="0"/>
      <w:marTop w:val="0"/>
      <w:marBottom w:val="0"/>
      <w:divBdr>
        <w:top w:val="none" w:sz="0" w:space="0" w:color="auto"/>
        <w:left w:val="none" w:sz="0" w:space="0" w:color="auto"/>
        <w:bottom w:val="none" w:sz="0" w:space="0" w:color="auto"/>
        <w:right w:val="none" w:sz="0" w:space="0" w:color="auto"/>
      </w:divBdr>
    </w:div>
    <w:div w:id="248276100">
      <w:bodyDiv w:val="1"/>
      <w:marLeft w:val="0"/>
      <w:marRight w:val="0"/>
      <w:marTop w:val="0"/>
      <w:marBottom w:val="0"/>
      <w:divBdr>
        <w:top w:val="none" w:sz="0" w:space="0" w:color="auto"/>
        <w:left w:val="none" w:sz="0" w:space="0" w:color="auto"/>
        <w:bottom w:val="none" w:sz="0" w:space="0" w:color="auto"/>
        <w:right w:val="none" w:sz="0" w:space="0" w:color="auto"/>
      </w:divBdr>
    </w:div>
    <w:div w:id="258829909">
      <w:bodyDiv w:val="1"/>
      <w:marLeft w:val="0"/>
      <w:marRight w:val="0"/>
      <w:marTop w:val="0"/>
      <w:marBottom w:val="0"/>
      <w:divBdr>
        <w:top w:val="none" w:sz="0" w:space="0" w:color="auto"/>
        <w:left w:val="none" w:sz="0" w:space="0" w:color="auto"/>
        <w:bottom w:val="none" w:sz="0" w:space="0" w:color="auto"/>
        <w:right w:val="none" w:sz="0" w:space="0" w:color="auto"/>
      </w:divBdr>
    </w:div>
    <w:div w:id="292251625">
      <w:bodyDiv w:val="1"/>
      <w:marLeft w:val="0"/>
      <w:marRight w:val="0"/>
      <w:marTop w:val="0"/>
      <w:marBottom w:val="0"/>
      <w:divBdr>
        <w:top w:val="none" w:sz="0" w:space="0" w:color="auto"/>
        <w:left w:val="none" w:sz="0" w:space="0" w:color="auto"/>
        <w:bottom w:val="none" w:sz="0" w:space="0" w:color="auto"/>
        <w:right w:val="none" w:sz="0" w:space="0" w:color="auto"/>
      </w:divBdr>
    </w:div>
    <w:div w:id="296421419">
      <w:bodyDiv w:val="1"/>
      <w:marLeft w:val="0"/>
      <w:marRight w:val="0"/>
      <w:marTop w:val="0"/>
      <w:marBottom w:val="0"/>
      <w:divBdr>
        <w:top w:val="none" w:sz="0" w:space="0" w:color="auto"/>
        <w:left w:val="none" w:sz="0" w:space="0" w:color="auto"/>
        <w:bottom w:val="none" w:sz="0" w:space="0" w:color="auto"/>
        <w:right w:val="none" w:sz="0" w:space="0" w:color="auto"/>
      </w:divBdr>
    </w:div>
    <w:div w:id="328557978">
      <w:bodyDiv w:val="1"/>
      <w:marLeft w:val="0"/>
      <w:marRight w:val="0"/>
      <w:marTop w:val="0"/>
      <w:marBottom w:val="0"/>
      <w:divBdr>
        <w:top w:val="none" w:sz="0" w:space="0" w:color="auto"/>
        <w:left w:val="none" w:sz="0" w:space="0" w:color="auto"/>
        <w:bottom w:val="none" w:sz="0" w:space="0" w:color="auto"/>
        <w:right w:val="none" w:sz="0" w:space="0" w:color="auto"/>
      </w:divBdr>
    </w:div>
    <w:div w:id="425539582">
      <w:bodyDiv w:val="1"/>
      <w:marLeft w:val="0"/>
      <w:marRight w:val="0"/>
      <w:marTop w:val="0"/>
      <w:marBottom w:val="0"/>
      <w:divBdr>
        <w:top w:val="none" w:sz="0" w:space="0" w:color="auto"/>
        <w:left w:val="none" w:sz="0" w:space="0" w:color="auto"/>
        <w:bottom w:val="none" w:sz="0" w:space="0" w:color="auto"/>
        <w:right w:val="none" w:sz="0" w:space="0" w:color="auto"/>
      </w:divBdr>
    </w:div>
    <w:div w:id="427040772">
      <w:bodyDiv w:val="1"/>
      <w:marLeft w:val="0"/>
      <w:marRight w:val="0"/>
      <w:marTop w:val="0"/>
      <w:marBottom w:val="0"/>
      <w:divBdr>
        <w:top w:val="none" w:sz="0" w:space="0" w:color="auto"/>
        <w:left w:val="none" w:sz="0" w:space="0" w:color="auto"/>
        <w:bottom w:val="none" w:sz="0" w:space="0" w:color="auto"/>
        <w:right w:val="none" w:sz="0" w:space="0" w:color="auto"/>
      </w:divBdr>
    </w:div>
    <w:div w:id="485899274">
      <w:bodyDiv w:val="1"/>
      <w:marLeft w:val="0"/>
      <w:marRight w:val="0"/>
      <w:marTop w:val="0"/>
      <w:marBottom w:val="0"/>
      <w:divBdr>
        <w:top w:val="none" w:sz="0" w:space="0" w:color="auto"/>
        <w:left w:val="none" w:sz="0" w:space="0" w:color="auto"/>
        <w:bottom w:val="none" w:sz="0" w:space="0" w:color="auto"/>
        <w:right w:val="none" w:sz="0" w:space="0" w:color="auto"/>
      </w:divBdr>
    </w:div>
    <w:div w:id="526063479">
      <w:bodyDiv w:val="1"/>
      <w:marLeft w:val="0"/>
      <w:marRight w:val="0"/>
      <w:marTop w:val="0"/>
      <w:marBottom w:val="0"/>
      <w:divBdr>
        <w:top w:val="none" w:sz="0" w:space="0" w:color="auto"/>
        <w:left w:val="none" w:sz="0" w:space="0" w:color="auto"/>
        <w:bottom w:val="none" w:sz="0" w:space="0" w:color="auto"/>
        <w:right w:val="none" w:sz="0" w:space="0" w:color="auto"/>
      </w:divBdr>
    </w:div>
    <w:div w:id="558857550">
      <w:bodyDiv w:val="1"/>
      <w:marLeft w:val="0"/>
      <w:marRight w:val="0"/>
      <w:marTop w:val="0"/>
      <w:marBottom w:val="0"/>
      <w:divBdr>
        <w:top w:val="none" w:sz="0" w:space="0" w:color="auto"/>
        <w:left w:val="none" w:sz="0" w:space="0" w:color="auto"/>
        <w:bottom w:val="none" w:sz="0" w:space="0" w:color="auto"/>
        <w:right w:val="none" w:sz="0" w:space="0" w:color="auto"/>
      </w:divBdr>
    </w:div>
    <w:div w:id="625311007">
      <w:bodyDiv w:val="1"/>
      <w:marLeft w:val="0"/>
      <w:marRight w:val="0"/>
      <w:marTop w:val="0"/>
      <w:marBottom w:val="0"/>
      <w:divBdr>
        <w:top w:val="none" w:sz="0" w:space="0" w:color="auto"/>
        <w:left w:val="none" w:sz="0" w:space="0" w:color="auto"/>
        <w:bottom w:val="none" w:sz="0" w:space="0" w:color="auto"/>
        <w:right w:val="none" w:sz="0" w:space="0" w:color="auto"/>
      </w:divBdr>
    </w:div>
    <w:div w:id="651838422">
      <w:bodyDiv w:val="1"/>
      <w:marLeft w:val="0"/>
      <w:marRight w:val="0"/>
      <w:marTop w:val="0"/>
      <w:marBottom w:val="0"/>
      <w:divBdr>
        <w:top w:val="none" w:sz="0" w:space="0" w:color="auto"/>
        <w:left w:val="none" w:sz="0" w:space="0" w:color="auto"/>
        <w:bottom w:val="none" w:sz="0" w:space="0" w:color="auto"/>
        <w:right w:val="none" w:sz="0" w:space="0" w:color="auto"/>
      </w:divBdr>
    </w:div>
    <w:div w:id="708263826">
      <w:bodyDiv w:val="1"/>
      <w:marLeft w:val="0"/>
      <w:marRight w:val="0"/>
      <w:marTop w:val="0"/>
      <w:marBottom w:val="0"/>
      <w:divBdr>
        <w:top w:val="none" w:sz="0" w:space="0" w:color="auto"/>
        <w:left w:val="none" w:sz="0" w:space="0" w:color="auto"/>
        <w:bottom w:val="none" w:sz="0" w:space="0" w:color="auto"/>
        <w:right w:val="none" w:sz="0" w:space="0" w:color="auto"/>
      </w:divBdr>
    </w:div>
    <w:div w:id="751974606">
      <w:bodyDiv w:val="1"/>
      <w:marLeft w:val="0"/>
      <w:marRight w:val="0"/>
      <w:marTop w:val="0"/>
      <w:marBottom w:val="0"/>
      <w:divBdr>
        <w:top w:val="none" w:sz="0" w:space="0" w:color="auto"/>
        <w:left w:val="none" w:sz="0" w:space="0" w:color="auto"/>
        <w:bottom w:val="none" w:sz="0" w:space="0" w:color="auto"/>
        <w:right w:val="none" w:sz="0" w:space="0" w:color="auto"/>
      </w:divBdr>
    </w:div>
    <w:div w:id="819660054">
      <w:bodyDiv w:val="1"/>
      <w:marLeft w:val="0"/>
      <w:marRight w:val="0"/>
      <w:marTop w:val="0"/>
      <w:marBottom w:val="0"/>
      <w:divBdr>
        <w:top w:val="none" w:sz="0" w:space="0" w:color="auto"/>
        <w:left w:val="none" w:sz="0" w:space="0" w:color="auto"/>
        <w:bottom w:val="none" w:sz="0" w:space="0" w:color="auto"/>
        <w:right w:val="none" w:sz="0" w:space="0" w:color="auto"/>
      </w:divBdr>
    </w:div>
    <w:div w:id="847675246">
      <w:bodyDiv w:val="1"/>
      <w:marLeft w:val="0"/>
      <w:marRight w:val="0"/>
      <w:marTop w:val="0"/>
      <w:marBottom w:val="0"/>
      <w:divBdr>
        <w:top w:val="none" w:sz="0" w:space="0" w:color="auto"/>
        <w:left w:val="none" w:sz="0" w:space="0" w:color="auto"/>
        <w:bottom w:val="none" w:sz="0" w:space="0" w:color="auto"/>
        <w:right w:val="none" w:sz="0" w:space="0" w:color="auto"/>
      </w:divBdr>
    </w:div>
    <w:div w:id="850947902">
      <w:bodyDiv w:val="1"/>
      <w:marLeft w:val="0"/>
      <w:marRight w:val="0"/>
      <w:marTop w:val="0"/>
      <w:marBottom w:val="0"/>
      <w:divBdr>
        <w:top w:val="none" w:sz="0" w:space="0" w:color="auto"/>
        <w:left w:val="none" w:sz="0" w:space="0" w:color="auto"/>
        <w:bottom w:val="none" w:sz="0" w:space="0" w:color="auto"/>
        <w:right w:val="none" w:sz="0" w:space="0" w:color="auto"/>
      </w:divBdr>
    </w:div>
    <w:div w:id="864564385">
      <w:bodyDiv w:val="1"/>
      <w:marLeft w:val="0"/>
      <w:marRight w:val="0"/>
      <w:marTop w:val="0"/>
      <w:marBottom w:val="0"/>
      <w:divBdr>
        <w:top w:val="none" w:sz="0" w:space="0" w:color="auto"/>
        <w:left w:val="none" w:sz="0" w:space="0" w:color="auto"/>
        <w:bottom w:val="none" w:sz="0" w:space="0" w:color="auto"/>
        <w:right w:val="none" w:sz="0" w:space="0" w:color="auto"/>
      </w:divBdr>
    </w:div>
    <w:div w:id="866481270">
      <w:bodyDiv w:val="1"/>
      <w:marLeft w:val="0"/>
      <w:marRight w:val="0"/>
      <w:marTop w:val="0"/>
      <w:marBottom w:val="0"/>
      <w:divBdr>
        <w:top w:val="none" w:sz="0" w:space="0" w:color="auto"/>
        <w:left w:val="none" w:sz="0" w:space="0" w:color="auto"/>
        <w:bottom w:val="none" w:sz="0" w:space="0" w:color="auto"/>
        <w:right w:val="none" w:sz="0" w:space="0" w:color="auto"/>
      </w:divBdr>
    </w:div>
    <w:div w:id="868302345">
      <w:bodyDiv w:val="1"/>
      <w:marLeft w:val="0"/>
      <w:marRight w:val="0"/>
      <w:marTop w:val="0"/>
      <w:marBottom w:val="0"/>
      <w:divBdr>
        <w:top w:val="none" w:sz="0" w:space="0" w:color="auto"/>
        <w:left w:val="none" w:sz="0" w:space="0" w:color="auto"/>
        <w:bottom w:val="none" w:sz="0" w:space="0" w:color="auto"/>
        <w:right w:val="none" w:sz="0" w:space="0" w:color="auto"/>
      </w:divBdr>
    </w:div>
    <w:div w:id="934902505">
      <w:bodyDiv w:val="1"/>
      <w:marLeft w:val="0"/>
      <w:marRight w:val="0"/>
      <w:marTop w:val="0"/>
      <w:marBottom w:val="0"/>
      <w:divBdr>
        <w:top w:val="none" w:sz="0" w:space="0" w:color="auto"/>
        <w:left w:val="none" w:sz="0" w:space="0" w:color="auto"/>
        <w:bottom w:val="none" w:sz="0" w:space="0" w:color="auto"/>
        <w:right w:val="none" w:sz="0" w:space="0" w:color="auto"/>
      </w:divBdr>
    </w:div>
    <w:div w:id="962032633">
      <w:bodyDiv w:val="1"/>
      <w:marLeft w:val="0"/>
      <w:marRight w:val="0"/>
      <w:marTop w:val="0"/>
      <w:marBottom w:val="0"/>
      <w:divBdr>
        <w:top w:val="none" w:sz="0" w:space="0" w:color="auto"/>
        <w:left w:val="none" w:sz="0" w:space="0" w:color="auto"/>
        <w:bottom w:val="none" w:sz="0" w:space="0" w:color="auto"/>
        <w:right w:val="none" w:sz="0" w:space="0" w:color="auto"/>
      </w:divBdr>
    </w:div>
    <w:div w:id="972633232">
      <w:bodyDiv w:val="1"/>
      <w:marLeft w:val="0"/>
      <w:marRight w:val="0"/>
      <w:marTop w:val="0"/>
      <w:marBottom w:val="0"/>
      <w:divBdr>
        <w:top w:val="none" w:sz="0" w:space="0" w:color="auto"/>
        <w:left w:val="none" w:sz="0" w:space="0" w:color="auto"/>
        <w:bottom w:val="none" w:sz="0" w:space="0" w:color="auto"/>
        <w:right w:val="none" w:sz="0" w:space="0" w:color="auto"/>
      </w:divBdr>
    </w:div>
    <w:div w:id="1004164149">
      <w:bodyDiv w:val="1"/>
      <w:marLeft w:val="0"/>
      <w:marRight w:val="0"/>
      <w:marTop w:val="0"/>
      <w:marBottom w:val="0"/>
      <w:divBdr>
        <w:top w:val="none" w:sz="0" w:space="0" w:color="auto"/>
        <w:left w:val="none" w:sz="0" w:space="0" w:color="auto"/>
        <w:bottom w:val="none" w:sz="0" w:space="0" w:color="auto"/>
        <w:right w:val="none" w:sz="0" w:space="0" w:color="auto"/>
      </w:divBdr>
    </w:div>
    <w:div w:id="1009673299">
      <w:bodyDiv w:val="1"/>
      <w:marLeft w:val="0"/>
      <w:marRight w:val="0"/>
      <w:marTop w:val="0"/>
      <w:marBottom w:val="0"/>
      <w:divBdr>
        <w:top w:val="none" w:sz="0" w:space="0" w:color="auto"/>
        <w:left w:val="none" w:sz="0" w:space="0" w:color="auto"/>
        <w:bottom w:val="none" w:sz="0" w:space="0" w:color="auto"/>
        <w:right w:val="none" w:sz="0" w:space="0" w:color="auto"/>
      </w:divBdr>
    </w:div>
    <w:div w:id="1115489919">
      <w:bodyDiv w:val="1"/>
      <w:marLeft w:val="0"/>
      <w:marRight w:val="0"/>
      <w:marTop w:val="0"/>
      <w:marBottom w:val="0"/>
      <w:divBdr>
        <w:top w:val="none" w:sz="0" w:space="0" w:color="auto"/>
        <w:left w:val="none" w:sz="0" w:space="0" w:color="auto"/>
        <w:bottom w:val="none" w:sz="0" w:space="0" w:color="auto"/>
        <w:right w:val="none" w:sz="0" w:space="0" w:color="auto"/>
      </w:divBdr>
    </w:div>
    <w:div w:id="1124272350">
      <w:bodyDiv w:val="1"/>
      <w:marLeft w:val="0"/>
      <w:marRight w:val="0"/>
      <w:marTop w:val="0"/>
      <w:marBottom w:val="0"/>
      <w:divBdr>
        <w:top w:val="none" w:sz="0" w:space="0" w:color="auto"/>
        <w:left w:val="none" w:sz="0" w:space="0" w:color="auto"/>
        <w:bottom w:val="none" w:sz="0" w:space="0" w:color="auto"/>
        <w:right w:val="none" w:sz="0" w:space="0" w:color="auto"/>
      </w:divBdr>
    </w:div>
    <w:div w:id="1226646829">
      <w:bodyDiv w:val="1"/>
      <w:marLeft w:val="0"/>
      <w:marRight w:val="0"/>
      <w:marTop w:val="0"/>
      <w:marBottom w:val="0"/>
      <w:divBdr>
        <w:top w:val="none" w:sz="0" w:space="0" w:color="auto"/>
        <w:left w:val="none" w:sz="0" w:space="0" w:color="auto"/>
        <w:bottom w:val="none" w:sz="0" w:space="0" w:color="auto"/>
        <w:right w:val="none" w:sz="0" w:space="0" w:color="auto"/>
      </w:divBdr>
    </w:div>
    <w:div w:id="1235818364">
      <w:bodyDiv w:val="1"/>
      <w:marLeft w:val="0"/>
      <w:marRight w:val="0"/>
      <w:marTop w:val="0"/>
      <w:marBottom w:val="0"/>
      <w:divBdr>
        <w:top w:val="none" w:sz="0" w:space="0" w:color="auto"/>
        <w:left w:val="none" w:sz="0" w:space="0" w:color="auto"/>
        <w:bottom w:val="none" w:sz="0" w:space="0" w:color="auto"/>
        <w:right w:val="none" w:sz="0" w:space="0" w:color="auto"/>
      </w:divBdr>
    </w:div>
    <w:div w:id="1253857066">
      <w:bodyDiv w:val="1"/>
      <w:marLeft w:val="0"/>
      <w:marRight w:val="0"/>
      <w:marTop w:val="0"/>
      <w:marBottom w:val="0"/>
      <w:divBdr>
        <w:top w:val="none" w:sz="0" w:space="0" w:color="auto"/>
        <w:left w:val="none" w:sz="0" w:space="0" w:color="auto"/>
        <w:bottom w:val="none" w:sz="0" w:space="0" w:color="auto"/>
        <w:right w:val="none" w:sz="0" w:space="0" w:color="auto"/>
      </w:divBdr>
    </w:div>
    <w:div w:id="1259950367">
      <w:bodyDiv w:val="1"/>
      <w:marLeft w:val="0"/>
      <w:marRight w:val="0"/>
      <w:marTop w:val="0"/>
      <w:marBottom w:val="0"/>
      <w:divBdr>
        <w:top w:val="none" w:sz="0" w:space="0" w:color="auto"/>
        <w:left w:val="none" w:sz="0" w:space="0" w:color="auto"/>
        <w:bottom w:val="none" w:sz="0" w:space="0" w:color="auto"/>
        <w:right w:val="none" w:sz="0" w:space="0" w:color="auto"/>
      </w:divBdr>
    </w:div>
    <w:div w:id="1357148379">
      <w:bodyDiv w:val="1"/>
      <w:marLeft w:val="0"/>
      <w:marRight w:val="0"/>
      <w:marTop w:val="0"/>
      <w:marBottom w:val="0"/>
      <w:divBdr>
        <w:top w:val="none" w:sz="0" w:space="0" w:color="auto"/>
        <w:left w:val="none" w:sz="0" w:space="0" w:color="auto"/>
        <w:bottom w:val="none" w:sz="0" w:space="0" w:color="auto"/>
        <w:right w:val="none" w:sz="0" w:space="0" w:color="auto"/>
      </w:divBdr>
    </w:div>
    <w:div w:id="1404376991">
      <w:bodyDiv w:val="1"/>
      <w:marLeft w:val="0"/>
      <w:marRight w:val="0"/>
      <w:marTop w:val="0"/>
      <w:marBottom w:val="0"/>
      <w:divBdr>
        <w:top w:val="none" w:sz="0" w:space="0" w:color="auto"/>
        <w:left w:val="none" w:sz="0" w:space="0" w:color="auto"/>
        <w:bottom w:val="none" w:sz="0" w:space="0" w:color="auto"/>
        <w:right w:val="none" w:sz="0" w:space="0" w:color="auto"/>
      </w:divBdr>
    </w:div>
    <w:div w:id="1457211888">
      <w:bodyDiv w:val="1"/>
      <w:marLeft w:val="0"/>
      <w:marRight w:val="0"/>
      <w:marTop w:val="0"/>
      <w:marBottom w:val="0"/>
      <w:divBdr>
        <w:top w:val="none" w:sz="0" w:space="0" w:color="auto"/>
        <w:left w:val="none" w:sz="0" w:space="0" w:color="auto"/>
        <w:bottom w:val="none" w:sz="0" w:space="0" w:color="auto"/>
        <w:right w:val="none" w:sz="0" w:space="0" w:color="auto"/>
      </w:divBdr>
    </w:div>
    <w:div w:id="1489635403">
      <w:bodyDiv w:val="1"/>
      <w:marLeft w:val="0"/>
      <w:marRight w:val="0"/>
      <w:marTop w:val="0"/>
      <w:marBottom w:val="0"/>
      <w:divBdr>
        <w:top w:val="none" w:sz="0" w:space="0" w:color="auto"/>
        <w:left w:val="none" w:sz="0" w:space="0" w:color="auto"/>
        <w:bottom w:val="none" w:sz="0" w:space="0" w:color="auto"/>
        <w:right w:val="none" w:sz="0" w:space="0" w:color="auto"/>
      </w:divBdr>
    </w:div>
    <w:div w:id="1616206087">
      <w:bodyDiv w:val="1"/>
      <w:marLeft w:val="0"/>
      <w:marRight w:val="0"/>
      <w:marTop w:val="0"/>
      <w:marBottom w:val="0"/>
      <w:divBdr>
        <w:top w:val="none" w:sz="0" w:space="0" w:color="auto"/>
        <w:left w:val="none" w:sz="0" w:space="0" w:color="auto"/>
        <w:bottom w:val="none" w:sz="0" w:space="0" w:color="auto"/>
        <w:right w:val="none" w:sz="0" w:space="0" w:color="auto"/>
      </w:divBdr>
    </w:div>
    <w:div w:id="1653754010">
      <w:bodyDiv w:val="1"/>
      <w:marLeft w:val="0"/>
      <w:marRight w:val="0"/>
      <w:marTop w:val="0"/>
      <w:marBottom w:val="0"/>
      <w:divBdr>
        <w:top w:val="none" w:sz="0" w:space="0" w:color="auto"/>
        <w:left w:val="none" w:sz="0" w:space="0" w:color="auto"/>
        <w:bottom w:val="none" w:sz="0" w:space="0" w:color="auto"/>
        <w:right w:val="none" w:sz="0" w:space="0" w:color="auto"/>
      </w:divBdr>
    </w:div>
    <w:div w:id="1658412593">
      <w:bodyDiv w:val="1"/>
      <w:marLeft w:val="0"/>
      <w:marRight w:val="0"/>
      <w:marTop w:val="0"/>
      <w:marBottom w:val="0"/>
      <w:divBdr>
        <w:top w:val="none" w:sz="0" w:space="0" w:color="auto"/>
        <w:left w:val="none" w:sz="0" w:space="0" w:color="auto"/>
        <w:bottom w:val="none" w:sz="0" w:space="0" w:color="auto"/>
        <w:right w:val="none" w:sz="0" w:space="0" w:color="auto"/>
      </w:divBdr>
    </w:div>
    <w:div w:id="1709529970">
      <w:bodyDiv w:val="1"/>
      <w:marLeft w:val="0"/>
      <w:marRight w:val="0"/>
      <w:marTop w:val="0"/>
      <w:marBottom w:val="0"/>
      <w:divBdr>
        <w:top w:val="none" w:sz="0" w:space="0" w:color="auto"/>
        <w:left w:val="none" w:sz="0" w:space="0" w:color="auto"/>
        <w:bottom w:val="none" w:sz="0" w:space="0" w:color="auto"/>
        <w:right w:val="none" w:sz="0" w:space="0" w:color="auto"/>
      </w:divBdr>
    </w:div>
    <w:div w:id="1820344738">
      <w:bodyDiv w:val="1"/>
      <w:marLeft w:val="0"/>
      <w:marRight w:val="0"/>
      <w:marTop w:val="0"/>
      <w:marBottom w:val="0"/>
      <w:divBdr>
        <w:top w:val="none" w:sz="0" w:space="0" w:color="auto"/>
        <w:left w:val="none" w:sz="0" w:space="0" w:color="auto"/>
        <w:bottom w:val="none" w:sz="0" w:space="0" w:color="auto"/>
        <w:right w:val="none" w:sz="0" w:space="0" w:color="auto"/>
      </w:divBdr>
    </w:div>
    <w:div w:id="1847790488">
      <w:bodyDiv w:val="1"/>
      <w:marLeft w:val="0"/>
      <w:marRight w:val="0"/>
      <w:marTop w:val="0"/>
      <w:marBottom w:val="0"/>
      <w:divBdr>
        <w:top w:val="none" w:sz="0" w:space="0" w:color="auto"/>
        <w:left w:val="none" w:sz="0" w:space="0" w:color="auto"/>
        <w:bottom w:val="none" w:sz="0" w:space="0" w:color="auto"/>
        <w:right w:val="none" w:sz="0" w:space="0" w:color="auto"/>
      </w:divBdr>
    </w:div>
    <w:div w:id="1977294130">
      <w:bodyDiv w:val="1"/>
      <w:marLeft w:val="0"/>
      <w:marRight w:val="0"/>
      <w:marTop w:val="0"/>
      <w:marBottom w:val="0"/>
      <w:divBdr>
        <w:top w:val="none" w:sz="0" w:space="0" w:color="auto"/>
        <w:left w:val="none" w:sz="0" w:space="0" w:color="auto"/>
        <w:bottom w:val="none" w:sz="0" w:space="0" w:color="auto"/>
        <w:right w:val="none" w:sz="0" w:space="0" w:color="auto"/>
      </w:divBdr>
    </w:div>
    <w:div w:id="1977832083">
      <w:bodyDiv w:val="1"/>
      <w:marLeft w:val="0"/>
      <w:marRight w:val="0"/>
      <w:marTop w:val="0"/>
      <w:marBottom w:val="0"/>
      <w:divBdr>
        <w:top w:val="none" w:sz="0" w:space="0" w:color="auto"/>
        <w:left w:val="none" w:sz="0" w:space="0" w:color="auto"/>
        <w:bottom w:val="none" w:sz="0" w:space="0" w:color="auto"/>
        <w:right w:val="none" w:sz="0" w:space="0" w:color="auto"/>
      </w:divBdr>
    </w:div>
    <w:div w:id="2026977639">
      <w:bodyDiv w:val="1"/>
      <w:marLeft w:val="0"/>
      <w:marRight w:val="0"/>
      <w:marTop w:val="0"/>
      <w:marBottom w:val="0"/>
      <w:divBdr>
        <w:top w:val="none" w:sz="0" w:space="0" w:color="auto"/>
        <w:left w:val="none" w:sz="0" w:space="0" w:color="auto"/>
        <w:bottom w:val="none" w:sz="0" w:space="0" w:color="auto"/>
        <w:right w:val="none" w:sz="0" w:space="0" w:color="auto"/>
      </w:divBdr>
    </w:div>
    <w:div w:id="2069838367">
      <w:bodyDiv w:val="1"/>
      <w:marLeft w:val="0"/>
      <w:marRight w:val="0"/>
      <w:marTop w:val="0"/>
      <w:marBottom w:val="0"/>
      <w:divBdr>
        <w:top w:val="none" w:sz="0" w:space="0" w:color="auto"/>
        <w:left w:val="none" w:sz="0" w:space="0" w:color="auto"/>
        <w:bottom w:val="none" w:sz="0" w:space="0" w:color="auto"/>
        <w:right w:val="none" w:sz="0" w:space="0" w:color="auto"/>
      </w:divBdr>
    </w:div>
    <w:div w:id="2112623056">
      <w:bodyDiv w:val="1"/>
      <w:marLeft w:val="0"/>
      <w:marRight w:val="0"/>
      <w:marTop w:val="0"/>
      <w:marBottom w:val="0"/>
      <w:divBdr>
        <w:top w:val="none" w:sz="0" w:space="0" w:color="auto"/>
        <w:left w:val="none" w:sz="0" w:space="0" w:color="auto"/>
        <w:bottom w:val="none" w:sz="0" w:space="0" w:color="auto"/>
        <w:right w:val="none" w:sz="0" w:space="0" w:color="auto"/>
      </w:divBdr>
    </w:div>
    <w:div w:id="2117867531">
      <w:bodyDiv w:val="1"/>
      <w:marLeft w:val="0"/>
      <w:marRight w:val="0"/>
      <w:marTop w:val="0"/>
      <w:marBottom w:val="0"/>
      <w:divBdr>
        <w:top w:val="none" w:sz="0" w:space="0" w:color="auto"/>
        <w:left w:val="none" w:sz="0" w:space="0" w:color="auto"/>
        <w:bottom w:val="none" w:sz="0" w:space="0" w:color="auto"/>
        <w:right w:val="none" w:sz="0" w:space="0" w:color="auto"/>
      </w:divBdr>
    </w:div>
    <w:div w:id="2129660924">
      <w:bodyDiv w:val="1"/>
      <w:marLeft w:val="0"/>
      <w:marRight w:val="0"/>
      <w:marTop w:val="0"/>
      <w:marBottom w:val="0"/>
      <w:divBdr>
        <w:top w:val="none" w:sz="0" w:space="0" w:color="auto"/>
        <w:left w:val="none" w:sz="0" w:space="0" w:color="auto"/>
        <w:bottom w:val="none" w:sz="0" w:space="0" w:color="auto"/>
        <w:right w:val="none" w:sz="0" w:space="0" w:color="auto"/>
      </w:divBdr>
    </w:div>
    <w:div w:id="21306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2FABE4D-D594-46DF-97AC-70019BF5EC36}"/>
</file>

<file path=customXml/itemProps2.xml><?xml version="1.0" encoding="utf-8"?>
<ds:datastoreItem xmlns:ds="http://schemas.openxmlformats.org/officeDocument/2006/customXml" ds:itemID="{DBF3FE58-2255-4A70-8E5A-21F512AA3E53}"/>
</file>

<file path=customXml/itemProps3.xml><?xml version="1.0" encoding="utf-8"?>
<ds:datastoreItem xmlns:ds="http://schemas.openxmlformats.org/officeDocument/2006/customXml" ds:itemID="{A9D2B7E3-7E0C-42D2-8CC3-04347513D9EC}"/>
</file>

<file path=customXml/itemProps4.xml><?xml version="1.0" encoding="utf-8"?>
<ds:datastoreItem xmlns:ds="http://schemas.openxmlformats.org/officeDocument/2006/customXml" ds:itemID="{FEE69CCF-FEC6-4A14-A728-169AF0E079B0}"/>
</file>

<file path=docProps/app.xml><?xml version="1.0" encoding="utf-8"?>
<Properties xmlns="http://schemas.openxmlformats.org/officeDocument/2006/extended-properties" xmlns:vt="http://schemas.openxmlformats.org/officeDocument/2006/docPropsVTypes">
  <Template>Normal.dotm</Template>
  <TotalTime>0</TotalTime>
  <Pages>21</Pages>
  <Words>4755</Words>
  <Characters>26586</Characters>
  <Application>Microsoft Office Word</Application>
  <DocSecurity>0</DocSecurity>
  <Lines>221</Lines>
  <Paragraphs>62</Paragraphs>
  <ScaleCrop>false</ScaleCrop>
  <Company/>
  <LinksUpToDate>false</LinksUpToDate>
  <CharactersWithSpaces>31279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2016-04-07T16:35:00Z</dcterms:created>
  <dcterms:modified xsi:type="dcterms:W3CDTF">2016-04-07T16:35:00Z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