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olors3.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36A" w:rsidRDefault="00FD536A">
      <w:pPr>
        <w:ind w:right="720"/>
        <w:jc w:val="center"/>
        <w:rPr>
          <w:b/>
          <w:bCs/>
          <w:sz w:val="24"/>
          <w:szCs w:val="24"/>
        </w:rPr>
      </w:pPr>
      <w:r>
        <w:rPr>
          <w:b/>
          <w:bCs/>
          <w:sz w:val="24"/>
          <w:szCs w:val="24"/>
        </w:rPr>
        <w:t>AVISTA CORP.</w:t>
      </w:r>
    </w:p>
    <w:p w:rsidR="00FD536A" w:rsidRDefault="00FD536A">
      <w:pPr>
        <w:pStyle w:val="Heading3"/>
      </w:pPr>
      <w:r>
        <w:t>RESPONSE TO REQUEST FOR INFORMATION</w:t>
      </w:r>
    </w:p>
    <w:p w:rsidR="00FD536A" w:rsidRDefault="00FD536A">
      <w:pPr>
        <w:jc w:val="center"/>
        <w:rPr>
          <w:b/>
          <w:bCs/>
          <w:sz w:val="24"/>
          <w:szCs w:val="24"/>
        </w:rPr>
      </w:pPr>
    </w:p>
    <w:p w:rsidR="00FD536A" w:rsidRDefault="00FD536A" w:rsidP="0040408A">
      <w:pPr>
        <w:pStyle w:val="Heading1"/>
        <w:tabs>
          <w:tab w:val="clear" w:pos="4320"/>
          <w:tab w:val="left" w:pos="5040"/>
        </w:tabs>
      </w:pPr>
      <w:r>
        <w:t>JURISDICTION:</w:t>
      </w:r>
      <w:r>
        <w:tab/>
      </w:r>
      <w:r w:rsidR="00E64D12">
        <w:t>W</w:t>
      </w:r>
      <w:r w:rsidR="00AA791F">
        <w:t>ASHINGTON</w:t>
      </w:r>
      <w:r>
        <w:tab/>
        <w:t>DATE PREPARED:</w:t>
      </w:r>
      <w:r>
        <w:tab/>
      </w:r>
      <w:r w:rsidR="004B7780">
        <w:t>0</w:t>
      </w:r>
      <w:r w:rsidR="00606575">
        <w:t>6/0</w:t>
      </w:r>
      <w:r w:rsidR="00CB7A56">
        <w:t>9</w:t>
      </w:r>
      <w:r w:rsidR="00A43B06">
        <w:t>/201</w:t>
      </w:r>
      <w:r w:rsidR="004B7780">
        <w:t>6</w:t>
      </w:r>
    </w:p>
    <w:p w:rsidR="00FD536A" w:rsidRDefault="00FD536A" w:rsidP="0040408A">
      <w:pPr>
        <w:pStyle w:val="Heading1"/>
        <w:tabs>
          <w:tab w:val="clear" w:pos="4320"/>
          <w:tab w:val="left" w:pos="5040"/>
        </w:tabs>
      </w:pPr>
      <w:r>
        <w:t>CASE NO</w:t>
      </w:r>
      <w:r w:rsidR="0040408A">
        <w:t>.</w:t>
      </w:r>
      <w:r>
        <w:t>:</w:t>
      </w:r>
      <w:r>
        <w:tab/>
      </w:r>
      <w:r w:rsidR="006A6CF9">
        <w:t>UE-1</w:t>
      </w:r>
      <w:r w:rsidR="00103567">
        <w:t>6</w:t>
      </w:r>
      <w:r w:rsidR="00A43B06">
        <w:t>02</w:t>
      </w:r>
      <w:r w:rsidR="00103567">
        <w:t>28</w:t>
      </w:r>
      <w:r w:rsidR="006A6CF9">
        <w:t xml:space="preserve"> &amp; UG-1</w:t>
      </w:r>
      <w:r w:rsidR="00103567">
        <w:t>6</w:t>
      </w:r>
      <w:r w:rsidR="00A43B06">
        <w:t>02</w:t>
      </w:r>
      <w:r w:rsidR="00103567">
        <w:t>29</w:t>
      </w:r>
      <w:r>
        <w:tab/>
        <w:t>WITNESS:</w:t>
      </w:r>
      <w:r>
        <w:tab/>
      </w:r>
      <w:r w:rsidR="00F731E6">
        <w:tab/>
      </w:r>
      <w:r w:rsidR="00F731E6">
        <w:tab/>
      </w:r>
      <w:r w:rsidR="000E5BEB">
        <w:t>Heather L. Rosentrater</w:t>
      </w:r>
    </w:p>
    <w:p w:rsidR="001004DE" w:rsidRDefault="00C73FA6" w:rsidP="00C8163B">
      <w:pPr>
        <w:pStyle w:val="Heading1"/>
        <w:tabs>
          <w:tab w:val="clear" w:pos="4320"/>
          <w:tab w:val="left" w:pos="5040"/>
        </w:tabs>
        <w:ind w:right="-828"/>
      </w:pPr>
      <w:r>
        <w:t>REQUESTER:</w:t>
      </w:r>
      <w:r>
        <w:tab/>
      </w:r>
      <w:r w:rsidR="00022230">
        <w:t>Public Counsel</w:t>
      </w:r>
      <w:r w:rsidR="0040408A">
        <w:t>/Energy Project</w:t>
      </w:r>
      <w:r w:rsidR="00FD536A">
        <w:tab/>
        <w:t>RESPONDER:</w:t>
      </w:r>
      <w:r w:rsidR="00FD536A">
        <w:tab/>
      </w:r>
      <w:r w:rsidR="009F609F">
        <w:t>Curt Kirkeby</w:t>
      </w:r>
      <w:r w:rsidR="000E5BEB" w:rsidRPr="009F609F">
        <w:t xml:space="preserve"> </w:t>
      </w:r>
      <w:r w:rsidR="000E5BEB">
        <w:t xml:space="preserve">/ </w:t>
      </w:r>
      <w:r w:rsidR="009F609F">
        <w:t xml:space="preserve">L. </w:t>
      </w:r>
      <w:r w:rsidR="00FB5ABF">
        <w:t>La Bolle</w:t>
      </w:r>
    </w:p>
    <w:p w:rsidR="001004DE" w:rsidRDefault="00FD536A" w:rsidP="00C8163B">
      <w:pPr>
        <w:pStyle w:val="Heading1"/>
        <w:tabs>
          <w:tab w:val="clear" w:pos="4320"/>
          <w:tab w:val="left" w:pos="5040"/>
        </w:tabs>
        <w:ind w:right="-648"/>
      </w:pPr>
      <w:r>
        <w:t>TYPE:</w:t>
      </w:r>
      <w:r>
        <w:tab/>
        <w:t>Data Request</w:t>
      </w:r>
      <w:r>
        <w:tab/>
        <w:t>DEPT:</w:t>
      </w:r>
      <w:r>
        <w:tab/>
      </w:r>
      <w:r w:rsidR="00941853">
        <w:tab/>
      </w:r>
      <w:r w:rsidR="00941853">
        <w:tab/>
      </w:r>
      <w:r w:rsidR="00FB5ABF">
        <w:t>State &amp; Federal Regulation</w:t>
      </w:r>
    </w:p>
    <w:p w:rsidR="00FD536A" w:rsidRDefault="001004DE" w:rsidP="0040408A">
      <w:pPr>
        <w:pStyle w:val="Heading1"/>
        <w:tabs>
          <w:tab w:val="clear" w:pos="4320"/>
          <w:tab w:val="left" w:pos="5040"/>
        </w:tabs>
      </w:pPr>
      <w:r>
        <w:t>R</w:t>
      </w:r>
      <w:r w:rsidR="00FD536A">
        <w:t>EQUEST NO.</w:t>
      </w:r>
      <w:r w:rsidR="00FD536A" w:rsidRPr="008E3932">
        <w:t>:</w:t>
      </w:r>
      <w:r w:rsidR="008E3932" w:rsidRPr="008E3932">
        <w:tab/>
      </w:r>
      <w:r w:rsidR="000668AD">
        <w:t>PC</w:t>
      </w:r>
      <w:r w:rsidR="0040408A">
        <w:t>/EP</w:t>
      </w:r>
      <w:r w:rsidR="000668AD">
        <w:t xml:space="preserve"> – </w:t>
      </w:r>
      <w:r w:rsidR="00A43B06">
        <w:t>0</w:t>
      </w:r>
      <w:r w:rsidR="009F609F">
        <w:t>61</w:t>
      </w:r>
      <w:r w:rsidR="00606575">
        <w:t xml:space="preserve"> - Revised</w:t>
      </w:r>
      <w:r w:rsidR="004A7704">
        <w:tab/>
      </w:r>
      <w:r w:rsidR="00FD536A">
        <w:t>TELEPHONE:</w:t>
      </w:r>
      <w:r w:rsidR="00FD536A">
        <w:tab/>
        <w:t>(509) 495-</w:t>
      </w:r>
      <w:r w:rsidR="00FB5ABF">
        <w:t>4710</w:t>
      </w:r>
    </w:p>
    <w:p w:rsidR="00FD536A" w:rsidRDefault="00AA791F" w:rsidP="00C8163B">
      <w:pPr>
        <w:tabs>
          <w:tab w:val="left" w:pos="1890"/>
          <w:tab w:val="left" w:pos="5040"/>
          <w:tab w:val="left" w:pos="6480"/>
        </w:tabs>
        <w:ind w:right="-558"/>
        <w:rPr>
          <w:sz w:val="24"/>
          <w:szCs w:val="24"/>
        </w:rPr>
      </w:pPr>
      <w:r>
        <w:rPr>
          <w:sz w:val="24"/>
          <w:szCs w:val="24"/>
        </w:rPr>
        <w:tab/>
      </w:r>
      <w:r>
        <w:rPr>
          <w:sz w:val="24"/>
          <w:szCs w:val="24"/>
        </w:rPr>
        <w:tab/>
        <w:t>EMAIL:</w:t>
      </w:r>
      <w:r>
        <w:rPr>
          <w:sz w:val="24"/>
          <w:szCs w:val="24"/>
        </w:rPr>
        <w:tab/>
      </w:r>
      <w:r w:rsidR="00941853">
        <w:rPr>
          <w:sz w:val="24"/>
          <w:szCs w:val="24"/>
        </w:rPr>
        <w:tab/>
      </w:r>
      <w:r w:rsidR="00FB5ABF">
        <w:rPr>
          <w:sz w:val="24"/>
          <w:szCs w:val="24"/>
        </w:rPr>
        <w:t>larry.labolle</w:t>
      </w:r>
      <w:r w:rsidR="00417AA4">
        <w:rPr>
          <w:sz w:val="24"/>
          <w:szCs w:val="24"/>
        </w:rPr>
        <w:t>@avistacorp.com</w:t>
      </w:r>
    </w:p>
    <w:p w:rsidR="000E629D" w:rsidRDefault="000E629D">
      <w:pPr>
        <w:tabs>
          <w:tab w:val="left" w:pos="1890"/>
          <w:tab w:val="left" w:pos="4320"/>
          <w:tab w:val="left" w:pos="6480"/>
        </w:tabs>
        <w:rPr>
          <w:sz w:val="24"/>
          <w:szCs w:val="24"/>
        </w:rPr>
      </w:pPr>
    </w:p>
    <w:p w:rsidR="003E2A56" w:rsidRPr="00EA2661" w:rsidRDefault="00FD536A" w:rsidP="00555801">
      <w:pPr>
        <w:ind w:left="1440" w:hanging="1440"/>
        <w:rPr>
          <w:sz w:val="24"/>
        </w:rPr>
      </w:pPr>
      <w:r>
        <w:rPr>
          <w:b/>
          <w:bCs/>
          <w:sz w:val="24"/>
          <w:szCs w:val="24"/>
        </w:rPr>
        <w:t>REQUEST:</w:t>
      </w:r>
      <w:r w:rsidR="005C2774" w:rsidRPr="005C2774">
        <w:rPr>
          <w:b/>
        </w:rPr>
        <w:t xml:space="preserve"> </w:t>
      </w:r>
      <w:r w:rsidR="00B131FC">
        <w:t xml:space="preserve"> </w:t>
      </w:r>
    </w:p>
    <w:p w:rsidR="00FD536A" w:rsidRPr="00800AEF" w:rsidRDefault="00FD536A" w:rsidP="00AB61A4">
      <w:pPr>
        <w:jc w:val="both"/>
        <w:rPr>
          <w:b/>
          <w:bCs/>
          <w:sz w:val="16"/>
          <w:szCs w:val="24"/>
        </w:rPr>
      </w:pPr>
    </w:p>
    <w:p w:rsidR="009F609F" w:rsidRPr="00800AEF" w:rsidRDefault="009F609F" w:rsidP="00982202">
      <w:pPr>
        <w:jc w:val="both"/>
        <w:rPr>
          <w:sz w:val="24"/>
        </w:rPr>
      </w:pPr>
      <w:r w:rsidRPr="00800AEF">
        <w:rPr>
          <w:sz w:val="24"/>
        </w:rPr>
        <w:t>With regard to Public Counsel and The Energy Project Joint Data Request No. 29, provide any studies relied upon by Avista for these estimated conservation results for each of the scenarios included in the CVR business case, whether done internally or by other utilities.</w:t>
      </w:r>
    </w:p>
    <w:p w:rsidR="006045D3" w:rsidRDefault="006045D3" w:rsidP="00982202">
      <w:pPr>
        <w:tabs>
          <w:tab w:val="left" w:pos="1890"/>
          <w:tab w:val="left" w:pos="4320"/>
          <w:tab w:val="left" w:pos="6480"/>
        </w:tabs>
        <w:jc w:val="both"/>
        <w:rPr>
          <w:b/>
          <w:sz w:val="24"/>
          <w:szCs w:val="24"/>
        </w:rPr>
      </w:pPr>
    </w:p>
    <w:p w:rsidR="00C8163B" w:rsidRPr="00A43B06" w:rsidRDefault="00C8163B" w:rsidP="00A43B06">
      <w:pPr>
        <w:tabs>
          <w:tab w:val="left" w:pos="1890"/>
          <w:tab w:val="left" w:pos="4320"/>
          <w:tab w:val="left" w:pos="6480"/>
        </w:tabs>
        <w:jc w:val="both"/>
        <w:rPr>
          <w:b/>
          <w:sz w:val="24"/>
          <w:szCs w:val="24"/>
        </w:rPr>
      </w:pPr>
    </w:p>
    <w:p w:rsidR="00D40664" w:rsidRDefault="00FD536A" w:rsidP="000E629D">
      <w:pPr>
        <w:tabs>
          <w:tab w:val="left" w:pos="1890"/>
          <w:tab w:val="left" w:pos="4320"/>
          <w:tab w:val="left" w:pos="6480"/>
        </w:tabs>
        <w:jc w:val="both"/>
        <w:rPr>
          <w:b/>
          <w:sz w:val="24"/>
          <w:szCs w:val="24"/>
        </w:rPr>
      </w:pPr>
      <w:r w:rsidRPr="000E629D">
        <w:rPr>
          <w:b/>
          <w:sz w:val="24"/>
          <w:szCs w:val="24"/>
        </w:rPr>
        <w:t>RESPONSE:</w:t>
      </w:r>
    </w:p>
    <w:p w:rsidR="00994914" w:rsidRPr="00115C87" w:rsidRDefault="00994914" w:rsidP="00E144D7">
      <w:pPr>
        <w:autoSpaceDE/>
        <w:autoSpaceDN/>
        <w:jc w:val="both"/>
        <w:rPr>
          <w:sz w:val="32"/>
          <w:szCs w:val="24"/>
        </w:rPr>
      </w:pPr>
    </w:p>
    <w:p w:rsidR="005729E2" w:rsidRDefault="005729E2" w:rsidP="005729E2">
      <w:pPr>
        <w:autoSpaceDE/>
        <w:autoSpaceDN/>
        <w:jc w:val="both"/>
        <w:rPr>
          <w:sz w:val="24"/>
          <w:szCs w:val="24"/>
        </w:rPr>
      </w:pPr>
      <w:r>
        <w:rPr>
          <w:sz w:val="24"/>
          <w:szCs w:val="24"/>
        </w:rPr>
        <w:t>As noted in the Company’s responses to PC/EP DR-028, 030, 059, and elsewhere, the concept of achieving energy savings for our customers through conservation voltage reduction was proven in Avista’s Smart Grid Projects, and the accuracy of the Company’s approach to measuring the energy savings expected to be achieved was confirmed by an independent, third-party consultant (Navigant). In the study evaluated by Navigant, Avista used smart devices located at midpoints</w:t>
      </w:r>
      <w:r>
        <w:rPr>
          <w:rStyle w:val="FootnoteReference"/>
          <w:sz w:val="24"/>
          <w:szCs w:val="24"/>
        </w:rPr>
        <w:footnoteReference w:id="1"/>
      </w:r>
      <w:r>
        <w:rPr>
          <w:sz w:val="24"/>
          <w:szCs w:val="24"/>
        </w:rPr>
        <w:t xml:space="preserve"> on the feeders to provide the voltage readings used in determining the level of the voltage reduction that could be achieved (2.02% on average). This configuration of endpoints accounts for the fact that the actual voltage at each customer’s service </w:t>
      </w:r>
      <w:r w:rsidRPr="009063D2">
        <w:rPr>
          <w:sz w:val="24"/>
          <w:szCs w:val="24"/>
          <w:u w:val="single"/>
        </w:rPr>
        <w:t>is not known</w:t>
      </w:r>
      <w:r>
        <w:rPr>
          <w:sz w:val="24"/>
          <w:szCs w:val="24"/>
        </w:rPr>
        <w:t>, so the remaining voltage buffer</w:t>
      </w:r>
      <w:r>
        <w:rPr>
          <w:rStyle w:val="FootnoteReference"/>
          <w:sz w:val="24"/>
          <w:szCs w:val="24"/>
        </w:rPr>
        <w:footnoteReference w:id="2"/>
      </w:r>
      <w:r>
        <w:rPr>
          <w:sz w:val="24"/>
          <w:szCs w:val="24"/>
        </w:rPr>
        <w:t xml:space="preserve"> must still be large enough to account for this uncertainty while ensuring we meet our minimum voltage requirements.</w:t>
      </w:r>
    </w:p>
    <w:p w:rsidR="005729E2" w:rsidRDefault="005729E2" w:rsidP="005729E2">
      <w:pPr>
        <w:autoSpaceDE/>
        <w:autoSpaceDN/>
        <w:jc w:val="both"/>
        <w:rPr>
          <w:sz w:val="24"/>
          <w:szCs w:val="24"/>
        </w:rPr>
      </w:pPr>
    </w:p>
    <w:p w:rsidR="005729E2" w:rsidRDefault="005729E2" w:rsidP="005729E2">
      <w:pPr>
        <w:autoSpaceDE/>
        <w:autoSpaceDN/>
        <w:jc w:val="both"/>
        <w:rPr>
          <w:sz w:val="24"/>
          <w:szCs w:val="24"/>
        </w:rPr>
      </w:pPr>
      <w:r>
        <w:rPr>
          <w:sz w:val="24"/>
          <w:szCs w:val="24"/>
        </w:rPr>
        <w:t xml:space="preserve">With advanced metering, the endpoints consist of the actual voltage levels measured at every customer’s service on the feeder. In this configuration, there is </w:t>
      </w:r>
      <w:r w:rsidRPr="00A9225C">
        <w:rPr>
          <w:sz w:val="24"/>
          <w:szCs w:val="24"/>
        </w:rPr>
        <w:t>little uncertainty</w:t>
      </w:r>
      <w:r>
        <w:rPr>
          <w:sz w:val="24"/>
          <w:szCs w:val="24"/>
        </w:rPr>
        <w:t xml:space="preserve"> in the voltage level being delivered to each customer. For its 2015 business case for the Washington advanced metering project, Avista conservatively judged that it could use voltage readings from the advanced meters to further lower the voltage on the feeder by 0.5% (in addition to the 2% already reduced, as noted above). For its current business case, the Company used its advanced metering system in Pullman to model the additional savings</w:t>
      </w:r>
      <w:r>
        <w:rPr>
          <w:rStyle w:val="FootnoteReference"/>
          <w:sz w:val="24"/>
          <w:szCs w:val="24"/>
        </w:rPr>
        <w:footnoteReference w:id="3"/>
      </w:r>
      <w:r>
        <w:rPr>
          <w:sz w:val="24"/>
          <w:szCs w:val="24"/>
        </w:rPr>
        <w:t xml:space="preserve"> that could be achieved by relying on voltage readings taken at each customer’s service as the basis for further lowering the voltage on the feeder, while still maintaining the required minimum voltage.</w:t>
      </w:r>
    </w:p>
    <w:p w:rsidR="005729E2" w:rsidRDefault="005729E2" w:rsidP="005729E2">
      <w:pPr>
        <w:autoSpaceDE/>
        <w:autoSpaceDN/>
        <w:jc w:val="both"/>
        <w:rPr>
          <w:sz w:val="24"/>
          <w:szCs w:val="24"/>
        </w:rPr>
      </w:pPr>
    </w:p>
    <w:p w:rsidR="005729E2" w:rsidRDefault="005729E2" w:rsidP="005729E2">
      <w:pPr>
        <w:autoSpaceDE/>
        <w:autoSpaceDN/>
        <w:jc w:val="both"/>
        <w:rPr>
          <w:sz w:val="24"/>
          <w:szCs w:val="24"/>
        </w:rPr>
      </w:pPr>
      <w:r>
        <w:rPr>
          <w:sz w:val="24"/>
          <w:szCs w:val="24"/>
        </w:rPr>
        <w:t xml:space="preserve">To verify the additional Conservation Voltage Reduction (CVR) savings enabled by advanced metering, Avista measured and recorded actual voltage levels taken at each customer’s service on each feeder during periods of time when the conservation voltage operation was enabled or “turned on,” and in periods when the conservation voltage operation was not engaged or “turned off.” The </w:t>
      </w:r>
      <w:r>
        <w:rPr>
          <w:sz w:val="24"/>
          <w:szCs w:val="24"/>
        </w:rPr>
        <w:lastRenderedPageBreak/>
        <w:t>Company applied two levels of conservation voltage reduction to the feeders during this evaluation: the first level reduced the feeder set-point voltage by 2 volts (attained by using only feeder regulator and midline voltage readings), and the second level reduced the feeder set-point voltage by an additional increment of 2 volts (relying on the actual voltage levels at each customer’s service, as provided by the advanced metering system). Through this work, Avista determined that the additional average voltage reduction it could achieve through the deployment of advanced metering was 2%.</w:t>
      </w:r>
    </w:p>
    <w:p w:rsidR="0077744B" w:rsidRDefault="0077744B" w:rsidP="00502EFF">
      <w:pPr>
        <w:autoSpaceDE/>
        <w:autoSpaceDN/>
        <w:jc w:val="both"/>
        <w:rPr>
          <w:sz w:val="24"/>
          <w:szCs w:val="24"/>
        </w:rPr>
      </w:pPr>
    </w:p>
    <w:p w:rsidR="005729E2" w:rsidRDefault="005729E2" w:rsidP="005729E2">
      <w:pPr>
        <w:autoSpaceDE/>
        <w:autoSpaceDN/>
        <w:jc w:val="both"/>
        <w:rPr>
          <w:sz w:val="24"/>
          <w:szCs w:val="24"/>
        </w:rPr>
      </w:pPr>
      <w:r>
        <w:rPr>
          <w:sz w:val="24"/>
          <w:szCs w:val="24"/>
        </w:rPr>
        <w:t>Results of these conservation voltage trials are provided in PC/EP DR-061 Revised Attachment A. The feeder tab labeled “TUR117” contains the voltage readings measured at every customer’s service at five minute intervals under the two levels of conservation voltage reduction (set-point reductions of 2 volts and 4 volts). The voltage readings in column B were taken during the evaluation of the 2-volt reduction during periods when the CVR operation was enabled, or “turned on,” and in periods when the CVR operation was not engaged, or “turned off.” The voltage readings in column C were recorded during the period when the additional 2 volt reduction (4 volt total) was enabled. The chart below shows the distribution of voltage readings during the 2 volt conservation voltage reduction. The peak on the left represents the predominant customer voltages with CVR turned off,</w:t>
      </w:r>
      <w:r w:rsidRPr="00BF3A3A">
        <w:rPr>
          <w:rStyle w:val="FootnoteReference"/>
          <w:sz w:val="24"/>
          <w:szCs w:val="24"/>
        </w:rPr>
        <w:t xml:space="preserve"> </w:t>
      </w:r>
      <w:r>
        <w:rPr>
          <w:rStyle w:val="FootnoteReference"/>
          <w:sz w:val="24"/>
          <w:szCs w:val="24"/>
        </w:rPr>
        <w:footnoteReference w:id="4"/>
      </w:r>
      <w:r>
        <w:rPr>
          <w:sz w:val="24"/>
          <w:szCs w:val="24"/>
        </w:rPr>
        <w:t xml:space="preserve">  and the peak to right, represents the predominant voltages at each customer’s service with the CVR operation turned on.</w:t>
      </w:r>
    </w:p>
    <w:p w:rsidR="005423BB" w:rsidRDefault="005423BB" w:rsidP="00502EFF">
      <w:pPr>
        <w:autoSpaceDE/>
        <w:autoSpaceDN/>
        <w:jc w:val="both"/>
        <w:rPr>
          <w:sz w:val="24"/>
          <w:szCs w:val="24"/>
        </w:rPr>
      </w:pPr>
    </w:p>
    <w:p w:rsidR="00E144D7" w:rsidRDefault="00E144D7" w:rsidP="00502EFF">
      <w:pPr>
        <w:autoSpaceDE/>
        <w:autoSpaceDN/>
        <w:jc w:val="both"/>
        <w:rPr>
          <w:sz w:val="24"/>
          <w:szCs w:val="24"/>
        </w:rPr>
      </w:pPr>
    </w:p>
    <w:p w:rsidR="005423BB" w:rsidRDefault="005C4705" w:rsidP="005C4705">
      <w:pPr>
        <w:autoSpaceDE/>
        <w:autoSpaceDN/>
        <w:ind w:left="630"/>
        <w:jc w:val="both"/>
        <w:rPr>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1338844</wp:posOffset>
                </wp:positionH>
                <wp:positionV relativeFrom="paragraph">
                  <wp:posOffset>1025743</wp:posOffset>
                </wp:positionV>
                <wp:extent cx="129379" cy="286603"/>
                <wp:effectExtent l="38100" t="0" r="23495" b="56515"/>
                <wp:wrapNone/>
                <wp:docPr id="2" name="Straight Arrow Connector 2"/>
                <wp:cNvGraphicFramePr/>
                <a:graphic xmlns:a="http://schemas.openxmlformats.org/drawingml/2006/main">
                  <a:graphicData uri="http://schemas.microsoft.com/office/word/2010/wordprocessingShape">
                    <wps:wsp>
                      <wps:cNvCnPr/>
                      <wps:spPr>
                        <a:xfrm flipH="1">
                          <a:off x="0" y="0"/>
                          <a:ext cx="129379" cy="286603"/>
                        </a:xfrm>
                        <a:prstGeom prst="straightConnector1">
                          <a:avLst/>
                        </a:prstGeom>
                        <a:ln w="222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7DB2B3" id="_x0000_t32" coordsize="21600,21600" o:spt="32" o:oned="t" path="m,l21600,21600e" filled="f">
                <v:path arrowok="t" fillok="f" o:connecttype="none"/>
                <o:lock v:ext="edit" shapetype="t"/>
              </v:shapetype>
              <v:shape id="Straight Arrow Connector 2" o:spid="_x0000_s1026" type="#_x0000_t32" style="position:absolute;margin-left:105.4pt;margin-top:80.75pt;width:10.2pt;height:22.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fh+QEAAEsEAAAOAAAAZHJzL2Uyb0RvYy54bWysVNuO0zAUfEfiHyy/06RZUXajpivUZeEB&#10;QcXufoDr2Ikl33RsmvTvOXbSLDcJgciDFcdnZs5MTrK9HY0mJwFBOdvQ9aqkRFjuWmW7hj493r+6&#10;piREZlumnRUNPYtAb3cvX2wHX4vK9U63AgiS2FAPvqF9jL4uisB7YVhYOS8sHkoHhkXcQle0wAZk&#10;N7qoynJTDA5aD46LEPDp3XRId5lfSsHjZymDiEQ3FHuLeYW8HtNa7Las7oD5XvG5DfYPXRimLIou&#10;VHcsMvIV1C9URnFwwcm44s4UTkrFRfaAbtblT24eeuZF9oLhBL/EFP4fLf90OgBRbUMrSiwz+Ioe&#10;IjDV9ZG8BXAD2TtrMUYHpEppDT7UCNrbA8y74A+QrI8SDJFa+Q84CDkMtEfGnPV5yVqMkXB8uK5u&#10;rt7cUMLxqLrebMqrxF5MNInOQ4jvhTMk3TQ0zF0t7UwS7PQxxAl4ASSwtmRAXrxe506C06q9V1qn&#10;wzxcYq+BnBiOxbFbz9I/VEWm9Dvbknj2GEoExWynxVypLfaaopjM57t41mLS/iIkRppMTuJpmJ/1&#10;GOfCxoumtlidYBK7W4Dln4FzfYKKPOh/A14QWdnZuICNsg5+px7HS8tyqr8kMPlOERxde85jkaPB&#10;ic0vdP660ifx/T7Dn/8Bu28AAAD//wMAUEsDBBQABgAIAAAAIQD03ljW3gAAAAsBAAAPAAAAZHJz&#10;L2Rvd25yZXYueG1sTI9BS8QwEIXvgv8hjOBF3KQRi3SbLiJ4W1g2evCYbbJtMZmUJtt2/73jSW9v&#10;eI/3vql3a/BsdlMaIiooNgKYwzbaATsFnx/vjy/AUjZojY/oFFxdgl1ze1ObysYFj27WuWNUgqky&#10;Cvqcx4rz1PYumLSJo0PyznEKJtM5ddxOZqHy4LkUouTBDEgLvRndW+/ab30JCmY97JFLrdcFzcPx&#10;qzvs/fWg1P3d+roFlt2a/8Lwi0/o0BDTKV7QJuYVyEIQeiajLJ6BUUI+FRLYiYQoS+BNzf//0PwA&#10;AAD//wMAUEsBAi0AFAAGAAgAAAAhALaDOJL+AAAA4QEAABMAAAAAAAAAAAAAAAAAAAAAAFtDb250&#10;ZW50X1R5cGVzXS54bWxQSwECLQAUAAYACAAAACEAOP0h/9YAAACUAQAACwAAAAAAAAAAAAAAAAAv&#10;AQAAX3JlbHMvLnJlbHNQSwECLQAUAAYACAAAACEAgh3H4fkBAABLBAAADgAAAAAAAAAAAAAAAAAu&#10;AgAAZHJzL2Uyb0RvYy54bWxQSwECLQAUAAYACAAAACEA9N5Y1t4AAAALAQAADwAAAAAAAAAAAAAA&#10;AABTBAAAZHJzL2Rvd25yZXYueG1sUEsFBgAAAAAEAAQA8wAAAF4FAAAAAA==&#10;" strokecolor="white [3212]" strokeweight="1.75pt">
                <v:stroke endarrow="block"/>
              </v:shape>
            </w:pict>
          </mc:Fallback>
        </mc:AlternateContent>
      </w:r>
      <w:r w:rsidR="003B63FD">
        <w:rPr>
          <w:noProof/>
        </w:rPr>
        <w:drawing>
          <wp:inline distT="0" distB="0" distL="0" distR="0" wp14:anchorId="5C191023" wp14:editId="40F79639">
            <wp:extent cx="5676900" cy="334370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02EFF" w:rsidRDefault="00502EFF" w:rsidP="00BF6C14">
      <w:pPr>
        <w:autoSpaceDE/>
        <w:autoSpaceDN/>
        <w:jc w:val="both"/>
        <w:rPr>
          <w:sz w:val="24"/>
          <w:szCs w:val="24"/>
        </w:rPr>
      </w:pPr>
    </w:p>
    <w:p w:rsidR="00502EFF" w:rsidRDefault="00502EFF" w:rsidP="00BF6C14">
      <w:pPr>
        <w:autoSpaceDE/>
        <w:autoSpaceDN/>
        <w:jc w:val="both"/>
        <w:rPr>
          <w:sz w:val="24"/>
          <w:szCs w:val="24"/>
        </w:rPr>
      </w:pPr>
    </w:p>
    <w:p w:rsidR="00502EFF" w:rsidRDefault="008F38DE" w:rsidP="00BF6C14">
      <w:pPr>
        <w:autoSpaceDE/>
        <w:autoSpaceDN/>
        <w:jc w:val="both"/>
        <w:rPr>
          <w:sz w:val="24"/>
          <w:szCs w:val="24"/>
        </w:rPr>
      </w:pPr>
      <w:r>
        <w:rPr>
          <w:sz w:val="24"/>
          <w:szCs w:val="24"/>
        </w:rPr>
        <w:t xml:space="preserve">The chart below shows the distribution of voltage readings during the additional 2 volt conservation voltage reduction (4 volts total). The peak on the left represents the predominant customer voltages with </w:t>
      </w:r>
      <w:r w:rsidR="005729E2">
        <w:rPr>
          <w:sz w:val="24"/>
          <w:szCs w:val="24"/>
        </w:rPr>
        <w:t>the initial 2 volt CVR turned on</w:t>
      </w:r>
      <w:r>
        <w:rPr>
          <w:sz w:val="24"/>
          <w:szCs w:val="24"/>
        </w:rPr>
        <w:t>,</w:t>
      </w:r>
      <w:r w:rsidR="005729E2">
        <w:rPr>
          <w:rStyle w:val="FootnoteReference"/>
          <w:sz w:val="24"/>
          <w:szCs w:val="24"/>
        </w:rPr>
        <w:footnoteReference w:id="5"/>
      </w:r>
      <w:r>
        <w:rPr>
          <w:sz w:val="24"/>
          <w:szCs w:val="24"/>
        </w:rPr>
        <w:t xml:space="preserve"> and the peak to right, represents the predominant customer service voltages with the </w:t>
      </w:r>
      <w:r w:rsidR="005729E2">
        <w:rPr>
          <w:sz w:val="24"/>
          <w:szCs w:val="24"/>
        </w:rPr>
        <w:t xml:space="preserve">additional 2 volt </w:t>
      </w:r>
      <w:r>
        <w:rPr>
          <w:sz w:val="24"/>
          <w:szCs w:val="24"/>
        </w:rPr>
        <w:t>CVR operation turned on.</w:t>
      </w:r>
    </w:p>
    <w:p w:rsidR="008F38DE" w:rsidRDefault="008F38DE" w:rsidP="00BF6C14">
      <w:pPr>
        <w:autoSpaceDE/>
        <w:autoSpaceDN/>
        <w:jc w:val="both"/>
        <w:rPr>
          <w:sz w:val="24"/>
          <w:szCs w:val="24"/>
        </w:rPr>
      </w:pPr>
    </w:p>
    <w:p w:rsidR="00851423" w:rsidRPr="008F38DE" w:rsidRDefault="008F38DE" w:rsidP="00147575">
      <w:pPr>
        <w:autoSpaceDE/>
        <w:autoSpaceDN/>
        <w:jc w:val="center"/>
        <w:rPr>
          <w:sz w:val="24"/>
          <w:szCs w:val="24"/>
        </w:rPr>
      </w:pPr>
      <w:r w:rsidRPr="008F38DE">
        <w:rPr>
          <w:rFonts w:asciiTheme="minorHAnsi" w:eastAsiaTheme="minorEastAsia" w:hAnsi="Calibri" w:cstheme="minorBidi"/>
          <w:color w:val="FFFFFF" w:themeColor="background1"/>
          <w:sz w:val="24"/>
          <w:szCs w:val="24"/>
        </w:rPr>
        <w:t xml:space="preserve">Voltage Levels Taken at Each Customer's Service on the </w:t>
      </w:r>
    </w:p>
    <w:p w:rsidR="008F38DE" w:rsidRDefault="008F38DE" w:rsidP="008F38DE">
      <w:pPr>
        <w:autoSpaceDE/>
        <w:autoSpaceDN/>
        <w:ind w:left="630"/>
        <w:jc w:val="both"/>
        <w:rPr>
          <w:sz w:val="24"/>
          <w:szCs w:val="24"/>
        </w:rPr>
      </w:pPr>
      <w:bookmarkStart w:id="0" w:name="_GoBack"/>
      <w:r>
        <w:rPr>
          <w:noProof/>
        </w:rPr>
        <w:drawing>
          <wp:inline distT="0" distB="0" distL="0" distR="0" wp14:anchorId="7B09BCA4" wp14:editId="596ED216">
            <wp:extent cx="5725236" cy="3398293"/>
            <wp:effectExtent l="0" t="0" r="889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0"/>
    </w:p>
    <w:p w:rsidR="00147575" w:rsidRDefault="00147575" w:rsidP="00BF6C14">
      <w:pPr>
        <w:autoSpaceDE/>
        <w:autoSpaceDN/>
        <w:jc w:val="both"/>
        <w:rPr>
          <w:sz w:val="24"/>
          <w:szCs w:val="24"/>
        </w:rPr>
      </w:pPr>
    </w:p>
    <w:p w:rsidR="00147575" w:rsidRDefault="00147575" w:rsidP="00BF6C14">
      <w:pPr>
        <w:autoSpaceDE/>
        <w:autoSpaceDN/>
        <w:jc w:val="both"/>
        <w:rPr>
          <w:sz w:val="24"/>
          <w:szCs w:val="24"/>
        </w:rPr>
      </w:pPr>
    </w:p>
    <w:p w:rsidR="005729E2" w:rsidRDefault="005729E2" w:rsidP="005729E2">
      <w:pPr>
        <w:autoSpaceDE/>
        <w:autoSpaceDN/>
        <w:jc w:val="both"/>
        <w:rPr>
          <w:sz w:val="24"/>
          <w:szCs w:val="24"/>
        </w:rPr>
      </w:pPr>
      <w:r>
        <w:rPr>
          <w:sz w:val="24"/>
          <w:szCs w:val="24"/>
        </w:rPr>
        <w:t xml:space="preserve">The important part of this work is identifying the number of customers who experienced voltage levels during the tests that were below the minimum required of 114 volts. The chart below shows the number of individual customers who experienced low voltage levels during the tests on the feeder (TUR117), as described above. </w:t>
      </w:r>
    </w:p>
    <w:p w:rsidR="006810DD" w:rsidRDefault="006810DD" w:rsidP="00BF6C14">
      <w:pPr>
        <w:autoSpaceDE/>
        <w:autoSpaceDN/>
        <w:jc w:val="both"/>
        <w:rPr>
          <w:sz w:val="24"/>
          <w:szCs w:val="24"/>
        </w:rPr>
      </w:pPr>
    </w:p>
    <w:p w:rsidR="006810DD" w:rsidRDefault="006810DD" w:rsidP="00BF6C14">
      <w:pPr>
        <w:autoSpaceDE/>
        <w:autoSpaceDN/>
        <w:jc w:val="both"/>
        <w:rPr>
          <w:sz w:val="24"/>
          <w:szCs w:val="24"/>
        </w:rPr>
      </w:pPr>
    </w:p>
    <w:p w:rsidR="0062635B" w:rsidRDefault="0062635B" w:rsidP="0062635B">
      <w:pPr>
        <w:autoSpaceDE/>
        <w:autoSpaceDN/>
        <w:ind w:left="540"/>
        <w:jc w:val="both"/>
        <w:rPr>
          <w:sz w:val="24"/>
          <w:szCs w:val="24"/>
        </w:rPr>
      </w:pPr>
      <w:r>
        <w:rPr>
          <w:noProof/>
        </w:rPr>
        <w:drawing>
          <wp:inline distT="0" distB="0" distL="0" distR="0" wp14:anchorId="741163B0" wp14:editId="29B28E4B">
            <wp:extent cx="5772785" cy="3118513"/>
            <wp:effectExtent l="0" t="0" r="18415"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61C2" w:rsidRDefault="005561C2" w:rsidP="00BF6C14">
      <w:pPr>
        <w:autoSpaceDE/>
        <w:autoSpaceDN/>
        <w:jc w:val="both"/>
        <w:rPr>
          <w:sz w:val="24"/>
          <w:szCs w:val="24"/>
        </w:rPr>
      </w:pPr>
    </w:p>
    <w:p w:rsidR="002B6010" w:rsidRDefault="002B6010" w:rsidP="00BF6C14">
      <w:pPr>
        <w:autoSpaceDE/>
        <w:autoSpaceDN/>
        <w:jc w:val="both"/>
        <w:rPr>
          <w:sz w:val="24"/>
          <w:szCs w:val="24"/>
        </w:rPr>
      </w:pPr>
    </w:p>
    <w:p w:rsidR="00E144D7" w:rsidRDefault="00E144D7" w:rsidP="00BF6C14">
      <w:pPr>
        <w:autoSpaceDE/>
        <w:autoSpaceDN/>
        <w:jc w:val="both"/>
        <w:rPr>
          <w:sz w:val="24"/>
          <w:szCs w:val="24"/>
        </w:rPr>
      </w:pPr>
    </w:p>
    <w:p w:rsidR="005729E2" w:rsidRDefault="005729E2" w:rsidP="005729E2">
      <w:pPr>
        <w:autoSpaceDE/>
        <w:autoSpaceDN/>
        <w:jc w:val="both"/>
        <w:rPr>
          <w:sz w:val="24"/>
          <w:szCs w:val="24"/>
        </w:rPr>
      </w:pPr>
      <w:r>
        <w:rPr>
          <w:sz w:val="24"/>
          <w:szCs w:val="24"/>
        </w:rPr>
        <w:t>In addition to being able to identify individual customers with below-minimum voltage using data in the Company’s metering system, Avista is also able to integrate that data with its Geographic Information System to graphically display its conservation voltage results, as shown in the illustration below.</w:t>
      </w:r>
    </w:p>
    <w:p w:rsidR="0026124C" w:rsidRDefault="0026124C" w:rsidP="00BF6C14">
      <w:pPr>
        <w:autoSpaceDE/>
        <w:autoSpaceDN/>
        <w:jc w:val="both"/>
        <w:rPr>
          <w:sz w:val="24"/>
          <w:szCs w:val="24"/>
        </w:rPr>
      </w:pPr>
    </w:p>
    <w:p w:rsidR="006B6881" w:rsidRDefault="00814DA5" w:rsidP="002B6010">
      <w:pPr>
        <w:autoSpaceDE/>
        <w:autoSpaceDN/>
        <w:ind w:left="540"/>
        <w:jc w:val="both"/>
        <w:rPr>
          <w:sz w:val="24"/>
          <w:szCs w:val="24"/>
        </w:rPr>
      </w:pPr>
      <w:r>
        <w:rPr>
          <w:noProof/>
        </w:rPr>
        <mc:AlternateContent>
          <mc:Choice Requires="wps">
            <w:drawing>
              <wp:anchor distT="0" distB="0" distL="114300" distR="114300" simplePos="0" relativeHeight="251660288" behindDoc="0" locked="0" layoutInCell="1" allowOverlap="1">
                <wp:simplePos x="0" y="0"/>
                <wp:positionH relativeFrom="margin">
                  <wp:posOffset>1181895</wp:posOffset>
                </wp:positionH>
                <wp:positionV relativeFrom="paragraph">
                  <wp:posOffset>416370</wp:posOffset>
                </wp:positionV>
                <wp:extent cx="3882788" cy="3329685"/>
                <wp:effectExtent l="0" t="0" r="22860" b="23495"/>
                <wp:wrapNone/>
                <wp:docPr id="8" name="Straight Connector 8"/>
                <wp:cNvGraphicFramePr/>
                <a:graphic xmlns:a="http://schemas.openxmlformats.org/drawingml/2006/main">
                  <a:graphicData uri="http://schemas.microsoft.com/office/word/2010/wordprocessingShape">
                    <wps:wsp>
                      <wps:cNvCnPr/>
                      <wps:spPr>
                        <a:xfrm flipH="1">
                          <a:off x="0" y="0"/>
                          <a:ext cx="3882788" cy="332968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9AF09" id="Straight Connector 8"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05pt,32.8pt" to="398.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1XP6QEAAB0EAAAOAAAAZHJzL2Uyb0RvYy54bWysU02P2yAQvVfqf0DcGzuOuutacfaQ1baH&#10;qo262x9A8GAj8SWgcfLvO2DH+9FTq14QMDNv3nsM27uzVuQEPkhrWrpelZSA4baTpm/pz6eHDzUl&#10;ITLTMWUNtPQCgd7t3r/bjq6Byg5WdeAJgpjQjK6lQ4yuKYrAB9AsrKwDg0FhvWYRj74vOs9GRNeq&#10;qMryphit75y3HELA2/spSHcZXwjg8bsQASJRLUVuMa8+r8e0Frsta3rP3CD5TIP9AwvNpMGmC9Q9&#10;i4z88vIPKC25t8GKuOJWF1YIySFrQDXr8o2ax4E5yFrQnOAWm8L/g+XfTgdPZNdSfCjDND7RY/RM&#10;9kMke2sMGmg9qZNPowsNpu/Nwc+n4A4+iT4Lr4lQ0n3BEcg2oDByzi5fFpfhHAnHy01dV7c1tuMY&#10;22yqTzf1x4RfTEAJ0PkQP4PVJG1aqqRJNrCGnb6GOKVeU9K1MmTEztVtWea0YJXsHqRSKZhHCfbK&#10;kxPDITj267nZiyxsrQwySBInUXkXLwom/B8g0CQkP8l7g8k4BxOvuMpgdioTyGApnJmluX4m87pw&#10;zk+lkEf3b4qXitzZmrgUa2msn3x53T2er5TFlH91YNKdLDja7pKfO1uDM5ifaf4vachfnnP586/e&#10;/QYAAP//AwBQSwMEFAAGAAgAAAAhABvHvWHhAAAACgEAAA8AAABkcnMvZG93bnJldi54bWxMj8FO&#10;wzAMhu9IvENkJC6IpQOt60rTqUXiwmXa4LDdvMZrK5qkarKt9OkxJ7j5lz/9/pytR9OJCw2+dVbB&#10;fBaBIFs53dpawefH22MCwge0GjtnScE3eVjntzcZptpd7ZYuu1ALLrE+RQVNCH0qpa8aMuhnrifL&#10;u5MbDAaOQy31gFcuN518iqJYGmwtX2iwp9eGqq/d2SjYF6Wj92kqys2E8vDwvMGkPCl1fzcWLyAC&#10;jeEPhl99VoecnY7ubLUXHecknjOqIF7EIBhYrpY8HBUsVlEEMs/k/xfyHwAAAP//AwBQSwECLQAU&#10;AAYACAAAACEAtoM4kv4AAADhAQAAEwAAAAAAAAAAAAAAAAAAAAAAW0NvbnRlbnRfVHlwZXNdLnht&#10;bFBLAQItABQABgAIAAAAIQA4/SH/1gAAAJQBAAALAAAAAAAAAAAAAAAAAC8BAABfcmVscy8ucmVs&#10;c1BLAQItABQABgAIAAAAIQAU11XP6QEAAB0EAAAOAAAAAAAAAAAAAAAAAC4CAABkcnMvZTJvRG9j&#10;LnhtbFBLAQItABQABgAIAAAAIQAbx71h4QAAAAoBAAAPAAAAAAAAAAAAAAAAAEMEAABkcnMvZG93&#10;bnJldi54bWxQSwUGAAAAAAQABADzAAAAUQUAAAAA&#10;" strokecolor="white [3212]" strokeweight="1pt">
                <w10:wrap anchorx="margin"/>
              </v:line>
            </w:pict>
          </mc:Fallback>
        </mc:AlternateContent>
      </w:r>
      <w:r w:rsidR="002B6010">
        <w:rPr>
          <w:noProof/>
        </w:rPr>
        <w:drawing>
          <wp:inline distT="0" distB="0" distL="0" distR="0">
            <wp:extent cx="5883275" cy="4135271"/>
            <wp:effectExtent l="0" t="0" r="3175" b="0"/>
            <wp:docPr id="7" name="Picture 7" descr="C:\Users\ll4710\AppData\Local\Microsoft\Windows\Temporary Internet Files\Content.Word\high_level_ivvc_vs_no_iv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4710\AppData\Local\Microsoft\Windows\Temporary Internet Files\Content.Word\high_level_ivvc_vs_no_ivv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2419" cy="4141698"/>
                    </a:xfrm>
                    <a:prstGeom prst="rect">
                      <a:avLst/>
                    </a:prstGeom>
                    <a:noFill/>
                    <a:ln>
                      <a:noFill/>
                    </a:ln>
                  </pic:spPr>
                </pic:pic>
              </a:graphicData>
            </a:graphic>
          </wp:inline>
        </w:drawing>
      </w:r>
    </w:p>
    <w:p w:rsidR="006B6881" w:rsidRDefault="006B6881" w:rsidP="00BF6C14">
      <w:pPr>
        <w:autoSpaceDE/>
        <w:autoSpaceDN/>
        <w:jc w:val="both"/>
        <w:rPr>
          <w:sz w:val="24"/>
          <w:szCs w:val="24"/>
        </w:rPr>
      </w:pPr>
    </w:p>
    <w:p w:rsidR="00E144D7" w:rsidRDefault="00E144D7" w:rsidP="00BF6C14">
      <w:pPr>
        <w:autoSpaceDE/>
        <w:autoSpaceDN/>
        <w:jc w:val="both"/>
        <w:rPr>
          <w:sz w:val="24"/>
          <w:szCs w:val="24"/>
        </w:rPr>
      </w:pPr>
    </w:p>
    <w:p w:rsidR="005729E2" w:rsidRDefault="005729E2" w:rsidP="005729E2">
      <w:pPr>
        <w:autoSpaceDE/>
        <w:autoSpaceDN/>
        <w:jc w:val="both"/>
        <w:rPr>
          <w:sz w:val="24"/>
          <w:szCs w:val="24"/>
        </w:rPr>
      </w:pPr>
      <w:r>
        <w:rPr>
          <w:sz w:val="24"/>
          <w:szCs w:val="24"/>
        </w:rPr>
        <w:t>In this illustration, the individual circles represent the voltages experienced by individual customers measured over time. The darker green color represents voltages in the range of 121-124 volts. Lighter green to yellow show voltages in the range of 116-121 volts, while the yellow to slightly orange colors represent voltages in the range of 114-115 volts. The darker orange to red colors represent voltages below 114 volts. Circles that contain a range of colors, reflect variations in the actual voltage level measured at that customer’s service over time. As explained in Exhibit No. HLR-3 and in the Company’s responses to PC/EP DR-028 and 062, Avista has included the cost of remediating these below-voltage services as part of achieving the conservation voltage benefits quantified in its business case.</w:t>
      </w:r>
    </w:p>
    <w:p w:rsidR="005729E2" w:rsidRDefault="005729E2" w:rsidP="005729E2">
      <w:pPr>
        <w:autoSpaceDE/>
        <w:autoSpaceDN/>
        <w:jc w:val="both"/>
        <w:rPr>
          <w:sz w:val="24"/>
          <w:szCs w:val="24"/>
        </w:rPr>
      </w:pPr>
    </w:p>
    <w:p w:rsidR="005729E2" w:rsidRPr="00AB61A4" w:rsidRDefault="005729E2" w:rsidP="005729E2">
      <w:pPr>
        <w:autoSpaceDE/>
        <w:autoSpaceDN/>
        <w:jc w:val="both"/>
        <w:rPr>
          <w:sz w:val="24"/>
          <w:szCs w:val="24"/>
        </w:rPr>
      </w:pPr>
      <w:r>
        <w:rPr>
          <w:sz w:val="24"/>
          <w:szCs w:val="24"/>
        </w:rPr>
        <w:t xml:space="preserve">Of interest in the illustration above, the darkest green circles, those which fall predominantly above the diagonal white line, represent individual customer services served from a feeder where the CVR operation is not active, or “turned off,” while those circles that are predominantly below the line are served from a feeder where the conservation voltage operation is active, or “turned on.” Additionally, as shown in the illustration above, advanced metering provides the Company the ability to ensure that the voltage provided to each customer is adequate, irrespective of any CVR operations. As visible in the services above the diagonal line, the results identify three services where voltage levels are inadequate (red color) even under conditions of normal operation (no conservation voltage reduction </w:t>
      </w:r>
      <w:r>
        <w:rPr>
          <w:sz w:val="24"/>
          <w:szCs w:val="24"/>
        </w:rPr>
        <w:lastRenderedPageBreak/>
        <w:t xml:space="preserve">in place). Avista would have no other way to determine and remediate these low-voltage issues absent its advanced metering system in Pullman. </w:t>
      </w:r>
    </w:p>
    <w:p w:rsidR="006B2DAC" w:rsidRPr="00AB61A4" w:rsidRDefault="006B2DAC" w:rsidP="005729E2">
      <w:pPr>
        <w:autoSpaceDE/>
        <w:autoSpaceDN/>
        <w:jc w:val="both"/>
        <w:rPr>
          <w:sz w:val="24"/>
          <w:szCs w:val="24"/>
        </w:rPr>
      </w:pPr>
    </w:p>
    <w:sectPr w:rsidR="006B2DAC" w:rsidRPr="00AB61A4" w:rsidSect="00C8163B">
      <w:headerReference w:type="default" r:id="rId15"/>
      <w:footerReference w:type="default" r:id="rId16"/>
      <w:footerReference w:type="first" r:id="rId17"/>
      <w:pgSz w:w="12240" w:h="15840" w:code="1"/>
      <w:pgMar w:top="720" w:right="1620" w:bottom="1008"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13A" w:rsidRDefault="008D013A">
      <w:r>
        <w:separator/>
      </w:r>
    </w:p>
  </w:endnote>
  <w:endnote w:type="continuationSeparator" w:id="0">
    <w:p w:rsidR="008D013A" w:rsidRDefault="008D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B06" w:rsidRDefault="00A43B06" w:rsidP="00056C64">
    <w:pPr>
      <w:pStyle w:val="Footer"/>
      <w:jc w:val="center"/>
    </w:pPr>
    <w:r>
      <w:t xml:space="preserve">Page </w:t>
    </w:r>
    <w:r w:rsidR="00B71ED1">
      <w:rPr>
        <w:rStyle w:val="PageNumber"/>
      </w:rPr>
      <w:fldChar w:fldCharType="begin"/>
    </w:r>
    <w:r>
      <w:rPr>
        <w:rStyle w:val="PageNumber"/>
      </w:rPr>
      <w:instrText xml:space="preserve"> PAGE </w:instrText>
    </w:r>
    <w:r w:rsidR="00B71ED1">
      <w:rPr>
        <w:rStyle w:val="PageNumber"/>
      </w:rPr>
      <w:fldChar w:fldCharType="separate"/>
    </w:r>
    <w:r w:rsidR="00E97CF8">
      <w:rPr>
        <w:rStyle w:val="PageNumber"/>
        <w:noProof/>
      </w:rPr>
      <w:t>3</w:t>
    </w:r>
    <w:r w:rsidR="00B71ED1">
      <w:rPr>
        <w:rStyle w:val="PageNumber"/>
      </w:rPr>
      <w:fldChar w:fldCharType="end"/>
    </w:r>
    <w:r>
      <w:rPr>
        <w:rStyle w:val="PageNumber"/>
      </w:rPr>
      <w:t xml:space="preserve"> of </w:t>
    </w:r>
    <w:r w:rsidR="00B71ED1">
      <w:rPr>
        <w:rStyle w:val="PageNumber"/>
      </w:rPr>
      <w:fldChar w:fldCharType="begin"/>
    </w:r>
    <w:r>
      <w:rPr>
        <w:rStyle w:val="PageNumber"/>
      </w:rPr>
      <w:instrText xml:space="preserve"> NUMPAGES </w:instrText>
    </w:r>
    <w:r w:rsidR="00B71ED1">
      <w:rPr>
        <w:rStyle w:val="PageNumber"/>
      </w:rPr>
      <w:fldChar w:fldCharType="separate"/>
    </w:r>
    <w:r w:rsidR="00E97CF8">
      <w:rPr>
        <w:rStyle w:val="PageNumber"/>
        <w:noProof/>
      </w:rPr>
      <w:t>5</w:t>
    </w:r>
    <w:r w:rsidR="00B71ED1">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B06" w:rsidRDefault="00A43B06" w:rsidP="00E64D12">
    <w:pPr>
      <w:pStyle w:val="Footer"/>
      <w:jc w:val="center"/>
    </w:pPr>
    <w:r>
      <w:t xml:space="preserve">Page </w:t>
    </w:r>
    <w:r w:rsidR="00B71ED1">
      <w:rPr>
        <w:rStyle w:val="PageNumber"/>
      </w:rPr>
      <w:fldChar w:fldCharType="begin"/>
    </w:r>
    <w:r>
      <w:rPr>
        <w:rStyle w:val="PageNumber"/>
      </w:rPr>
      <w:instrText xml:space="preserve"> PAGE </w:instrText>
    </w:r>
    <w:r w:rsidR="00B71ED1">
      <w:rPr>
        <w:rStyle w:val="PageNumber"/>
      </w:rPr>
      <w:fldChar w:fldCharType="separate"/>
    </w:r>
    <w:r>
      <w:rPr>
        <w:rStyle w:val="PageNumber"/>
        <w:noProof/>
      </w:rPr>
      <w:t>1</w:t>
    </w:r>
    <w:r w:rsidR="00B71ED1">
      <w:rPr>
        <w:rStyle w:val="PageNumber"/>
      </w:rPr>
      <w:fldChar w:fldCharType="end"/>
    </w:r>
    <w:r>
      <w:rPr>
        <w:rStyle w:val="PageNumber"/>
      </w:rPr>
      <w:t xml:space="preserve"> of </w:t>
    </w:r>
    <w:r w:rsidR="00B71ED1">
      <w:rPr>
        <w:rStyle w:val="PageNumber"/>
      </w:rPr>
      <w:fldChar w:fldCharType="begin"/>
    </w:r>
    <w:r>
      <w:rPr>
        <w:rStyle w:val="PageNumber"/>
      </w:rPr>
      <w:instrText xml:space="preserve"> NUMPAGES </w:instrText>
    </w:r>
    <w:r w:rsidR="00B71ED1">
      <w:rPr>
        <w:rStyle w:val="PageNumber"/>
      </w:rPr>
      <w:fldChar w:fldCharType="separate"/>
    </w:r>
    <w:r w:rsidR="00CB7A56">
      <w:rPr>
        <w:rStyle w:val="PageNumber"/>
        <w:noProof/>
      </w:rPr>
      <w:t>5</w:t>
    </w:r>
    <w:r w:rsidR="00B71ED1">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13A" w:rsidRDefault="008D013A">
      <w:r>
        <w:separator/>
      </w:r>
    </w:p>
  </w:footnote>
  <w:footnote w:type="continuationSeparator" w:id="0">
    <w:p w:rsidR="008D013A" w:rsidRDefault="008D013A">
      <w:r>
        <w:continuationSeparator/>
      </w:r>
    </w:p>
  </w:footnote>
  <w:footnote w:id="1">
    <w:p w:rsidR="005729E2" w:rsidRDefault="005729E2" w:rsidP="005729E2">
      <w:pPr>
        <w:pStyle w:val="FootnoteText"/>
        <w:jc w:val="both"/>
      </w:pPr>
      <w:r>
        <w:rPr>
          <w:rStyle w:val="FootnoteReference"/>
        </w:rPr>
        <w:footnoteRef/>
      </w:r>
      <w:r>
        <w:t xml:space="preserve"> Avista used actual voltage readings at the feeder breaker and midline to calibrate a power flow calculation for each feeder. This calculation estimates the expected voltages to the high side of the distribution transformer. Since the endpoint voltage (at the customer’s meter) is not known, the voltage buffer must be sufficiently large to account for the uncertainty in end-point voltages while ensuring we meet our minimum voltage requirements to the customer.</w:t>
      </w:r>
    </w:p>
  </w:footnote>
  <w:footnote w:id="2">
    <w:p w:rsidR="005729E2" w:rsidRDefault="005729E2" w:rsidP="005729E2">
      <w:pPr>
        <w:pStyle w:val="FootnoteText"/>
        <w:jc w:val="both"/>
      </w:pPr>
      <w:r>
        <w:rPr>
          <w:rStyle w:val="FootnoteReference"/>
        </w:rPr>
        <w:footnoteRef/>
      </w:r>
      <w:r>
        <w:t xml:space="preserve"> Please see Avista’s response to PC/EP DR-028.</w:t>
      </w:r>
    </w:p>
  </w:footnote>
  <w:footnote w:id="3">
    <w:p w:rsidR="005729E2" w:rsidRDefault="005729E2" w:rsidP="005729E2">
      <w:pPr>
        <w:pStyle w:val="FootnoteText"/>
        <w:jc w:val="both"/>
      </w:pPr>
      <w:r>
        <w:rPr>
          <w:rStyle w:val="FootnoteReference"/>
        </w:rPr>
        <w:footnoteRef/>
      </w:r>
      <w:r>
        <w:t xml:space="preserve"> Savings that are above and beyond</w:t>
      </w:r>
      <w:r w:rsidRPr="00410FE4">
        <w:t xml:space="preserve"> the initial 2% savings </w:t>
      </w:r>
      <w:r>
        <w:t xml:space="preserve">that are </w:t>
      </w:r>
      <w:r w:rsidRPr="00410FE4">
        <w:t xml:space="preserve">achieved on </w:t>
      </w:r>
      <w:r>
        <w:t>“</w:t>
      </w:r>
      <w:r w:rsidRPr="00410FE4">
        <w:t xml:space="preserve">smart </w:t>
      </w:r>
      <w:r>
        <w:t xml:space="preserve">grid” or “grid mod” </w:t>
      </w:r>
      <w:r w:rsidRPr="00410FE4">
        <w:t>feeders as verified in the Navigant study</w:t>
      </w:r>
      <w:r>
        <w:t>.</w:t>
      </w:r>
    </w:p>
  </w:footnote>
  <w:footnote w:id="4">
    <w:p w:rsidR="005729E2" w:rsidRDefault="005729E2" w:rsidP="005729E2">
      <w:pPr>
        <w:pStyle w:val="FootnoteText"/>
      </w:pPr>
      <w:r>
        <w:rPr>
          <w:rStyle w:val="FootnoteReference"/>
        </w:rPr>
        <w:footnoteRef/>
      </w:r>
      <w:r>
        <w:t xml:space="preserve"> For this test, Avista capped the voltage readings at 124 volts (the approximate peak of the voltage readings under normal operation – i.e. no conservation voltage reduction applied).</w:t>
      </w:r>
    </w:p>
  </w:footnote>
  <w:footnote w:id="5">
    <w:p w:rsidR="005729E2" w:rsidRDefault="005729E2">
      <w:pPr>
        <w:pStyle w:val="FootnoteText"/>
      </w:pPr>
      <w:r>
        <w:rPr>
          <w:rStyle w:val="FootnoteReference"/>
        </w:rPr>
        <w:footnoteRef/>
      </w:r>
      <w:r>
        <w:t xml:space="preserve"> </w:t>
      </w:r>
      <w:r>
        <w:t>For this test, Avista capped th</w:t>
      </w:r>
      <w:r>
        <w:t>e voltage readings at 122</w:t>
      </w:r>
      <w:r>
        <w:t xml:space="preserve"> volts (the approximate peak of the voltage r</w:t>
      </w:r>
      <w:r>
        <w:t>eadings with the initial 2 volt CVR operation enabled</w:t>
      </w:r>
      <w:r>
        <w: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B06" w:rsidRDefault="00A43B06">
    <w:pPr>
      <w:pStyle w:val="Header"/>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462F"/>
    <w:multiLevelType w:val="hybridMultilevel"/>
    <w:tmpl w:val="2938B9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750A"/>
    <w:multiLevelType w:val="singleLevel"/>
    <w:tmpl w:val="63BA4904"/>
    <w:lvl w:ilvl="0">
      <w:start w:val="1"/>
      <w:numFmt w:val="lowerLetter"/>
      <w:lvlText w:val="%1)"/>
      <w:lvlJc w:val="left"/>
      <w:pPr>
        <w:tabs>
          <w:tab w:val="num" w:pos="1890"/>
        </w:tabs>
        <w:ind w:left="1890" w:hanging="1530"/>
      </w:pPr>
      <w:rPr>
        <w:rFonts w:cs="Times New Roman" w:hint="default"/>
      </w:rPr>
    </w:lvl>
  </w:abstractNum>
  <w:abstractNum w:abstractNumId="2" w15:restartNumberingAfterBreak="0">
    <w:nsid w:val="0CA13ACE"/>
    <w:multiLevelType w:val="singleLevel"/>
    <w:tmpl w:val="61881AEC"/>
    <w:lvl w:ilvl="0">
      <w:start w:val="1"/>
      <w:numFmt w:val="lowerLetter"/>
      <w:lvlText w:val="%1)"/>
      <w:lvlJc w:val="left"/>
      <w:pPr>
        <w:tabs>
          <w:tab w:val="num" w:pos="1440"/>
        </w:tabs>
        <w:ind w:left="1440" w:hanging="720"/>
      </w:pPr>
      <w:rPr>
        <w:rFonts w:cs="Times New Roman" w:hint="default"/>
      </w:rPr>
    </w:lvl>
  </w:abstractNum>
  <w:abstractNum w:abstractNumId="3" w15:restartNumberingAfterBreak="0">
    <w:nsid w:val="0E5E7037"/>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4" w15:restartNumberingAfterBreak="0">
    <w:nsid w:val="10E43AE6"/>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5" w15:restartNumberingAfterBreak="0">
    <w:nsid w:val="16FF5C7B"/>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6" w15:restartNumberingAfterBreak="0">
    <w:nsid w:val="1CCD1FF4"/>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7" w15:restartNumberingAfterBreak="0">
    <w:nsid w:val="1DAA372D"/>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8" w15:restartNumberingAfterBreak="0">
    <w:nsid w:val="2AE30697"/>
    <w:multiLevelType w:val="singleLevel"/>
    <w:tmpl w:val="04090017"/>
    <w:lvl w:ilvl="0">
      <w:start w:val="1"/>
      <w:numFmt w:val="lowerLetter"/>
      <w:lvlText w:val="%1)"/>
      <w:lvlJc w:val="left"/>
      <w:pPr>
        <w:tabs>
          <w:tab w:val="num" w:pos="360"/>
        </w:tabs>
        <w:ind w:left="360" w:hanging="360"/>
      </w:pPr>
      <w:rPr>
        <w:rFonts w:cs="Times New Roman"/>
      </w:rPr>
    </w:lvl>
  </w:abstractNum>
  <w:abstractNum w:abstractNumId="9" w15:restartNumberingAfterBreak="0">
    <w:nsid w:val="2F686C82"/>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10" w15:restartNumberingAfterBreak="0">
    <w:nsid w:val="31C215D2"/>
    <w:multiLevelType w:val="hybridMultilevel"/>
    <w:tmpl w:val="1330771E"/>
    <w:lvl w:ilvl="0" w:tplc="0934747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3EF0C4D"/>
    <w:multiLevelType w:val="singleLevel"/>
    <w:tmpl w:val="2F008092"/>
    <w:lvl w:ilvl="0">
      <w:start w:val="1"/>
      <w:numFmt w:val="lowerLetter"/>
      <w:lvlText w:val="%1)"/>
      <w:lvlJc w:val="left"/>
      <w:pPr>
        <w:tabs>
          <w:tab w:val="num" w:pos="720"/>
        </w:tabs>
        <w:ind w:left="720" w:hanging="720"/>
      </w:pPr>
      <w:rPr>
        <w:rFonts w:cs="Times New Roman" w:hint="default"/>
      </w:rPr>
    </w:lvl>
  </w:abstractNum>
  <w:abstractNum w:abstractNumId="12" w15:restartNumberingAfterBreak="0">
    <w:nsid w:val="357C1D3E"/>
    <w:multiLevelType w:val="hybridMultilevel"/>
    <w:tmpl w:val="C35ADEA4"/>
    <w:lvl w:ilvl="0" w:tplc="04090017">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381B297B"/>
    <w:multiLevelType w:val="singleLevel"/>
    <w:tmpl w:val="63BA4904"/>
    <w:lvl w:ilvl="0">
      <w:start w:val="1"/>
      <w:numFmt w:val="lowerLetter"/>
      <w:lvlText w:val="%1)"/>
      <w:lvlJc w:val="left"/>
      <w:pPr>
        <w:tabs>
          <w:tab w:val="num" w:pos="1890"/>
        </w:tabs>
        <w:ind w:left="1890" w:hanging="1530"/>
      </w:pPr>
      <w:rPr>
        <w:rFonts w:cs="Times New Roman" w:hint="default"/>
      </w:rPr>
    </w:lvl>
  </w:abstractNum>
  <w:abstractNum w:abstractNumId="14" w15:restartNumberingAfterBreak="0">
    <w:nsid w:val="3BBE352A"/>
    <w:multiLevelType w:val="singleLevel"/>
    <w:tmpl w:val="8F3A2E4A"/>
    <w:lvl w:ilvl="0">
      <w:start w:val="1"/>
      <w:numFmt w:val="lowerLetter"/>
      <w:lvlText w:val="%1)"/>
      <w:lvlJc w:val="left"/>
      <w:pPr>
        <w:tabs>
          <w:tab w:val="num" w:pos="1440"/>
        </w:tabs>
        <w:ind w:left="1440" w:hanging="720"/>
      </w:pPr>
      <w:rPr>
        <w:rFonts w:cs="Times New Roman" w:hint="default"/>
      </w:rPr>
    </w:lvl>
  </w:abstractNum>
  <w:abstractNum w:abstractNumId="15" w15:restartNumberingAfterBreak="0">
    <w:nsid w:val="3C3E51BA"/>
    <w:multiLevelType w:val="hybridMultilevel"/>
    <w:tmpl w:val="4F641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4358AA"/>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17" w15:restartNumberingAfterBreak="0">
    <w:nsid w:val="489F399B"/>
    <w:multiLevelType w:val="singleLevel"/>
    <w:tmpl w:val="6A8C1BD0"/>
    <w:lvl w:ilvl="0">
      <w:start w:val="1"/>
      <w:numFmt w:val="lowerLetter"/>
      <w:lvlText w:val="%1)"/>
      <w:lvlJc w:val="left"/>
      <w:pPr>
        <w:tabs>
          <w:tab w:val="num" w:pos="720"/>
        </w:tabs>
        <w:ind w:left="720" w:hanging="720"/>
      </w:pPr>
      <w:rPr>
        <w:rFonts w:cs="Times New Roman" w:hint="default"/>
      </w:rPr>
    </w:lvl>
  </w:abstractNum>
  <w:abstractNum w:abstractNumId="18" w15:restartNumberingAfterBreak="0">
    <w:nsid w:val="500773A1"/>
    <w:multiLevelType w:val="singleLevel"/>
    <w:tmpl w:val="63BA4904"/>
    <w:lvl w:ilvl="0">
      <w:start w:val="1"/>
      <w:numFmt w:val="lowerLetter"/>
      <w:lvlText w:val="%1)"/>
      <w:lvlJc w:val="left"/>
      <w:pPr>
        <w:tabs>
          <w:tab w:val="num" w:pos="1890"/>
        </w:tabs>
        <w:ind w:left="1890" w:hanging="1530"/>
      </w:pPr>
      <w:rPr>
        <w:rFonts w:cs="Times New Roman" w:hint="default"/>
      </w:rPr>
    </w:lvl>
  </w:abstractNum>
  <w:abstractNum w:abstractNumId="19" w15:restartNumberingAfterBreak="0">
    <w:nsid w:val="502908BD"/>
    <w:multiLevelType w:val="multilevel"/>
    <w:tmpl w:val="579A344C"/>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15:restartNumberingAfterBreak="0">
    <w:nsid w:val="51BE257E"/>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21" w15:restartNumberingAfterBreak="0">
    <w:nsid w:val="536921A7"/>
    <w:multiLevelType w:val="singleLevel"/>
    <w:tmpl w:val="63BA4904"/>
    <w:lvl w:ilvl="0">
      <w:start w:val="1"/>
      <w:numFmt w:val="lowerLetter"/>
      <w:lvlText w:val="%1)"/>
      <w:lvlJc w:val="left"/>
      <w:pPr>
        <w:tabs>
          <w:tab w:val="num" w:pos="1890"/>
        </w:tabs>
        <w:ind w:left="1890" w:hanging="1530"/>
      </w:pPr>
      <w:rPr>
        <w:rFonts w:cs="Times New Roman" w:hint="default"/>
      </w:rPr>
    </w:lvl>
  </w:abstractNum>
  <w:abstractNum w:abstractNumId="22" w15:restartNumberingAfterBreak="0">
    <w:nsid w:val="566649F8"/>
    <w:multiLevelType w:val="singleLevel"/>
    <w:tmpl w:val="E8D0F0F2"/>
    <w:lvl w:ilvl="0">
      <w:start w:val="1"/>
      <w:numFmt w:val="lowerLetter"/>
      <w:lvlText w:val="%1)"/>
      <w:lvlJc w:val="left"/>
      <w:pPr>
        <w:tabs>
          <w:tab w:val="num" w:pos="720"/>
        </w:tabs>
        <w:ind w:left="720" w:hanging="720"/>
      </w:pPr>
      <w:rPr>
        <w:rFonts w:cs="Times New Roman" w:hint="default"/>
      </w:rPr>
    </w:lvl>
  </w:abstractNum>
  <w:abstractNum w:abstractNumId="23" w15:restartNumberingAfterBreak="0">
    <w:nsid w:val="5C074EA1"/>
    <w:multiLevelType w:val="multilevel"/>
    <w:tmpl w:val="8FD2F3CE"/>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4" w15:restartNumberingAfterBreak="0">
    <w:nsid w:val="60EA4D53"/>
    <w:multiLevelType w:val="hybridMultilevel"/>
    <w:tmpl w:val="B6020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0943C3"/>
    <w:multiLevelType w:val="singleLevel"/>
    <w:tmpl w:val="C56E997E"/>
    <w:lvl w:ilvl="0">
      <w:start w:val="1"/>
      <w:numFmt w:val="lowerLetter"/>
      <w:lvlText w:val="%1)"/>
      <w:lvlJc w:val="left"/>
      <w:pPr>
        <w:tabs>
          <w:tab w:val="num" w:pos="1890"/>
        </w:tabs>
        <w:ind w:left="1890" w:hanging="1890"/>
      </w:pPr>
      <w:rPr>
        <w:rFonts w:cs="Times New Roman" w:hint="default"/>
      </w:rPr>
    </w:lvl>
  </w:abstractNum>
  <w:abstractNum w:abstractNumId="26" w15:restartNumberingAfterBreak="0">
    <w:nsid w:val="6A854D1A"/>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27" w15:restartNumberingAfterBreak="0">
    <w:nsid w:val="706805FE"/>
    <w:multiLevelType w:val="hybridMultilevel"/>
    <w:tmpl w:val="A7002AC4"/>
    <w:lvl w:ilvl="0" w:tplc="9152A244">
      <w:start w:val="38"/>
      <w:numFmt w:val="decimal"/>
      <w:lvlText w:val="PC/E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F70C3"/>
    <w:multiLevelType w:val="hybridMultilevel"/>
    <w:tmpl w:val="5E16D804"/>
    <w:lvl w:ilvl="0" w:tplc="E3A863CA">
      <w:start w:val="1"/>
      <w:numFmt w:val="decimal"/>
      <w:lvlText w:val="%1."/>
      <w:lvlJc w:val="left"/>
      <w:pPr>
        <w:tabs>
          <w:tab w:val="num" w:pos="144"/>
        </w:tabs>
        <w:ind w:left="360" w:hanging="288"/>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9" w15:restartNumberingAfterBreak="0">
    <w:nsid w:val="71F63398"/>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30" w15:restartNumberingAfterBreak="0">
    <w:nsid w:val="72533BE4"/>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1" w15:restartNumberingAfterBreak="0">
    <w:nsid w:val="73136511"/>
    <w:multiLevelType w:val="singleLevel"/>
    <w:tmpl w:val="04090017"/>
    <w:lvl w:ilvl="0">
      <w:start w:val="1"/>
      <w:numFmt w:val="lowerLetter"/>
      <w:lvlText w:val="%1)"/>
      <w:lvlJc w:val="left"/>
      <w:pPr>
        <w:tabs>
          <w:tab w:val="num" w:pos="360"/>
        </w:tabs>
        <w:ind w:left="360" w:hanging="360"/>
      </w:pPr>
      <w:rPr>
        <w:rFonts w:cs="Times New Roman"/>
      </w:rPr>
    </w:lvl>
  </w:abstractNum>
  <w:num w:numId="1">
    <w:abstractNumId w:val="18"/>
  </w:num>
  <w:num w:numId="2">
    <w:abstractNumId w:val="21"/>
  </w:num>
  <w:num w:numId="3">
    <w:abstractNumId w:val="13"/>
  </w:num>
  <w:num w:numId="4">
    <w:abstractNumId w:val="1"/>
  </w:num>
  <w:num w:numId="5">
    <w:abstractNumId w:val="30"/>
  </w:num>
  <w:num w:numId="6">
    <w:abstractNumId w:val="26"/>
  </w:num>
  <w:num w:numId="7">
    <w:abstractNumId w:val="8"/>
  </w:num>
  <w:num w:numId="8">
    <w:abstractNumId w:val="29"/>
  </w:num>
  <w:num w:numId="9">
    <w:abstractNumId w:val="4"/>
  </w:num>
  <w:num w:numId="10">
    <w:abstractNumId w:val="20"/>
  </w:num>
  <w:num w:numId="11">
    <w:abstractNumId w:val="3"/>
  </w:num>
  <w:num w:numId="12">
    <w:abstractNumId w:val="9"/>
  </w:num>
  <w:num w:numId="13">
    <w:abstractNumId w:val="31"/>
  </w:num>
  <w:num w:numId="14">
    <w:abstractNumId w:val="5"/>
  </w:num>
  <w:num w:numId="15">
    <w:abstractNumId w:val="6"/>
  </w:num>
  <w:num w:numId="16">
    <w:abstractNumId w:val="7"/>
  </w:num>
  <w:num w:numId="17">
    <w:abstractNumId w:val="17"/>
  </w:num>
  <w:num w:numId="18">
    <w:abstractNumId w:val="25"/>
  </w:num>
  <w:num w:numId="19">
    <w:abstractNumId w:val="11"/>
  </w:num>
  <w:num w:numId="20">
    <w:abstractNumId w:val="14"/>
  </w:num>
  <w:num w:numId="21">
    <w:abstractNumId w:val="2"/>
  </w:num>
  <w:num w:numId="22">
    <w:abstractNumId w:val="22"/>
  </w:num>
  <w:num w:numId="23">
    <w:abstractNumId w:val="16"/>
  </w:num>
  <w:num w:numId="24">
    <w:abstractNumId w:val="12"/>
  </w:num>
  <w:num w:numId="25">
    <w:abstractNumId w:val="28"/>
  </w:num>
  <w:num w:numId="26">
    <w:abstractNumId w:val="24"/>
  </w:num>
  <w:num w:numId="27">
    <w:abstractNumId w:val="10"/>
  </w:num>
  <w:num w:numId="28">
    <w:abstractNumId w:val="15"/>
  </w:num>
  <w:num w:numId="29">
    <w:abstractNumId w:val="19"/>
  </w:num>
  <w:num w:numId="30">
    <w:abstractNumId w:val="0"/>
  </w:num>
  <w:num w:numId="31">
    <w:abstractNumId w:val="23"/>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FAC"/>
    <w:rsid w:val="000121D0"/>
    <w:rsid w:val="000177E6"/>
    <w:rsid w:val="00022230"/>
    <w:rsid w:val="00023B8E"/>
    <w:rsid w:val="000254B2"/>
    <w:rsid w:val="00056C64"/>
    <w:rsid w:val="000668AD"/>
    <w:rsid w:val="00081D52"/>
    <w:rsid w:val="000E5BEB"/>
    <w:rsid w:val="000E629D"/>
    <w:rsid w:val="001004DE"/>
    <w:rsid w:val="00103567"/>
    <w:rsid w:val="0011273E"/>
    <w:rsid w:val="00115C87"/>
    <w:rsid w:val="0012408C"/>
    <w:rsid w:val="0014150E"/>
    <w:rsid w:val="00147575"/>
    <w:rsid w:val="0015621D"/>
    <w:rsid w:val="00177390"/>
    <w:rsid w:val="0019350D"/>
    <w:rsid w:val="001B0BE4"/>
    <w:rsid w:val="001E06F3"/>
    <w:rsid w:val="001E07A6"/>
    <w:rsid w:val="001F2C4B"/>
    <w:rsid w:val="001F6472"/>
    <w:rsid w:val="00200E39"/>
    <w:rsid w:val="002146D9"/>
    <w:rsid w:val="00236EDE"/>
    <w:rsid w:val="00251FF7"/>
    <w:rsid w:val="0026124C"/>
    <w:rsid w:val="002677D5"/>
    <w:rsid w:val="0027069C"/>
    <w:rsid w:val="002B16E6"/>
    <w:rsid w:val="002B6010"/>
    <w:rsid w:val="002D5A49"/>
    <w:rsid w:val="002E674E"/>
    <w:rsid w:val="002F74DC"/>
    <w:rsid w:val="0031008C"/>
    <w:rsid w:val="0031278A"/>
    <w:rsid w:val="00330308"/>
    <w:rsid w:val="00331B89"/>
    <w:rsid w:val="00333817"/>
    <w:rsid w:val="003348C4"/>
    <w:rsid w:val="00375C8C"/>
    <w:rsid w:val="00383DD3"/>
    <w:rsid w:val="00390A4F"/>
    <w:rsid w:val="003B4E20"/>
    <w:rsid w:val="003B63FD"/>
    <w:rsid w:val="003C0AED"/>
    <w:rsid w:val="003C1D9A"/>
    <w:rsid w:val="003C319E"/>
    <w:rsid w:val="003E10B8"/>
    <w:rsid w:val="003E2A56"/>
    <w:rsid w:val="003E487F"/>
    <w:rsid w:val="003E50F1"/>
    <w:rsid w:val="003F65BC"/>
    <w:rsid w:val="0040408A"/>
    <w:rsid w:val="00410FE4"/>
    <w:rsid w:val="00417AA4"/>
    <w:rsid w:val="00422CC4"/>
    <w:rsid w:val="00440242"/>
    <w:rsid w:val="00446369"/>
    <w:rsid w:val="004A7704"/>
    <w:rsid w:val="004B30E7"/>
    <w:rsid w:val="004B7780"/>
    <w:rsid w:val="004C7873"/>
    <w:rsid w:val="004F03CE"/>
    <w:rsid w:val="004F7DA8"/>
    <w:rsid w:val="00500F1F"/>
    <w:rsid w:val="00502EFF"/>
    <w:rsid w:val="005048A8"/>
    <w:rsid w:val="005050C4"/>
    <w:rsid w:val="00510DB1"/>
    <w:rsid w:val="00521A5C"/>
    <w:rsid w:val="005270BA"/>
    <w:rsid w:val="005423BB"/>
    <w:rsid w:val="00546157"/>
    <w:rsid w:val="0055045F"/>
    <w:rsid w:val="00555801"/>
    <w:rsid w:val="005560C8"/>
    <w:rsid w:val="005561C2"/>
    <w:rsid w:val="005729E2"/>
    <w:rsid w:val="00575120"/>
    <w:rsid w:val="005906BD"/>
    <w:rsid w:val="00591481"/>
    <w:rsid w:val="005A2255"/>
    <w:rsid w:val="005A49F0"/>
    <w:rsid w:val="005C1EDF"/>
    <w:rsid w:val="005C2774"/>
    <w:rsid w:val="005C4705"/>
    <w:rsid w:val="005D660A"/>
    <w:rsid w:val="005D72D7"/>
    <w:rsid w:val="006045D3"/>
    <w:rsid w:val="00606575"/>
    <w:rsid w:val="0062635B"/>
    <w:rsid w:val="00633F9B"/>
    <w:rsid w:val="00643417"/>
    <w:rsid w:val="00663AE9"/>
    <w:rsid w:val="006810DD"/>
    <w:rsid w:val="00693BBE"/>
    <w:rsid w:val="006A6CF9"/>
    <w:rsid w:val="006B2DAC"/>
    <w:rsid w:val="006B6881"/>
    <w:rsid w:val="006E54A7"/>
    <w:rsid w:val="00720FD7"/>
    <w:rsid w:val="00741CF2"/>
    <w:rsid w:val="00753FE9"/>
    <w:rsid w:val="00754422"/>
    <w:rsid w:val="00775C87"/>
    <w:rsid w:val="0077744B"/>
    <w:rsid w:val="007A30D4"/>
    <w:rsid w:val="007B34C5"/>
    <w:rsid w:val="007B4FBD"/>
    <w:rsid w:val="007B5EE6"/>
    <w:rsid w:val="007C2F4D"/>
    <w:rsid w:val="007D5DBD"/>
    <w:rsid w:val="007E3A66"/>
    <w:rsid w:val="007F518A"/>
    <w:rsid w:val="00800AEF"/>
    <w:rsid w:val="008022DE"/>
    <w:rsid w:val="008074FC"/>
    <w:rsid w:val="00814DA5"/>
    <w:rsid w:val="0082626A"/>
    <w:rsid w:val="00850594"/>
    <w:rsid w:val="00851423"/>
    <w:rsid w:val="008B1226"/>
    <w:rsid w:val="008B62E0"/>
    <w:rsid w:val="008D013A"/>
    <w:rsid w:val="008D1DFC"/>
    <w:rsid w:val="008E3932"/>
    <w:rsid w:val="008F38DE"/>
    <w:rsid w:val="008F5FC8"/>
    <w:rsid w:val="009052D2"/>
    <w:rsid w:val="009257B1"/>
    <w:rsid w:val="00941853"/>
    <w:rsid w:val="00944C19"/>
    <w:rsid w:val="00957712"/>
    <w:rsid w:val="00974C32"/>
    <w:rsid w:val="00982202"/>
    <w:rsid w:val="00994914"/>
    <w:rsid w:val="009E54C8"/>
    <w:rsid w:val="009F609F"/>
    <w:rsid w:val="00A40E65"/>
    <w:rsid w:val="00A43B06"/>
    <w:rsid w:val="00A64D23"/>
    <w:rsid w:val="00A82D5A"/>
    <w:rsid w:val="00A96A19"/>
    <w:rsid w:val="00AA652C"/>
    <w:rsid w:val="00AA791F"/>
    <w:rsid w:val="00AB4C8A"/>
    <w:rsid w:val="00AB5D5A"/>
    <w:rsid w:val="00AB61A4"/>
    <w:rsid w:val="00AF09F0"/>
    <w:rsid w:val="00B131FC"/>
    <w:rsid w:val="00B2082C"/>
    <w:rsid w:val="00B41482"/>
    <w:rsid w:val="00B71ED1"/>
    <w:rsid w:val="00B72352"/>
    <w:rsid w:val="00B76EAC"/>
    <w:rsid w:val="00B83558"/>
    <w:rsid w:val="00B94D15"/>
    <w:rsid w:val="00BA506C"/>
    <w:rsid w:val="00BB73DC"/>
    <w:rsid w:val="00BD5789"/>
    <w:rsid w:val="00BF6C14"/>
    <w:rsid w:val="00C040A5"/>
    <w:rsid w:val="00C15A22"/>
    <w:rsid w:val="00C21252"/>
    <w:rsid w:val="00C35563"/>
    <w:rsid w:val="00C549D6"/>
    <w:rsid w:val="00C61D46"/>
    <w:rsid w:val="00C73FA6"/>
    <w:rsid w:val="00C8163B"/>
    <w:rsid w:val="00C83E18"/>
    <w:rsid w:val="00CA15F9"/>
    <w:rsid w:val="00CB7A56"/>
    <w:rsid w:val="00CD0B6D"/>
    <w:rsid w:val="00CD4D4E"/>
    <w:rsid w:val="00CE4078"/>
    <w:rsid w:val="00D201A4"/>
    <w:rsid w:val="00D216B4"/>
    <w:rsid w:val="00D33550"/>
    <w:rsid w:val="00D376F6"/>
    <w:rsid w:val="00D40664"/>
    <w:rsid w:val="00D41724"/>
    <w:rsid w:val="00D43397"/>
    <w:rsid w:val="00D75120"/>
    <w:rsid w:val="00D77A4E"/>
    <w:rsid w:val="00DA234F"/>
    <w:rsid w:val="00DB4781"/>
    <w:rsid w:val="00DE5D38"/>
    <w:rsid w:val="00DF70B2"/>
    <w:rsid w:val="00E144D7"/>
    <w:rsid w:val="00E168CA"/>
    <w:rsid w:val="00E404F2"/>
    <w:rsid w:val="00E43DB3"/>
    <w:rsid w:val="00E467A1"/>
    <w:rsid w:val="00E5678A"/>
    <w:rsid w:val="00E64D12"/>
    <w:rsid w:val="00E84C7F"/>
    <w:rsid w:val="00E94E42"/>
    <w:rsid w:val="00E97CF8"/>
    <w:rsid w:val="00EA2239"/>
    <w:rsid w:val="00EA2661"/>
    <w:rsid w:val="00EB59A3"/>
    <w:rsid w:val="00EC527F"/>
    <w:rsid w:val="00ED6C6D"/>
    <w:rsid w:val="00EE30BA"/>
    <w:rsid w:val="00F06D34"/>
    <w:rsid w:val="00F268AE"/>
    <w:rsid w:val="00F45461"/>
    <w:rsid w:val="00F514A7"/>
    <w:rsid w:val="00F516ED"/>
    <w:rsid w:val="00F731E6"/>
    <w:rsid w:val="00F808B0"/>
    <w:rsid w:val="00FA2E8E"/>
    <w:rsid w:val="00FA4AFD"/>
    <w:rsid w:val="00FB5ABF"/>
    <w:rsid w:val="00FC099B"/>
    <w:rsid w:val="00FC1828"/>
    <w:rsid w:val="00FD0578"/>
    <w:rsid w:val="00FD159D"/>
    <w:rsid w:val="00FD536A"/>
    <w:rsid w:val="00FD6FAC"/>
    <w:rsid w:val="00FE5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65727F1-4F64-40F2-839E-FF03CFDF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0E7"/>
    <w:pPr>
      <w:autoSpaceDE w:val="0"/>
      <w:autoSpaceDN w:val="0"/>
    </w:pPr>
  </w:style>
  <w:style w:type="paragraph" w:styleId="Heading1">
    <w:name w:val="heading 1"/>
    <w:basedOn w:val="Normal"/>
    <w:next w:val="Normal"/>
    <w:qFormat/>
    <w:rsid w:val="004B30E7"/>
    <w:pPr>
      <w:keepNext/>
      <w:tabs>
        <w:tab w:val="left" w:pos="1890"/>
        <w:tab w:val="left" w:pos="4320"/>
        <w:tab w:val="left" w:pos="6390"/>
      </w:tabs>
      <w:outlineLvl w:val="0"/>
    </w:pPr>
    <w:rPr>
      <w:sz w:val="24"/>
      <w:szCs w:val="24"/>
    </w:rPr>
  </w:style>
  <w:style w:type="paragraph" w:styleId="Heading2">
    <w:name w:val="heading 2"/>
    <w:basedOn w:val="Normal"/>
    <w:next w:val="Normal"/>
    <w:qFormat/>
    <w:rsid w:val="004B30E7"/>
    <w:pPr>
      <w:keepNext/>
      <w:ind w:right="540"/>
      <w:jc w:val="center"/>
      <w:outlineLvl w:val="1"/>
    </w:pPr>
    <w:rPr>
      <w:b/>
      <w:bCs/>
      <w:sz w:val="24"/>
      <w:szCs w:val="24"/>
    </w:rPr>
  </w:style>
  <w:style w:type="paragraph" w:styleId="Heading3">
    <w:name w:val="heading 3"/>
    <w:basedOn w:val="Normal"/>
    <w:next w:val="Normal"/>
    <w:qFormat/>
    <w:rsid w:val="004B30E7"/>
    <w:pPr>
      <w:keepNext/>
      <w:ind w:right="180"/>
      <w:jc w:val="center"/>
      <w:outlineLvl w:val="2"/>
    </w:pPr>
    <w:rPr>
      <w:b/>
      <w:bCs/>
      <w:sz w:val="24"/>
      <w:szCs w:val="24"/>
    </w:rPr>
  </w:style>
  <w:style w:type="paragraph" w:styleId="Heading4">
    <w:name w:val="heading 4"/>
    <w:basedOn w:val="Normal"/>
    <w:next w:val="Normal"/>
    <w:qFormat/>
    <w:rsid w:val="004B30E7"/>
    <w:pPr>
      <w:keepNext/>
      <w:tabs>
        <w:tab w:val="left" w:pos="1890"/>
        <w:tab w:val="left" w:pos="4320"/>
        <w:tab w:val="left" w:pos="6480"/>
      </w:tabs>
      <w:jc w:val="both"/>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0E7"/>
    <w:pPr>
      <w:tabs>
        <w:tab w:val="center" w:pos="4320"/>
        <w:tab w:val="right" w:pos="8640"/>
      </w:tabs>
    </w:pPr>
  </w:style>
  <w:style w:type="paragraph" w:styleId="Footer">
    <w:name w:val="footer"/>
    <w:basedOn w:val="Normal"/>
    <w:rsid w:val="004B30E7"/>
    <w:pPr>
      <w:tabs>
        <w:tab w:val="center" w:pos="4320"/>
        <w:tab w:val="right" w:pos="8640"/>
      </w:tabs>
    </w:pPr>
  </w:style>
  <w:style w:type="character" w:styleId="PageNumber">
    <w:name w:val="page number"/>
    <w:basedOn w:val="DefaultParagraphFont"/>
    <w:rsid w:val="004B30E7"/>
    <w:rPr>
      <w:rFonts w:cs="Times New Roman"/>
    </w:rPr>
  </w:style>
  <w:style w:type="paragraph" w:styleId="PlainText">
    <w:name w:val="Plain Text"/>
    <w:basedOn w:val="Normal"/>
    <w:rsid w:val="004B30E7"/>
    <w:rPr>
      <w:rFonts w:ascii="Courier New" w:hAnsi="Courier New" w:cs="Courier New"/>
    </w:rPr>
  </w:style>
  <w:style w:type="paragraph" w:styleId="BodyText2">
    <w:name w:val="Body Text 2"/>
    <w:basedOn w:val="Normal"/>
    <w:rsid w:val="004B30E7"/>
    <w:pPr>
      <w:tabs>
        <w:tab w:val="left" w:pos="1890"/>
        <w:tab w:val="left" w:pos="4320"/>
        <w:tab w:val="left" w:pos="6480"/>
      </w:tabs>
      <w:jc w:val="both"/>
    </w:pPr>
  </w:style>
  <w:style w:type="paragraph" w:styleId="BodyTextIndent2">
    <w:name w:val="Body Text Indent 2"/>
    <w:basedOn w:val="Normal"/>
    <w:rsid w:val="004B30E7"/>
    <w:pPr>
      <w:tabs>
        <w:tab w:val="left" w:pos="720"/>
        <w:tab w:val="left" w:pos="1890"/>
        <w:tab w:val="left" w:pos="4320"/>
        <w:tab w:val="left" w:pos="6480"/>
      </w:tabs>
      <w:ind w:left="720"/>
    </w:pPr>
    <w:rPr>
      <w:sz w:val="24"/>
      <w:szCs w:val="24"/>
    </w:rPr>
  </w:style>
  <w:style w:type="paragraph" w:styleId="BodyText">
    <w:name w:val="Body Text"/>
    <w:basedOn w:val="Normal"/>
    <w:rsid w:val="004B30E7"/>
    <w:pPr>
      <w:tabs>
        <w:tab w:val="left" w:pos="1890"/>
        <w:tab w:val="left" w:pos="4320"/>
        <w:tab w:val="left" w:pos="6480"/>
      </w:tabs>
    </w:pPr>
    <w:rPr>
      <w:sz w:val="24"/>
      <w:szCs w:val="24"/>
    </w:rPr>
  </w:style>
  <w:style w:type="character" w:styleId="Hyperlink">
    <w:name w:val="Hyperlink"/>
    <w:basedOn w:val="DefaultParagraphFont"/>
    <w:rsid w:val="004B30E7"/>
    <w:rPr>
      <w:rFonts w:cs="Times New Roman"/>
      <w:color w:val="0000FF"/>
      <w:u w:val="single"/>
    </w:rPr>
  </w:style>
  <w:style w:type="paragraph" w:styleId="BalloonText">
    <w:name w:val="Balloon Text"/>
    <w:basedOn w:val="Normal"/>
    <w:semiHidden/>
    <w:rsid w:val="00D41724"/>
    <w:rPr>
      <w:rFonts w:ascii="Tahoma" w:hAnsi="Tahoma" w:cs="Tahoma"/>
      <w:sz w:val="16"/>
      <w:szCs w:val="16"/>
    </w:rPr>
  </w:style>
  <w:style w:type="paragraph" w:styleId="DocumentMap">
    <w:name w:val="Document Map"/>
    <w:basedOn w:val="Normal"/>
    <w:semiHidden/>
    <w:rsid w:val="009257B1"/>
    <w:pPr>
      <w:shd w:val="clear" w:color="auto" w:fill="000080"/>
    </w:pPr>
    <w:rPr>
      <w:rFonts w:ascii="Tahoma" w:hAnsi="Tahoma" w:cs="Tahoma"/>
    </w:rPr>
  </w:style>
  <w:style w:type="paragraph" w:styleId="FootnoteText">
    <w:name w:val="footnote text"/>
    <w:basedOn w:val="Normal"/>
    <w:semiHidden/>
    <w:rsid w:val="005906BD"/>
  </w:style>
  <w:style w:type="character" w:styleId="FootnoteReference">
    <w:name w:val="footnote reference"/>
    <w:basedOn w:val="DefaultParagraphFont"/>
    <w:semiHidden/>
    <w:rsid w:val="005906BD"/>
    <w:rPr>
      <w:rFonts w:cs="Times New Roman"/>
      <w:vertAlign w:val="superscript"/>
    </w:rPr>
  </w:style>
  <w:style w:type="paragraph" w:styleId="ListParagraph">
    <w:name w:val="List Paragraph"/>
    <w:basedOn w:val="Normal"/>
    <w:uiPriority w:val="34"/>
    <w:qFormat/>
    <w:rsid w:val="00A43B06"/>
    <w:pPr>
      <w:autoSpaceDE/>
      <w:autoSpaceDN/>
      <w:ind w:left="720"/>
      <w:contextualSpacing/>
    </w:pPr>
    <w:rPr>
      <w:sz w:val="24"/>
      <w:szCs w:val="24"/>
    </w:rPr>
  </w:style>
  <w:style w:type="character" w:styleId="CommentReference">
    <w:name w:val="annotation reference"/>
    <w:basedOn w:val="DefaultParagraphFont"/>
    <w:semiHidden/>
    <w:unhideWhenUsed/>
    <w:rsid w:val="00BF6C14"/>
    <w:rPr>
      <w:sz w:val="16"/>
      <w:szCs w:val="16"/>
    </w:rPr>
  </w:style>
  <w:style w:type="paragraph" w:styleId="CommentText">
    <w:name w:val="annotation text"/>
    <w:basedOn w:val="Normal"/>
    <w:link w:val="CommentTextChar"/>
    <w:semiHidden/>
    <w:unhideWhenUsed/>
    <w:rsid w:val="00BF6C14"/>
  </w:style>
  <w:style w:type="character" w:customStyle="1" w:styleId="CommentTextChar">
    <w:name w:val="Comment Text Char"/>
    <w:basedOn w:val="DefaultParagraphFont"/>
    <w:link w:val="CommentText"/>
    <w:semiHidden/>
    <w:rsid w:val="00BF6C14"/>
  </w:style>
  <w:style w:type="paragraph" w:styleId="NormalWeb">
    <w:name w:val="Normal (Web)"/>
    <w:basedOn w:val="Normal"/>
    <w:uiPriority w:val="99"/>
    <w:semiHidden/>
    <w:unhideWhenUsed/>
    <w:rsid w:val="008B1226"/>
    <w:pPr>
      <w:autoSpaceDE/>
      <w:autoSpaceDN/>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45573115">
      <w:bodyDiv w:val="1"/>
      <w:marLeft w:val="0"/>
      <w:marRight w:val="0"/>
      <w:marTop w:val="0"/>
      <w:marBottom w:val="0"/>
      <w:divBdr>
        <w:top w:val="none" w:sz="0" w:space="0" w:color="auto"/>
        <w:left w:val="none" w:sz="0" w:space="0" w:color="auto"/>
        <w:bottom w:val="none" w:sz="0" w:space="0" w:color="auto"/>
        <w:right w:val="none" w:sz="0" w:space="0" w:color="auto"/>
      </w:divBdr>
    </w:div>
    <w:div w:id="18664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9215445579675"/>
          <c:y val="0.11945727304760718"/>
          <c:w val="0.8583702140966819"/>
          <c:h val="0.72943236613034401"/>
        </c:manualLayout>
      </c:layout>
      <c:barChart>
        <c:barDir val="col"/>
        <c:grouping val="clustered"/>
        <c:varyColors val="0"/>
        <c:ser>
          <c:idx val="0"/>
          <c:order val="0"/>
          <c:tx>
            <c:strRef>
              <c:f>'TUR117'!$B$6</c:f>
              <c:strCache>
                <c:ptCount val="1"/>
                <c:pt idx="0">
                  <c:v>2 Volt Reduction</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chemeClr val="accent1"/>
                </a:solidFill>
              </a:ln>
              <a:effectLst/>
            </c:spPr>
            <c:trendlineType val="movingAvg"/>
            <c:period val="2"/>
            <c:dispRSqr val="0"/>
            <c:dispEq val="0"/>
          </c:trendline>
          <c:cat>
            <c:strRef>
              <c:f>'TUR117'!$A$7:$A$39</c:f>
              <c:strCache>
                <c:ptCount val="33"/>
                <c:pt idx="0">
                  <c:v>124 V</c:v>
                </c:pt>
                <c:pt idx="1">
                  <c:v>123.5 V</c:v>
                </c:pt>
                <c:pt idx="2">
                  <c:v>123 V</c:v>
                </c:pt>
                <c:pt idx="3">
                  <c:v>122.5 V</c:v>
                </c:pt>
                <c:pt idx="4">
                  <c:v>122 V</c:v>
                </c:pt>
                <c:pt idx="5">
                  <c:v>121.5 V</c:v>
                </c:pt>
                <c:pt idx="6">
                  <c:v>121 V</c:v>
                </c:pt>
                <c:pt idx="7">
                  <c:v>120.5 V</c:v>
                </c:pt>
                <c:pt idx="8">
                  <c:v>120 V</c:v>
                </c:pt>
                <c:pt idx="9">
                  <c:v>119.5 V</c:v>
                </c:pt>
                <c:pt idx="10">
                  <c:v>119 V</c:v>
                </c:pt>
                <c:pt idx="11">
                  <c:v>118.5 V</c:v>
                </c:pt>
                <c:pt idx="12">
                  <c:v>118 V</c:v>
                </c:pt>
                <c:pt idx="13">
                  <c:v>117.5 V</c:v>
                </c:pt>
                <c:pt idx="14">
                  <c:v>117 V</c:v>
                </c:pt>
                <c:pt idx="15">
                  <c:v>116.5 V</c:v>
                </c:pt>
                <c:pt idx="16">
                  <c:v>116 V</c:v>
                </c:pt>
                <c:pt idx="17">
                  <c:v>115.5 V</c:v>
                </c:pt>
                <c:pt idx="18">
                  <c:v>115 V</c:v>
                </c:pt>
                <c:pt idx="19">
                  <c:v>114.5 V</c:v>
                </c:pt>
                <c:pt idx="20">
                  <c:v>114 V</c:v>
                </c:pt>
                <c:pt idx="21">
                  <c:v>113.5 V</c:v>
                </c:pt>
                <c:pt idx="22">
                  <c:v>113 V</c:v>
                </c:pt>
                <c:pt idx="23">
                  <c:v>112.5 V</c:v>
                </c:pt>
                <c:pt idx="24">
                  <c:v>112 V</c:v>
                </c:pt>
                <c:pt idx="25">
                  <c:v>111.5 V</c:v>
                </c:pt>
                <c:pt idx="26">
                  <c:v>111 V</c:v>
                </c:pt>
                <c:pt idx="27">
                  <c:v>110.5 V</c:v>
                </c:pt>
                <c:pt idx="28">
                  <c:v>110 V</c:v>
                </c:pt>
                <c:pt idx="29">
                  <c:v>109.5 V</c:v>
                </c:pt>
                <c:pt idx="30">
                  <c:v>109 V</c:v>
                </c:pt>
                <c:pt idx="31">
                  <c:v>108.5 V</c:v>
                </c:pt>
                <c:pt idx="32">
                  <c:v>108 V</c:v>
                </c:pt>
              </c:strCache>
            </c:strRef>
          </c:cat>
          <c:val>
            <c:numRef>
              <c:f>'TUR117'!$B$7:$B$39</c:f>
              <c:numCache>
                <c:formatCode>General</c:formatCode>
                <c:ptCount val="33"/>
                <c:pt idx="0">
                  <c:v>40083111</c:v>
                </c:pt>
                <c:pt idx="1">
                  <c:v>23163845</c:v>
                </c:pt>
                <c:pt idx="2">
                  <c:v>16250361</c:v>
                </c:pt>
                <c:pt idx="3">
                  <c:v>9605917</c:v>
                </c:pt>
                <c:pt idx="4">
                  <c:v>6678595</c:v>
                </c:pt>
                <c:pt idx="5">
                  <c:v>17596963</c:v>
                </c:pt>
                <c:pt idx="6">
                  <c:v>46851870</c:v>
                </c:pt>
                <c:pt idx="7">
                  <c:v>38608056</c:v>
                </c:pt>
                <c:pt idx="8">
                  <c:v>27766702</c:v>
                </c:pt>
                <c:pt idx="9">
                  <c:v>17817504</c:v>
                </c:pt>
                <c:pt idx="10">
                  <c:v>3998474</c:v>
                </c:pt>
                <c:pt idx="11">
                  <c:v>1053858</c:v>
                </c:pt>
                <c:pt idx="12">
                  <c:v>340135</c:v>
                </c:pt>
                <c:pt idx="13">
                  <c:v>75528</c:v>
                </c:pt>
                <c:pt idx="14">
                  <c:v>60622</c:v>
                </c:pt>
                <c:pt idx="15">
                  <c:v>51016</c:v>
                </c:pt>
                <c:pt idx="16">
                  <c:v>12059</c:v>
                </c:pt>
                <c:pt idx="17">
                  <c:v>3511</c:v>
                </c:pt>
                <c:pt idx="18">
                  <c:v>2347</c:v>
                </c:pt>
                <c:pt idx="19">
                  <c:v>1028</c:v>
                </c:pt>
                <c:pt idx="20">
                  <c:v>521</c:v>
                </c:pt>
                <c:pt idx="21">
                  <c:v>1961</c:v>
                </c:pt>
                <c:pt idx="22">
                  <c:v>11970</c:v>
                </c:pt>
                <c:pt idx="23">
                  <c:v>9817</c:v>
                </c:pt>
                <c:pt idx="24">
                  <c:v>15127</c:v>
                </c:pt>
                <c:pt idx="25">
                  <c:v>5772</c:v>
                </c:pt>
                <c:pt idx="26">
                  <c:v>2218</c:v>
                </c:pt>
                <c:pt idx="27">
                  <c:v>15224</c:v>
                </c:pt>
                <c:pt idx="28">
                  <c:v>23314</c:v>
                </c:pt>
              </c:numCache>
            </c:numRef>
          </c:val>
        </c:ser>
        <c:dLbls>
          <c:showLegendKey val="0"/>
          <c:showVal val="0"/>
          <c:showCatName val="0"/>
          <c:showSerName val="0"/>
          <c:showPercent val="0"/>
          <c:showBubbleSize val="0"/>
        </c:dLbls>
        <c:gapWidth val="100"/>
        <c:overlap val="-24"/>
        <c:axId val="489860536"/>
        <c:axId val="298255760"/>
      </c:barChart>
      <c:catAx>
        <c:axId val="489860536"/>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2520000" spcFirstLastPara="1" vertOverflow="ellipsis" wrap="square" anchor="ctr" anchorCtr="1"/>
          <a:lstStyle/>
          <a:p>
            <a:pPr>
              <a:defRPr sz="1000" b="0" i="0" u="none" strike="noStrike" kern="1200" baseline="0">
                <a:solidFill>
                  <a:schemeClr val="lt1">
                    <a:lumMod val="85000"/>
                  </a:schemeClr>
                </a:solidFill>
                <a:latin typeface="+mn-lt"/>
                <a:ea typeface="+mn-ea"/>
                <a:cs typeface="+mn-cs"/>
              </a:defRPr>
            </a:pPr>
            <a:endParaRPr lang="en-US"/>
          </a:p>
        </c:txPr>
        <c:crossAx val="298255760"/>
        <c:crosses val="autoZero"/>
        <c:auto val="1"/>
        <c:lblAlgn val="ctr"/>
        <c:lblOffset val="200"/>
        <c:noMultiLvlLbl val="0"/>
      </c:catAx>
      <c:valAx>
        <c:axId val="2982557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en-US"/>
          </a:p>
        </c:txPr>
        <c:crossAx val="489860536"/>
        <c:crosses val="autoZero"/>
        <c:crossBetween val="between"/>
        <c:dispUnits>
          <c:builtInUnit val="millions"/>
          <c:dispUnitsLbl>
            <c:layout>
              <c:manualLayout>
                <c:xMode val="edge"/>
                <c:yMode val="edge"/>
                <c:x val="1.1116986098681506E-2"/>
                <c:y val="0.26290058570264918"/>
              </c:manualLayout>
            </c:layout>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Number of voltage reads  (Millions)</a:t>
                  </a:r>
                </a:p>
              </c:rich>
            </c:tx>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66665572597509E-2"/>
          <c:y val="0.14126993703436105"/>
          <c:w val="0.877338818996104"/>
          <c:h val="0.71547565618024156"/>
        </c:manualLayout>
      </c:layout>
      <c:barChart>
        <c:barDir val="col"/>
        <c:grouping val="clustered"/>
        <c:varyColors val="0"/>
        <c:ser>
          <c:idx val="1"/>
          <c:order val="0"/>
          <c:tx>
            <c:strRef>
              <c:f>'TUR117'!$C$6</c:f>
              <c:strCache>
                <c:ptCount val="1"/>
                <c:pt idx="0">
                  <c:v>Additional 2 Volt Reduction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chemeClr val="accent2"/>
                </a:solidFill>
              </a:ln>
              <a:effectLst/>
            </c:spPr>
            <c:trendlineType val="movingAvg"/>
            <c:period val="2"/>
            <c:dispRSqr val="0"/>
            <c:dispEq val="0"/>
          </c:trendline>
          <c:cat>
            <c:strRef>
              <c:f>'TUR117'!$A$7:$A$39</c:f>
              <c:strCache>
                <c:ptCount val="33"/>
                <c:pt idx="0">
                  <c:v>124 V</c:v>
                </c:pt>
                <c:pt idx="1">
                  <c:v>123.5 V</c:v>
                </c:pt>
                <c:pt idx="2">
                  <c:v>123 V</c:v>
                </c:pt>
                <c:pt idx="3">
                  <c:v>122.5 V</c:v>
                </c:pt>
                <c:pt idx="4">
                  <c:v>122 V</c:v>
                </c:pt>
                <c:pt idx="5">
                  <c:v>121.5 V</c:v>
                </c:pt>
                <c:pt idx="6">
                  <c:v>121 V</c:v>
                </c:pt>
                <c:pt idx="7">
                  <c:v>120.5 V</c:v>
                </c:pt>
                <c:pt idx="8">
                  <c:v>120 V</c:v>
                </c:pt>
                <c:pt idx="9">
                  <c:v>119.5 V</c:v>
                </c:pt>
                <c:pt idx="10">
                  <c:v>119 V</c:v>
                </c:pt>
                <c:pt idx="11">
                  <c:v>118.5 V</c:v>
                </c:pt>
                <c:pt idx="12">
                  <c:v>118 V</c:v>
                </c:pt>
                <c:pt idx="13">
                  <c:v>117.5 V</c:v>
                </c:pt>
                <c:pt idx="14">
                  <c:v>117 V</c:v>
                </c:pt>
                <c:pt idx="15">
                  <c:v>116.5 V</c:v>
                </c:pt>
                <c:pt idx="16">
                  <c:v>116 V</c:v>
                </c:pt>
                <c:pt idx="17">
                  <c:v>115.5 V</c:v>
                </c:pt>
                <c:pt idx="18">
                  <c:v>115 V</c:v>
                </c:pt>
                <c:pt idx="19">
                  <c:v>114.5 V</c:v>
                </c:pt>
                <c:pt idx="20">
                  <c:v>114 V</c:v>
                </c:pt>
                <c:pt idx="21">
                  <c:v>113.5 V</c:v>
                </c:pt>
                <c:pt idx="22">
                  <c:v>113 V</c:v>
                </c:pt>
                <c:pt idx="23">
                  <c:v>112.5 V</c:v>
                </c:pt>
                <c:pt idx="24">
                  <c:v>112 V</c:v>
                </c:pt>
                <c:pt idx="25">
                  <c:v>111.5 V</c:v>
                </c:pt>
                <c:pt idx="26">
                  <c:v>111 V</c:v>
                </c:pt>
                <c:pt idx="27">
                  <c:v>110.5 V</c:v>
                </c:pt>
                <c:pt idx="28">
                  <c:v>110 V</c:v>
                </c:pt>
                <c:pt idx="29">
                  <c:v>109.5 V</c:v>
                </c:pt>
                <c:pt idx="30">
                  <c:v>109 V</c:v>
                </c:pt>
                <c:pt idx="31">
                  <c:v>108.5 V</c:v>
                </c:pt>
                <c:pt idx="32">
                  <c:v>108 V</c:v>
                </c:pt>
              </c:strCache>
            </c:strRef>
          </c:cat>
          <c:val>
            <c:numRef>
              <c:f>'TUR117'!$C$7:$C$39</c:f>
              <c:numCache>
                <c:formatCode>General</c:formatCode>
                <c:ptCount val="33"/>
                <c:pt idx="4">
                  <c:v>40083111</c:v>
                </c:pt>
                <c:pt idx="5">
                  <c:v>23163845</c:v>
                </c:pt>
                <c:pt idx="6">
                  <c:v>16250361</c:v>
                </c:pt>
                <c:pt idx="7">
                  <c:v>9605917</c:v>
                </c:pt>
                <c:pt idx="8">
                  <c:v>6678595</c:v>
                </c:pt>
                <c:pt idx="9">
                  <c:v>17596963</c:v>
                </c:pt>
                <c:pt idx="10">
                  <c:v>46851870</c:v>
                </c:pt>
                <c:pt idx="11">
                  <c:v>38608056</c:v>
                </c:pt>
                <c:pt idx="12">
                  <c:v>27766702</c:v>
                </c:pt>
                <c:pt idx="13">
                  <c:v>17817504</c:v>
                </c:pt>
                <c:pt idx="14">
                  <c:v>3998474</c:v>
                </c:pt>
                <c:pt idx="15">
                  <c:v>1053858</c:v>
                </c:pt>
                <c:pt idx="16">
                  <c:v>340135</c:v>
                </c:pt>
                <c:pt idx="17">
                  <c:v>75528</c:v>
                </c:pt>
                <c:pt idx="18">
                  <c:v>60622</c:v>
                </c:pt>
                <c:pt idx="19">
                  <c:v>51016</c:v>
                </c:pt>
                <c:pt idx="20">
                  <c:v>12059</c:v>
                </c:pt>
                <c:pt idx="21">
                  <c:v>3511</c:v>
                </c:pt>
                <c:pt idx="22">
                  <c:v>2347</c:v>
                </c:pt>
                <c:pt idx="23">
                  <c:v>1028</c:v>
                </c:pt>
                <c:pt idx="24">
                  <c:v>521</c:v>
                </c:pt>
                <c:pt idx="25">
                  <c:v>1961</c:v>
                </c:pt>
                <c:pt idx="26">
                  <c:v>11970</c:v>
                </c:pt>
                <c:pt idx="27">
                  <c:v>9817</c:v>
                </c:pt>
                <c:pt idx="28">
                  <c:v>15127</c:v>
                </c:pt>
                <c:pt idx="29">
                  <c:v>5772</c:v>
                </c:pt>
                <c:pt idx="30">
                  <c:v>2218</c:v>
                </c:pt>
                <c:pt idx="31">
                  <c:v>15224</c:v>
                </c:pt>
                <c:pt idx="32">
                  <c:v>23314</c:v>
                </c:pt>
              </c:numCache>
            </c:numRef>
          </c:val>
        </c:ser>
        <c:dLbls>
          <c:showLegendKey val="0"/>
          <c:showVal val="0"/>
          <c:showCatName val="0"/>
          <c:showSerName val="0"/>
          <c:showPercent val="0"/>
          <c:showBubbleSize val="0"/>
        </c:dLbls>
        <c:gapWidth val="100"/>
        <c:overlap val="-24"/>
        <c:axId val="298256544"/>
        <c:axId val="298256936"/>
      </c:barChart>
      <c:catAx>
        <c:axId val="2982565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2520000" spcFirstLastPara="1" vertOverflow="ellipsis" wrap="square" anchor="ctr" anchorCtr="1"/>
          <a:lstStyle/>
          <a:p>
            <a:pPr>
              <a:defRPr sz="1000" b="0" i="0" u="none" strike="noStrike" kern="1200" baseline="0">
                <a:solidFill>
                  <a:schemeClr val="lt1">
                    <a:lumMod val="85000"/>
                  </a:schemeClr>
                </a:solidFill>
                <a:latin typeface="+mn-lt"/>
                <a:ea typeface="+mn-ea"/>
                <a:cs typeface="+mn-cs"/>
              </a:defRPr>
            </a:pPr>
            <a:endParaRPr lang="en-US"/>
          </a:p>
        </c:txPr>
        <c:crossAx val="298256936"/>
        <c:crosses val="autoZero"/>
        <c:auto val="1"/>
        <c:lblAlgn val="ctr"/>
        <c:lblOffset val="100"/>
        <c:noMultiLvlLbl val="0"/>
      </c:catAx>
      <c:valAx>
        <c:axId val="2982569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en-US"/>
          </a:p>
        </c:txPr>
        <c:crossAx val="298256544"/>
        <c:crosses val="autoZero"/>
        <c:crossBetween val="between"/>
        <c:dispUnits>
          <c:builtInUnit val="millions"/>
          <c:dispUnitsLbl>
            <c:layout>
              <c:manualLayout>
                <c:xMode val="edge"/>
                <c:yMode val="edge"/>
                <c:x val="1.1116986098681506E-2"/>
                <c:y val="0.26290058570264918"/>
              </c:manualLayout>
            </c:layout>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Number of voltage reads  (Millions)</a:t>
                  </a:r>
                </a:p>
              </c:rich>
            </c:tx>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dispUnitsLbl>
        </c:dispUnits>
      </c:valAx>
      <c:spPr>
        <a:noFill/>
        <a:ln w="25400">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bg1">
                    <a:lumMod val="95000"/>
                  </a:schemeClr>
                </a:solidFill>
                <a:latin typeface="+mn-lt"/>
                <a:ea typeface="+mn-ea"/>
                <a:cs typeface="+mn-cs"/>
              </a:defRPr>
            </a:pPr>
            <a:r>
              <a:rPr lang="en-US" sz="1200" baseline="0"/>
              <a:t>Number of Individual Customers Experiencing Below Minimum Voltage Levels on the Feeder (TRU117)  Associated with a Range of Reductions in Overall Feeder Voltage</a:t>
            </a:r>
          </a:p>
        </c:rich>
      </c:tx>
      <c:layout>
        <c:manualLayout>
          <c:xMode val="edge"/>
          <c:yMode val="edge"/>
          <c:x val="9.4204355108877744E-2"/>
          <c:y val="2.8673835125448029E-2"/>
        </c:manualLayout>
      </c:layout>
      <c:overlay val="0"/>
      <c:spPr>
        <a:noFill/>
        <a:ln>
          <a:noFill/>
        </a:ln>
        <a:effectLst/>
      </c:spPr>
      <c:txPr>
        <a:bodyPr rot="0" spcFirstLastPara="1" vertOverflow="ellipsis" vert="horz" wrap="square" anchor="ctr" anchorCtr="1"/>
        <a:lstStyle/>
        <a:p>
          <a:pPr>
            <a:defRPr sz="1400" b="1" i="0" u="none" strike="noStrike" kern="1200" cap="none" baseline="0">
              <a:solidFill>
                <a:schemeClr val="bg1">
                  <a:lumMod val="95000"/>
                </a:schemeClr>
              </a:solidFill>
              <a:latin typeface="+mn-lt"/>
              <a:ea typeface="+mn-ea"/>
              <a:cs typeface="+mn-cs"/>
            </a:defRPr>
          </a:pPr>
          <a:endParaRPr lang="en-US"/>
        </a:p>
      </c:txPr>
    </c:title>
    <c:autoTitleDeleted val="0"/>
    <c:plotArea>
      <c:layout/>
      <c:lineChart>
        <c:grouping val="standard"/>
        <c:varyColors val="0"/>
        <c:ser>
          <c:idx val="0"/>
          <c:order val="0"/>
          <c:tx>
            <c:strRef>
              <c:f>'TUR117'!$A$48</c:f>
              <c:strCache>
                <c:ptCount val="1"/>
                <c:pt idx="0">
                  <c:v>Number of affected customers</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bg1">
                        <a:lumMod val="9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'TUR117'!$B$47:$J$47</c:f>
              <c:strCache>
                <c:ptCount val="9"/>
                <c:pt idx="0">
                  <c:v>0 Volt Reduction</c:v>
                </c:pt>
                <c:pt idx="1">
                  <c:v>0.5 Volt</c:v>
                </c:pt>
                <c:pt idx="2">
                  <c:v>1 Volt Reduction</c:v>
                </c:pt>
                <c:pt idx="3">
                  <c:v>1.5 volt</c:v>
                </c:pt>
                <c:pt idx="4">
                  <c:v>2 Volt Reduction</c:v>
                </c:pt>
                <c:pt idx="5">
                  <c:v>2.5 Volt</c:v>
                </c:pt>
                <c:pt idx="6">
                  <c:v>3  Volt Reduction</c:v>
                </c:pt>
                <c:pt idx="7">
                  <c:v>3.5 Volt</c:v>
                </c:pt>
                <c:pt idx="8">
                  <c:v>4  Volt Reduction</c:v>
                </c:pt>
              </c:strCache>
            </c:strRef>
          </c:cat>
          <c:val>
            <c:numRef>
              <c:f>'TUR117'!$B$48:$J$48</c:f>
              <c:numCache>
                <c:formatCode>0</c:formatCode>
                <c:ptCount val="9"/>
                <c:pt idx="0">
                  <c:v>0.89156582259976558</c:v>
                </c:pt>
                <c:pt idx="1">
                  <c:v>0.89700480944536209</c:v>
                </c:pt>
                <c:pt idx="2">
                  <c:v>0.90773662993916859</c:v>
                </c:pt>
                <c:pt idx="3">
                  <c:v>0.93223816952960037</c:v>
                </c:pt>
                <c:pt idx="4">
                  <c:v>0.96889130353130737</c:v>
                </c:pt>
                <c:pt idx="5">
                  <c:v>1.0947814040515536</c:v>
                </c:pt>
                <c:pt idx="6">
                  <c:v>1.627363655327851</c:v>
                </c:pt>
                <c:pt idx="7">
                  <c:v>2.2602278790394652</c:v>
                </c:pt>
                <c:pt idx="8">
                  <c:v>3.0487034999112743</c:v>
                </c:pt>
              </c:numCache>
            </c:numRef>
          </c:val>
          <c:smooth val="0"/>
        </c:ser>
        <c:dLbls>
          <c:dLblPos val="t"/>
          <c:showLegendKey val="0"/>
          <c:showVal val="1"/>
          <c:showCatName val="0"/>
          <c:showSerName val="0"/>
          <c:showPercent val="0"/>
          <c:showBubbleSize val="0"/>
        </c:dLbls>
        <c:smooth val="0"/>
        <c:axId val="394060080"/>
        <c:axId val="394060472"/>
      </c:lineChart>
      <c:catAx>
        <c:axId val="39406008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out"/>
        <c:minorTickMark val="none"/>
        <c:tickLblPos val="nextTo"/>
        <c:spPr>
          <a:noFill/>
          <a:ln>
            <a:solidFill>
              <a:schemeClr val="bg1"/>
            </a:solidFill>
          </a:ln>
          <a:effectLst/>
        </c:spPr>
        <c:txPr>
          <a:bodyPr rot="-2100000" spcFirstLastPara="1" vertOverflow="ellipsis" wrap="square" anchor="ctr" anchorCtr="1"/>
          <a:lstStyle/>
          <a:p>
            <a:pPr>
              <a:defRPr sz="900" b="0" i="0" u="none" strike="noStrike" kern="1200" baseline="0">
                <a:solidFill>
                  <a:schemeClr val="bg1">
                    <a:lumMod val="95000"/>
                  </a:schemeClr>
                </a:solidFill>
                <a:latin typeface="+mn-lt"/>
                <a:ea typeface="+mn-ea"/>
                <a:cs typeface="+mn-cs"/>
              </a:defRPr>
            </a:pPr>
            <a:endParaRPr lang="en-US"/>
          </a:p>
        </c:txPr>
        <c:crossAx val="394060472"/>
        <c:crosses val="autoZero"/>
        <c:auto val="1"/>
        <c:lblAlgn val="ctr"/>
        <c:lblOffset val="100"/>
        <c:noMultiLvlLbl val="0"/>
      </c:catAx>
      <c:valAx>
        <c:axId val="394060472"/>
        <c:scaling>
          <c:orientation val="minMax"/>
          <c:max val="4"/>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95000"/>
                  </a:schemeClr>
                </a:solidFill>
                <a:latin typeface="+mn-lt"/>
                <a:ea typeface="+mn-ea"/>
                <a:cs typeface="+mn-cs"/>
              </a:defRPr>
            </a:pPr>
            <a:endParaRPr lang="en-US"/>
          </a:p>
        </c:txPr>
        <c:crossAx val="394060080"/>
        <c:crosses val="autoZero"/>
        <c:crossBetween val="between"/>
        <c:majorUnit val="1"/>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baseline="0">
          <a:solidFill>
            <a:schemeClr val="bg1">
              <a:lumMod val="95000"/>
            </a:schemeClr>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0.15288</cdr:x>
      <cdr:y>0.02461</cdr:y>
    </cdr:from>
    <cdr:to>
      <cdr:x>0.89563</cdr:x>
      <cdr:y>0.16046</cdr:y>
    </cdr:to>
    <cdr:sp macro="" textlink="">
      <cdr:nvSpPr>
        <cdr:cNvPr id="2" name="Text Box 2" descr="Voltage Levels at Each Customer's Service on the Feeder (TUR117) Under a 2-Volt CVR Reduction&#10;" title="Voltage Levels at Each Customer's Service on the Feeder (TUR117) Under a 2-Volt CVR Reduction"/>
        <cdr:cNvSpPr txBox="1">
          <a:spLocks xmlns:a="http://schemas.openxmlformats.org/drawingml/2006/main" noChangeArrowheads="1"/>
        </cdr:cNvSpPr>
      </cdr:nvSpPr>
      <cdr:spPr bwMode="auto">
        <a:xfrm xmlns:a="http://schemas.openxmlformats.org/drawingml/2006/main">
          <a:off x="764695" y="84795"/>
          <a:ext cx="3715145" cy="4680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n-US" sz="1200">
              <a:solidFill>
                <a:schemeClr val="bg1"/>
              </a:solidFill>
            </a:rPr>
            <a:t>Voltage</a:t>
          </a:r>
          <a:r>
            <a:rPr lang="en-US" sz="1200" baseline="0">
              <a:solidFill>
                <a:schemeClr val="bg1"/>
              </a:solidFill>
            </a:rPr>
            <a:t> Levels Taken at Each Customer's Service on the Feeder (TUR117) Under a 2-Volt CVR Reduction</a:t>
          </a:r>
          <a:endParaRPr lang="en-US" sz="1200">
            <a:solidFill>
              <a:schemeClr val="bg1"/>
            </a:solidFill>
          </a:endParaRPr>
        </a:p>
      </cdr:txBody>
    </cdr:sp>
  </cdr:relSizeAnchor>
  <cdr:relSizeAnchor xmlns:cdr="http://schemas.openxmlformats.org/drawingml/2006/chartDrawing">
    <cdr:from>
      <cdr:x>0.13029</cdr:x>
      <cdr:y>0.22821</cdr:y>
    </cdr:from>
    <cdr:to>
      <cdr:x>0.26205</cdr:x>
      <cdr:y>0.305</cdr:y>
    </cdr:to>
    <cdr:sp macro="" textlink="">
      <cdr:nvSpPr>
        <cdr:cNvPr id="3" name="Text Box 2"/>
        <cdr:cNvSpPr txBox="1">
          <a:spLocks xmlns:a="http://schemas.openxmlformats.org/drawingml/2006/main" noChangeArrowheads="1"/>
        </cdr:cNvSpPr>
      </cdr:nvSpPr>
      <cdr:spPr bwMode="auto">
        <a:xfrm xmlns:a="http://schemas.openxmlformats.org/drawingml/2006/main">
          <a:off x="739646" y="786317"/>
          <a:ext cx="747960" cy="264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a:solidFill>
                <a:schemeClr val="bg1"/>
              </a:solidFill>
            </a:rPr>
            <a:t>CVR "Off"</a:t>
          </a:r>
        </a:p>
      </cdr:txBody>
    </cdr:sp>
  </cdr:relSizeAnchor>
  <cdr:relSizeAnchor xmlns:cdr="http://schemas.openxmlformats.org/drawingml/2006/chartDrawing">
    <cdr:from>
      <cdr:x>0.40292</cdr:x>
      <cdr:y>0.19409</cdr:y>
    </cdr:from>
    <cdr:to>
      <cdr:x>0.59501</cdr:x>
      <cdr:y>0.27925</cdr:y>
    </cdr:to>
    <cdr:sp macro="" textlink="">
      <cdr:nvSpPr>
        <cdr:cNvPr id="4" name="Text Box 1"/>
        <cdr:cNvSpPr txBox="1">
          <a:spLocks xmlns:a="http://schemas.openxmlformats.org/drawingml/2006/main" noChangeArrowheads="1"/>
        </cdr:cNvSpPr>
      </cdr:nvSpPr>
      <cdr:spPr bwMode="auto">
        <a:xfrm xmlns:a="http://schemas.openxmlformats.org/drawingml/2006/main">
          <a:off x="2287336" y="648896"/>
          <a:ext cx="1090485" cy="28471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solidFill>
                <a:schemeClr val="bg1"/>
              </a:solidFill>
            </a:rPr>
            <a:t>2 Volt CVR "On"</a:t>
          </a:r>
        </a:p>
      </cdr:txBody>
    </cdr:sp>
  </cdr:relSizeAnchor>
  <cdr:relSizeAnchor xmlns:cdr="http://schemas.openxmlformats.org/drawingml/2006/chartDrawing">
    <cdr:from>
      <cdr:x>0.36903</cdr:x>
      <cdr:y>0.27133</cdr:y>
    </cdr:from>
    <cdr:to>
      <cdr:x>0.44355</cdr:x>
      <cdr:y>0.45552</cdr:y>
    </cdr:to>
    <cdr:cxnSp macro="">
      <cdr:nvCxnSpPr>
        <cdr:cNvPr id="5" name="Straight Arrow Connector 4"/>
        <cdr:cNvCxnSpPr/>
      </cdr:nvCxnSpPr>
      <cdr:spPr>
        <a:xfrm xmlns:a="http://schemas.openxmlformats.org/drawingml/2006/main" flipH="1">
          <a:off x="2094932" y="934872"/>
          <a:ext cx="423080" cy="634620"/>
        </a:xfrm>
        <a:prstGeom xmlns:a="http://schemas.openxmlformats.org/drawingml/2006/main" prst="straightConnector1">
          <a:avLst/>
        </a:prstGeom>
        <a:ln xmlns:a="http://schemas.openxmlformats.org/drawingml/2006/main" w="22225">
          <a:solidFill>
            <a:schemeClr val="bg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0.12157</cdr:x>
      <cdr:y>0.02183</cdr:y>
    </cdr:from>
    <cdr:to>
      <cdr:x>0.94399</cdr:x>
      <cdr:y>0.15959</cdr:y>
    </cdr:to>
    <cdr:sp macro="" textlink="">
      <cdr:nvSpPr>
        <cdr:cNvPr id="2" name="Text Box 2" descr="Voltage Levels at Each Customer's Service on the Feeder (TUR117) Under a 2-Volt CVR Reduction&#10;" title="Voltage Levels at Each Customer's Service on the Feeder (TUR117) Under a 2-Volt CVR Reduction"/>
        <cdr:cNvSpPr txBox="1">
          <a:spLocks xmlns:a="http://schemas.openxmlformats.org/drawingml/2006/main" noChangeArrowheads="1"/>
        </cdr:cNvSpPr>
      </cdr:nvSpPr>
      <cdr:spPr bwMode="auto">
        <a:xfrm xmlns:a="http://schemas.openxmlformats.org/drawingml/2006/main">
          <a:off x="696035" y="74180"/>
          <a:ext cx="4708477" cy="4680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r>
            <a:rPr lang="en-US" sz="1200">
              <a:solidFill>
                <a:schemeClr val="bg1"/>
              </a:solidFill>
            </a:rPr>
            <a:t>Voltage</a:t>
          </a:r>
          <a:r>
            <a:rPr lang="en-US" sz="1200" baseline="0">
              <a:solidFill>
                <a:schemeClr val="bg1"/>
              </a:solidFill>
            </a:rPr>
            <a:t> Levels Taken at Each Customer's Service on the Feeder (TUR117) Under an Additional 2-Volt CVR Reduction (4 Volts Total)</a:t>
          </a:r>
          <a:endParaRPr lang="en-US" sz="1200">
            <a:solidFill>
              <a:schemeClr val="bg1"/>
            </a:solidFill>
          </a:endParaRPr>
        </a:p>
      </cdr:txBody>
    </cdr:sp>
  </cdr:relSizeAnchor>
  <cdr:relSizeAnchor xmlns:cdr="http://schemas.openxmlformats.org/drawingml/2006/chartDrawing">
    <cdr:from>
      <cdr:x>0.25555</cdr:x>
      <cdr:y>0.35228</cdr:y>
    </cdr:from>
    <cdr:to>
      <cdr:x>0.27807</cdr:x>
      <cdr:y>0.43656</cdr:y>
    </cdr:to>
    <cdr:cxnSp macro="">
      <cdr:nvCxnSpPr>
        <cdr:cNvPr id="3" name="Straight Arrow Connector 2"/>
        <cdr:cNvCxnSpPr/>
      </cdr:nvCxnSpPr>
      <cdr:spPr>
        <a:xfrm xmlns:a="http://schemas.openxmlformats.org/drawingml/2006/main" flipH="1">
          <a:off x="1463078" y="1196994"/>
          <a:ext cx="128905" cy="286385"/>
        </a:xfrm>
        <a:prstGeom xmlns:a="http://schemas.openxmlformats.org/drawingml/2006/main" prst="straightConnector1">
          <a:avLst/>
        </a:prstGeom>
        <a:ln xmlns:a="http://schemas.openxmlformats.org/drawingml/2006/main" w="22225">
          <a:solidFill>
            <a:schemeClr val="bg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0.22865</cdr:x>
      <cdr:y>0.23231</cdr:y>
    </cdr:from>
    <cdr:to>
      <cdr:x>0.35929</cdr:x>
      <cdr:y>0.36086</cdr:y>
    </cdr:to>
    <cdr:sp macro="" textlink="">
      <cdr:nvSpPr>
        <cdr:cNvPr id="4" name="Text Box 1"/>
        <cdr:cNvSpPr txBox="1">
          <a:spLocks xmlns:a="http://schemas.openxmlformats.org/drawingml/2006/main" noChangeArrowheads="1"/>
        </cdr:cNvSpPr>
      </cdr:nvSpPr>
      <cdr:spPr bwMode="auto">
        <a:xfrm xmlns:a="http://schemas.openxmlformats.org/drawingml/2006/main">
          <a:off x="1309058" y="789361"/>
          <a:ext cx="747935" cy="43678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a:solidFill>
                <a:schemeClr val="bg1"/>
              </a:solidFill>
            </a:rPr>
            <a:t>2 Volt CVR "On"</a:t>
          </a:r>
        </a:p>
      </cdr:txBody>
    </cdr:sp>
  </cdr:relSizeAnchor>
  <cdr:relSizeAnchor xmlns:cdr="http://schemas.openxmlformats.org/drawingml/2006/chartDrawing">
    <cdr:from>
      <cdr:x>0.45703</cdr:x>
      <cdr:y>0.27603</cdr:y>
    </cdr:from>
    <cdr:to>
      <cdr:x>0.52974</cdr:x>
      <cdr:y>0.42464</cdr:y>
    </cdr:to>
    <cdr:cxnSp macro="">
      <cdr:nvCxnSpPr>
        <cdr:cNvPr id="5" name="Straight Arrow Connector 4"/>
        <cdr:cNvCxnSpPr/>
      </cdr:nvCxnSpPr>
      <cdr:spPr>
        <a:xfrm xmlns:a="http://schemas.openxmlformats.org/drawingml/2006/main" flipH="1">
          <a:off x="2616578" y="937904"/>
          <a:ext cx="416258" cy="504967"/>
        </a:xfrm>
        <a:prstGeom xmlns:a="http://schemas.openxmlformats.org/drawingml/2006/main" prst="straightConnector1">
          <a:avLst/>
        </a:prstGeom>
        <a:ln xmlns:a="http://schemas.openxmlformats.org/drawingml/2006/main" w="22225">
          <a:solidFill>
            <a:schemeClr val="bg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0.52401</cdr:x>
      <cdr:y>0.21377</cdr:y>
    </cdr:from>
    <cdr:to>
      <cdr:x>0.83553</cdr:x>
      <cdr:y>0.38157</cdr:y>
    </cdr:to>
    <cdr:sp macro="" textlink="">
      <cdr:nvSpPr>
        <cdr:cNvPr id="6" name="Text Box 1"/>
        <cdr:cNvSpPr txBox="1">
          <a:spLocks xmlns:a="http://schemas.openxmlformats.org/drawingml/2006/main" noChangeArrowheads="1"/>
        </cdr:cNvSpPr>
      </cdr:nvSpPr>
      <cdr:spPr bwMode="auto">
        <a:xfrm xmlns:a="http://schemas.openxmlformats.org/drawingml/2006/main">
          <a:off x="3000027" y="726376"/>
          <a:ext cx="1783513" cy="5701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a:solidFill>
                <a:schemeClr val="bg1"/>
              </a:solidFill>
            </a:rPr>
            <a:t>Additional 2 Volt CVR "On"   (4 Volts</a:t>
          </a:r>
          <a:r>
            <a:rPr lang="en-US" baseline="0">
              <a:solidFill>
                <a:schemeClr val="bg1"/>
              </a:solidFill>
            </a:rPr>
            <a:t> Total)</a:t>
          </a:r>
          <a:endParaRPr lang="en-US">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83ED465A26668459AA6DC672056AAD1" ma:contentTypeVersion="104" ma:contentTypeDescription="" ma:contentTypeScope="" ma:versionID="492f3f74aa671fbc9e82ae37d22169a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2016-02-19T08:00:00+00:00</OpenedDate>
    <Date1 xmlns="dc463f71-b30c-4ab2-9473-d307f9d35888">2016-08-17T07:00:00+00:00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160228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CC27B-EAC4-4110-BF91-B046E31F5342}"/>
</file>

<file path=customXml/itemProps2.xml><?xml version="1.0" encoding="utf-8"?>
<ds:datastoreItem xmlns:ds="http://schemas.openxmlformats.org/officeDocument/2006/customXml" ds:itemID="{9DCBF450-CE53-4697-A837-A701AFA02E60}"/>
</file>

<file path=customXml/itemProps3.xml><?xml version="1.0" encoding="utf-8"?>
<ds:datastoreItem xmlns:ds="http://schemas.openxmlformats.org/officeDocument/2006/customXml" ds:itemID="{2DA54C4A-7815-4371-8B2C-C0DA0647A851}"/>
</file>

<file path=customXml/itemProps4.xml><?xml version="1.0" encoding="utf-8"?>
<ds:datastoreItem xmlns:ds="http://schemas.openxmlformats.org/officeDocument/2006/customXml" ds:itemID="{CD4CDFC6-BBC8-40D4-AB40-F6442E2BC691}"/>
</file>

<file path=customXml/itemProps5.xml><?xml version="1.0" encoding="utf-8"?>
<ds:datastoreItem xmlns:ds="http://schemas.openxmlformats.org/officeDocument/2006/customXml" ds:itemID="{C31FE391-997F-4F83-B969-70EADC4D7DC8}"/>
</file>

<file path=docProps/app.xml><?xml version="1.0" encoding="utf-8"?>
<Properties xmlns="http://schemas.openxmlformats.org/officeDocument/2006/extended-properties" xmlns:vt="http://schemas.openxmlformats.org/officeDocument/2006/docPropsVTypes">
  <Template>Normal</Template>
  <TotalTime>315</TotalTime>
  <Pages>5</Pages>
  <Words>1102</Words>
  <Characters>6135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AVISTA UTILITIES</vt:lpstr>
    </vt:vector>
  </TitlesOfParts>
  <Company>WWP</Company>
  <LinksUpToDate>false</LinksUpToDate>
  <CharactersWithSpaces>7223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AVISTA UTILITIES</dc:title>
  <dc:creator>Kelly Norwood</dc:creator>
  <cp:lastModifiedBy>La Bolle, Larry</cp:lastModifiedBy>
  <cp:revision>24</cp:revision>
  <cp:lastPrinted>2016-06-09T14:32:00Z</cp:lastPrinted>
  <dcterms:created xsi:type="dcterms:W3CDTF">2016-06-07T22:31:00Z</dcterms:created>
  <dcterms:modified xsi:type="dcterms:W3CDTF">2016-06-10T22:12:00Z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0x0101006E56B4D1795A2E4DB2F0B01679ED314A00D83ED465A26668459AA6DC672056AAD1</vt:lpwstr>
  </property>
  <property fmtid="{D5CDD505-2E9C-101B-9397-08002B2CF9AE}" pid="3" name="_docset_NoMedatataSyncRequired">
    <vt:lpwstr>False</vt:lpwstr>
  </property>
</Properties>
</file>