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val="0"/>
          <w:bCs w:val="0"/>
          <w:caps w:val="0"/>
          <w:color w:val="auto"/>
          <w:sz w:val="24"/>
          <w:szCs w:val="24"/>
        </w:rPr>
        <w:id w:val="415210845"/>
        <w:docPartObj>
          <w:docPartGallery w:val="Table of Contents"/>
          <w:docPartUnique/>
        </w:docPartObj>
      </w:sdtPr>
      <w:sdtContent>
        <w:p w:rsidR="000D5746" w:rsidRDefault="008175B2" w:rsidP="00E35DD1">
          <w:pPr>
            <w:pStyle w:val="TOCHeading"/>
            <w:suppressLineNumbers/>
            <w:spacing w:before="0" w:line="480" w:lineRule="auto"/>
          </w:pPr>
          <w:r w:rsidRPr="008175B2">
            <w:rPr>
              <w:rFonts w:ascii="Times New Roman" w:hAnsi="Times New Roman" w:cs="Times New Roman"/>
              <w:color w:val="auto"/>
              <w:sz w:val="24"/>
              <w:szCs w:val="24"/>
            </w:rPr>
            <w:t>Table of Contents</w:t>
          </w:r>
        </w:p>
        <w:p w:rsidR="000D5746" w:rsidRDefault="00B207D1" w:rsidP="008175B2">
          <w:pPr>
            <w:pStyle w:val="TOC1"/>
            <w:rPr>
              <w:rFonts w:asciiTheme="minorHAnsi" w:eastAsiaTheme="minorEastAsia" w:hAnsiTheme="minorHAnsi" w:cstheme="minorBidi"/>
              <w:noProof/>
              <w:sz w:val="22"/>
              <w:szCs w:val="22"/>
            </w:rPr>
          </w:pPr>
          <w:r>
            <w:fldChar w:fldCharType="begin"/>
          </w:r>
          <w:r w:rsidR="000D5746">
            <w:instrText xml:space="preserve"> TOC \o "1-3" \h \z \u </w:instrText>
          </w:r>
          <w:r>
            <w:fldChar w:fldCharType="separate"/>
          </w:r>
          <w:hyperlink w:anchor="_Toc362852644" w:history="1">
            <w:r w:rsidR="000D5746" w:rsidRPr="00F0643B">
              <w:rPr>
                <w:rStyle w:val="Hyperlink"/>
                <w:noProof/>
              </w:rPr>
              <w:t>QUALIFICATIONS</w:t>
            </w:r>
            <w:r w:rsidR="000D5746">
              <w:rPr>
                <w:noProof/>
                <w:webHidden/>
              </w:rPr>
              <w:tab/>
            </w:r>
            <w:r>
              <w:rPr>
                <w:noProof/>
                <w:webHidden/>
              </w:rPr>
              <w:fldChar w:fldCharType="begin"/>
            </w:r>
            <w:r w:rsidR="000D5746">
              <w:rPr>
                <w:noProof/>
                <w:webHidden/>
              </w:rPr>
              <w:instrText xml:space="preserve"> PAGEREF _Toc362852644 \h </w:instrText>
            </w:r>
            <w:r>
              <w:rPr>
                <w:noProof/>
                <w:webHidden/>
              </w:rPr>
            </w:r>
            <w:r>
              <w:rPr>
                <w:noProof/>
                <w:webHidden/>
              </w:rPr>
              <w:fldChar w:fldCharType="separate"/>
            </w:r>
            <w:r w:rsidR="00C32831">
              <w:rPr>
                <w:noProof/>
                <w:webHidden/>
              </w:rPr>
              <w:t>1</w:t>
            </w:r>
            <w:r>
              <w:rPr>
                <w:noProof/>
                <w:webHidden/>
              </w:rPr>
              <w:fldChar w:fldCharType="end"/>
            </w:r>
          </w:hyperlink>
        </w:p>
        <w:p w:rsidR="000D5746" w:rsidRDefault="00B207D1" w:rsidP="008175B2">
          <w:pPr>
            <w:pStyle w:val="TOC1"/>
            <w:rPr>
              <w:rFonts w:asciiTheme="minorHAnsi" w:eastAsiaTheme="minorEastAsia" w:hAnsiTheme="minorHAnsi" w:cstheme="minorBidi"/>
              <w:noProof/>
              <w:sz w:val="22"/>
              <w:szCs w:val="22"/>
            </w:rPr>
          </w:pPr>
          <w:hyperlink w:anchor="_Toc362852645" w:history="1">
            <w:r w:rsidR="000D5746" w:rsidRPr="00F0643B">
              <w:rPr>
                <w:rStyle w:val="Hyperlink"/>
                <w:noProof/>
              </w:rPr>
              <w:t>PURPOSE OF TESTIMONY</w:t>
            </w:r>
            <w:r w:rsidR="000D5746">
              <w:rPr>
                <w:noProof/>
                <w:webHidden/>
              </w:rPr>
              <w:tab/>
            </w:r>
            <w:r>
              <w:rPr>
                <w:noProof/>
                <w:webHidden/>
              </w:rPr>
              <w:fldChar w:fldCharType="begin"/>
            </w:r>
            <w:r w:rsidR="000D5746">
              <w:rPr>
                <w:noProof/>
                <w:webHidden/>
              </w:rPr>
              <w:instrText xml:space="preserve"> PAGEREF _Toc362852645 \h </w:instrText>
            </w:r>
            <w:r>
              <w:rPr>
                <w:noProof/>
                <w:webHidden/>
              </w:rPr>
            </w:r>
            <w:r>
              <w:rPr>
                <w:noProof/>
                <w:webHidden/>
              </w:rPr>
              <w:fldChar w:fldCharType="separate"/>
            </w:r>
            <w:r w:rsidR="00C32831">
              <w:rPr>
                <w:noProof/>
                <w:webHidden/>
              </w:rPr>
              <w:t>1</w:t>
            </w:r>
            <w:r>
              <w:rPr>
                <w:noProof/>
                <w:webHidden/>
              </w:rPr>
              <w:fldChar w:fldCharType="end"/>
            </w:r>
          </w:hyperlink>
        </w:p>
        <w:p w:rsidR="000D5746" w:rsidRDefault="00B207D1" w:rsidP="008175B2">
          <w:pPr>
            <w:pStyle w:val="TOC1"/>
            <w:rPr>
              <w:rFonts w:asciiTheme="minorHAnsi" w:eastAsiaTheme="minorEastAsia" w:hAnsiTheme="minorHAnsi" w:cstheme="minorBidi"/>
              <w:noProof/>
              <w:sz w:val="22"/>
              <w:szCs w:val="22"/>
            </w:rPr>
          </w:pPr>
          <w:hyperlink w:anchor="_Toc362852646" w:history="1">
            <w:r w:rsidR="000D5746" w:rsidRPr="00F0643B">
              <w:rPr>
                <w:rStyle w:val="Hyperlink"/>
                <w:noProof/>
              </w:rPr>
              <w:t>WASHINGTON REGULATORY ENVIRONMENT</w:t>
            </w:r>
            <w:r w:rsidR="000D5746">
              <w:rPr>
                <w:noProof/>
                <w:webHidden/>
              </w:rPr>
              <w:tab/>
            </w:r>
            <w:r>
              <w:rPr>
                <w:noProof/>
                <w:webHidden/>
              </w:rPr>
              <w:fldChar w:fldCharType="begin"/>
            </w:r>
            <w:r w:rsidR="000D5746">
              <w:rPr>
                <w:noProof/>
                <w:webHidden/>
              </w:rPr>
              <w:instrText xml:space="preserve"> PAGEREF _Toc362852646 \h </w:instrText>
            </w:r>
            <w:r>
              <w:rPr>
                <w:noProof/>
                <w:webHidden/>
              </w:rPr>
            </w:r>
            <w:r>
              <w:rPr>
                <w:noProof/>
                <w:webHidden/>
              </w:rPr>
              <w:fldChar w:fldCharType="separate"/>
            </w:r>
            <w:r w:rsidR="00C32831">
              <w:rPr>
                <w:noProof/>
                <w:webHidden/>
              </w:rPr>
              <w:t>2</w:t>
            </w:r>
            <w:r>
              <w:rPr>
                <w:noProof/>
                <w:webHidden/>
              </w:rPr>
              <w:fldChar w:fldCharType="end"/>
            </w:r>
          </w:hyperlink>
        </w:p>
        <w:p w:rsidR="000D5746" w:rsidRDefault="00B207D1" w:rsidP="008175B2">
          <w:pPr>
            <w:pStyle w:val="TOC1"/>
            <w:rPr>
              <w:rFonts w:asciiTheme="minorHAnsi" w:eastAsiaTheme="minorEastAsia" w:hAnsiTheme="minorHAnsi" w:cstheme="minorBidi"/>
              <w:noProof/>
              <w:sz w:val="22"/>
              <w:szCs w:val="22"/>
            </w:rPr>
          </w:pPr>
          <w:hyperlink w:anchor="_Toc362852647" w:history="1">
            <w:r w:rsidR="000D5746" w:rsidRPr="00F0643B">
              <w:rPr>
                <w:rStyle w:val="Hyperlink"/>
                <w:noProof/>
              </w:rPr>
              <w:t>DESCRIPTION OF THE COLLABORATIVE PROCESS</w:t>
            </w:r>
            <w:r w:rsidR="000D5746">
              <w:rPr>
                <w:noProof/>
                <w:webHidden/>
              </w:rPr>
              <w:tab/>
            </w:r>
            <w:r>
              <w:rPr>
                <w:noProof/>
                <w:webHidden/>
              </w:rPr>
              <w:fldChar w:fldCharType="begin"/>
            </w:r>
            <w:r w:rsidR="000D5746">
              <w:rPr>
                <w:noProof/>
                <w:webHidden/>
              </w:rPr>
              <w:instrText xml:space="preserve"> PAGEREF _Toc362852647 \h </w:instrText>
            </w:r>
            <w:r>
              <w:rPr>
                <w:noProof/>
                <w:webHidden/>
              </w:rPr>
            </w:r>
            <w:r>
              <w:rPr>
                <w:noProof/>
                <w:webHidden/>
              </w:rPr>
              <w:fldChar w:fldCharType="separate"/>
            </w:r>
            <w:r w:rsidR="00C32831">
              <w:rPr>
                <w:noProof/>
                <w:webHidden/>
              </w:rPr>
              <w:t>5</w:t>
            </w:r>
            <w:r>
              <w:rPr>
                <w:noProof/>
                <w:webHidden/>
              </w:rPr>
              <w:fldChar w:fldCharType="end"/>
            </w:r>
          </w:hyperlink>
        </w:p>
        <w:p w:rsidR="000D5746" w:rsidRDefault="00B207D1" w:rsidP="008175B2">
          <w:pPr>
            <w:pStyle w:val="TOC1"/>
            <w:rPr>
              <w:rFonts w:asciiTheme="minorHAnsi" w:eastAsiaTheme="minorEastAsia" w:hAnsiTheme="minorHAnsi" w:cstheme="minorBidi"/>
              <w:noProof/>
              <w:sz w:val="22"/>
              <w:szCs w:val="22"/>
            </w:rPr>
          </w:pPr>
          <w:hyperlink w:anchor="_Toc362852648" w:history="1">
            <w:r w:rsidR="000D5746" w:rsidRPr="00F0643B">
              <w:rPr>
                <w:rStyle w:val="Hyperlink"/>
                <w:noProof/>
              </w:rPr>
              <w:t>COMPANY’S PROPOSALS AND PARTIES’ RESPONSES</w:t>
            </w:r>
            <w:r w:rsidR="000D5746">
              <w:rPr>
                <w:noProof/>
                <w:webHidden/>
              </w:rPr>
              <w:tab/>
            </w:r>
            <w:r>
              <w:rPr>
                <w:noProof/>
                <w:webHidden/>
              </w:rPr>
              <w:fldChar w:fldCharType="begin"/>
            </w:r>
            <w:r w:rsidR="000D5746">
              <w:rPr>
                <w:noProof/>
                <w:webHidden/>
              </w:rPr>
              <w:instrText xml:space="preserve"> PAGEREF _Toc362852648 \h </w:instrText>
            </w:r>
            <w:r>
              <w:rPr>
                <w:noProof/>
                <w:webHidden/>
              </w:rPr>
            </w:r>
            <w:r>
              <w:rPr>
                <w:noProof/>
                <w:webHidden/>
              </w:rPr>
              <w:fldChar w:fldCharType="separate"/>
            </w:r>
            <w:r w:rsidR="00C32831">
              <w:rPr>
                <w:noProof/>
                <w:webHidden/>
              </w:rPr>
              <w:t>7</w:t>
            </w:r>
            <w:r>
              <w:rPr>
                <w:noProof/>
                <w:webHidden/>
              </w:rPr>
              <w:fldChar w:fldCharType="end"/>
            </w:r>
          </w:hyperlink>
        </w:p>
        <w:p w:rsidR="000D5746" w:rsidRDefault="00B207D1" w:rsidP="008175B2">
          <w:pPr>
            <w:pStyle w:val="TOC1"/>
            <w:rPr>
              <w:rFonts w:asciiTheme="minorHAnsi" w:eastAsiaTheme="minorEastAsia" w:hAnsiTheme="minorHAnsi" w:cstheme="minorBidi"/>
              <w:noProof/>
              <w:sz w:val="22"/>
              <w:szCs w:val="22"/>
            </w:rPr>
          </w:pPr>
          <w:hyperlink w:anchor="_Toc362852649" w:history="1">
            <w:r w:rsidR="000D5746" w:rsidRPr="00F0643B">
              <w:rPr>
                <w:rStyle w:val="Hyperlink"/>
                <w:noProof/>
              </w:rPr>
              <w:t>RECENT COMMISSION DECISIONS IN PSE AND AVISTA RATE PROCEEDINGS</w:t>
            </w:r>
            <w:r w:rsidR="000D5746">
              <w:rPr>
                <w:noProof/>
                <w:webHidden/>
              </w:rPr>
              <w:tab/>
            </w:r>
            <w:r>
              <w:rPr>
                <w:noProof/>
                <w:webHidden/>
              </w:rPr>
              <w:fldChar w:fldCharType="begin"/>
            </w:r>
            <w:r w:rsidR="000D5746">
              <w:rPr>
                <w:noProof/>
                <w:webHidden/>
              </w:rPr>
              <w:instrText xml:space="preserve"> PAGEREF _Toc362852649 \h </w:instrText>
            </w:r>
            <w:r>
              <w:rPr>
                <w:noProof/>
                <w:webHidden/>
              </w:rPr>
            </w:r>
            <w:r>
              <w:rPr>
                <w:noProof/>
                <w:webHidden/>
              </w:rPr>
              <w:fldChar w:fldCharType="separate"/>
            </w:r>
            <w:r w:rsidR="00C32831">
              <w:rPr>
                <w:noProof/>
                <w:webHidden/>
              </w:rPr>
              <w:t>15</w:t>
            </w:r>
            <w:r>
              <w:rPr>
                <w:noProof/>
                <w:webHidden/>
              </w:rPr>
              <w:fldChar w:fldCharType="end"/>
            </w:r>
          </w:hyperlink>
        </w:p>
        <w:p w:rsidR="000D5746" w:rsidRDefault="00B207D1" w:rsidP="008175B2">
          <w:pPr>
            <w:pStyle w:val="TOC1"/>
            <w:rPr>
              <w:rFonts w:asciiTheme="minorHAnsi" w:eastAsiaTheme="minorEastAsia" w:hAnsiTheme="minorHAnsi" w:cstheme="minorBidi"/>
              <w:noProof/>
              <w:sz w:val="22"/>
              <w:szCs w:val="22"/>
            </w:rPr>
          </w:pPr>
          <w:hyperlink w:anchor="_Toc362852650" w:history="1">
            <w:r w:rsidR="000D5746" w:rsidRPr="00F0643B">
              <w:rPr>
                <w:rStyle w:val="Hyperlink"/>
                <w:noProof/>
              </w:rPr>
              <w:t>CONCLUSION AND RECOMMENDATION</w:t>
            </w:r>
            <w:r w:rsidR="000D5746">
              <w:rPr>
                <w:noProof/>
                <w:webHidden/>
              </w:rPr>
              <w:tab/>
            </w:r>
            <w:r>
              <w:rPr>
                <w:noProof/>
                <w:webHidden/>
              </w:rPr>
              <w:fldChar w:fldCharType="begin"/>
            </w:r>
            <w:r w:rsidR="000D5746">
              <w:rPr>
                <w:noProof/>
                <w:webHidden/>
              </w:rPr>
              <w:instrText xml:space="preserve"> PAGEREF _Toc362852650 \h </w:instrText>
            </w:r>
            <w:r>
              <w:rPr>
                <w:noProof/>
                <w:webHidden/>
              </w:rPr>
            </w:r>
            <w:r>
              <w:rPr>
                <w:noProof/>
                <w:webHidden/>
              </w:rPr>
              <w:fldChar w:fldCharType="separate"/>
            </w:r>
            <w:r w:rsidR="00C32831">
              <w:rPr>
                <w:noProof/>
                <w:webHidden/>
              </w:rPr>
              <w:t>17</w:t>
            </w:r>
            <w:r>
              <w:rPr>
                <w:noProof/>
                <w:webHidden/>
              </w:rPr>
              <w:fldChar w:fldCharType="end"/>
            </w:r>
          </w:hyperlink>
        </w:p>
        <w:p w:rsidR="000D5746" w:rsidRDefault="00B207D1" w:rsidP="000D5746">
          <w:pPr>
            <w:suppressLineNumbers/>
          </w:pPr>
          <w:r>
            <w:fldChar w:fldCharType="end"/>
          </w:r>
        </w:p>
        <w:p w:rsidR="000D5746" w:rsidRDefault="00B207D1" w:rsidP="000D5746">
          <w:pPr>
            <w:suppressLineNumbers/>
          </w:pPr>
        </w:p>
      </w:sdtContent>
    </w:sdt>
    <w:p w:rsidR="000D5746" w:rsidRDefault="00BE4BDA" w:rsidP="001145A6">
      <w:pPr>
        <w:pStyle w:val="Question"/>
        <w:suppressLineNumbers/>
        <w:jc w:val="center"/>
      </w:pPr>
      <w:r>
        <w:t>ATTACHED EXHIBIT</w:t>
      </w:r>
    </w:p>
    <w:p w:rsidR="00831927" w:rsidRPr="00831927" w:rsidRDefault="001145A6" w:rsidP="00831927">
      <w:pPr>
        <w:suppressLineNumbers/>
        <w:jc w:val="left"/>
      </w:pPr>
      <w:r w:rsidRPr="00831927">
        <w:t>Exhibit No.___(WRG-2)</w:t>
      </w:r>
      <w:r w:rsidR="00124389">
        <w:t>—</w:t>
      </w:r>
      <w:r w:rsidR="00831927" w:rsidRPr="00831927">
        <w:t>PacifiCorp Alternative Rate Adjustment Mechanisms</w:t>
      </w:r>
    </w:p>
    <w:p w:rsidR="001145A6" w:rsidRPr="001145A6" w:rsidRDefault="001145A6" w:rsidP="001145A6">
      <w:pPr>
        <w:pStyle w:val="Question"/>
        <w:suppressLineNumbers/>
        <w:jc w:val="left"/>
        <w:rPr>
          <w:b w:val="0"/>
        </w:rPr>
      </w:pPr>
    </w:p>
    <w:p w:rsidR="000D5746" w:rsidRDefault="000D5746" w:rsidP="000D5746">
      <w:pPr>
        <w:pStyle w:val="Question"/>
        <w:suppressLineNumbers/>
        <w:jc w:val="left"/>
      </w:pPr>
    </w:p>
    <w:p w:rsidR="000D5746" w:rsidRDefault="000D5746" w:rsidP="000D5746">
      <w:pPr>
        <w:pStyle w:val="Question"/>
        <w:suppressLineNumbers/>
        <w:jc w:val="left"/>
      </w:pPr>
    </w:p>
    <w:p w:rsidR="000D5746" w:rsidRDefault="000D5746" w:rsidP="000D5746">
      <w:pPr>
        <w:pStyle w:val="Question"/>
        <w:suppressLineNumbers/>
        <w:jc w:val="left"/>
      </w:pPr>
    </w:p>
    <w:p w:rsidR="000D5746" w:rsidRDefault="000D5746" w:rsidP="000D5746">
      <w:pPr>
        <w:pStyle w:val="Question"/>
        <w:suppressLineNumbers/>
        <w:jc w:val="left"/>
      </w:pPr>
    </w:p>
    <w:p w:rsidR="000D5746" w:rsidRDefault="000D5746" w:rsidP="000D5746">
      <w:pPr>
        <w:pStyle w:val="Question"/>
        <w:suppressLineNumbers/>
        <w:jc w:val="left"/>
      </w:pPr>
    </w:p>
    <w:p w:rsidR="000D5746" w:rsidRDefault="000D5746" w:rsidP="000D5746">
      <w:pPr>
        <w:pStyle w:val="Question"/>
        <w:suppressLineNumbers/>
        <w:jc w:val="left"/>
      </w:pPr>
    </w:p>
    <w:p w:rsidR="000D5746" w:rsidRDefault="000D5746" w:rsidP="000D5746">
      <w:pPr>
        <w:pStyle w:val="Question"/>
        <w:suppressLineNumbers/>
        <w:jc w:val="left"/>
      </w:pPr>
    </w:p>
    <w:p w:rsidR="000D5746" w:rsidRDefault="000D5746" w:rsidP="000D5746">
      <w:pPr>
        <w:pStyle w:val="Question"/>
        <w:suppressLineNumbers/>
        <w:jc w:val="left"/>
      </w:pPr>
    </w:p>
    <w:p w:rsidR="000D5746" w:rsidRDefault="000D5746" w:rsidP="000D5746">
      <w:pPr>
        <w:pStyle w:val="Question"/>
        <w:suppressLineNumbers/>
        <w:jc w:val="left"/>
      </w:pPr>
    </w:p>
    <w:p w:rsidR="000D5746" w:rsidRDefault="000D5746" w:rsidP="00D30E52">
      <w:pPr>
        <w:pStyle w:val="Question"/>
        <w:jc w:val="left"/>
        <w:sectPr w:rsidR="000D5746" w:rsidSect="008175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800" w:header="720" w:footer="720" w:gutter="0"/>
          <w:lnNumType w:countBy="1"/>
          <w:pgNumType w:fmt="lowerRoman" w:start="1"/>
          <w:cols w:space="720"/>
          <w:docGrid w:linePitch="360"/>
        </w:sectPr>
      </w:pPr>
    </w:p>
    <w:p w:rsidR="00143AE5" w:rsidRPr="00BF20EE" w:rsidRDefault="00143AE5" w:rsidP="00D30E52">
      <w:pPr>
        <w:pStyle w:val="Question"/>
        <w:jc w:val="left"/>
      </w:pPr>
      <w:r w:rsidRPr="00BF20EE">
        <w:lastRenderedPageBreak/>
        <w:t>Q.</w:t>
      </w:r>
      <w:r w:rsidRPr="00BF20EE">
        <w:tab/>
        <w:t>Please state your name, business address</w:t>
      </w:r>
      <w:r w:rsidR="00532974">
        <w:t>,</w:t>
      </w:r>
      <w:r w:rsidRPr="00BF20EE">
        <w:t xml:space="preserve"> and present position with PacifiCorp </w:t>
      </w:r>
      <w:r w:rsidR="00986BE1">
        <w:t xml:space="preserve">d/b/a Pacific Power &amp; Light Company </w:t>
      </w:r>
      <w:r w:rsidRPr="00BF20EE">
        <w:t>(</w:t>
      </w:r>
      <w:r w:rsidR="00C55511">
        <w:t xml:space="preserve">PacifiCorp or </w:t>
      </w:r>
      <w:r w:rsidRPr="00BF20EE">
        <w:t>Company).</w:t>
      </w:r>
    </w:p>
    <w:p w:rsidR="00143AE5" w:rsidRPr="00BF20EE" w:rsidRDefault="00143AE5" w:rsidP="00D30E52">
      <w:pPr>
        <w:pStyle w:val="Answer"/>
        <w:jc w:val="left"/>
      </w:pPr>
      <w:r w:rsidRPr="00BF20EE">
        <w:t>A.</w:t>
      </w:r>
      <w:r w:rsidRPr="00BF20EE">
        <w:tab/>
        <w:t xml:space="preserve">My name is </w:t>
      </w:r>
      <w:r w:rsidR="00986BE1">
        <w:t>William R. Griffith and</w:t>
      </w:r>
      <w:r w:rsidRPr="00BF20EE">
        <w:t xml:space="preserve"> my business address is 825 NE Multnomah</w:t>
      </w:r>
      <w:r w:rsidR="00B955D8">
        <w:t xml:space="preserve"> Street</w:t>
      </w:r>
      <w:r w:rsidRPr="00BF20EE">
        <w:t>, Suite 2000, Portland, Oregon, 97232</w:t>
      </w:r>
      <w:r w:rsidR="00176215">
        <w:t xml:space="preserve">.  </w:t>
      </w:r>
      <w:r w:rsidRPr="00BF20EE">
        <w:t xml:space="preserve">I am currently employed as </w:t>
      </w:r>
      <w:r w:rsidR="00986BE1">
        <w:t>Vice President</w:t>
      </w:r>
      <w:r w:rsidR="007477E6">
        <w:t>, Regulat</w:t>
      </w:r>
      <w:r w:rsidR="00986BE1">
        <w:t>ion</w:t>
      </w:r>
      <w:r w:rsidRPr="00BF20EE">
        <w:t>.</w:t>
      </w:r>
    </w:p>
    <w:p w:rsidR="00143AE5" w:rsidRPr="000D5746" w:rsidRDefault="00BB10C3" w:rsidP="000D5746">
      <w:pPr>
        <w:pStyle w:val="Heading1"/>
      </w:pPr>
      <w:bookmarkStart w:id="0" w:name="_Toc362852644"/>
      <w:r w:rsidRPr="000D5746">
        <w:t>QUALIFICATIONS</w:t>
      </w:r>
      <w:bookmarkEnd w:id="0"/>
    </w:p>
    <w:p w:rsidR="00143AE5" w:rsidRPr="00BF20EE" w:rsidRDefault="00143AE5" w:rsidP="00D30E52">
      <w:pPr>
        <w:pStyle w:val="Question"/>
        <w:jc w:val="left"/>
      </w:pPr>
      <w:r w:rsidRPr="00BF20EE">
        <w:t>Q.</w:t>
      </w:r>
      <w:r w:rsidRPr="00BF20EE">
        <w:tab/>
        <w:t xml:space="preserve">Briefly describe your educational </w:t>
      </w:r>
      <w:r w:rsidR="00410A71">
        <w:t xml:space="preserve">background </w:t>
      </w:r>
      <w:r w:rsidRPr="00BF20EE">
        <w:t xml:space="preserve">and professional </w:t>
      </w:r>
      <w:r w:rsidR="00410A71">
        <w:t>experience</w:t>
      </w:r>
      <w:r w:rsidRPr="00BF20EE">
        <w:t>.</w:t>
      </w:r>
    </w:p>
    <w:p w:rsidR="00532974" w:rsidRDefault="00143AE5" w:rsidP="0055671E">
      <w:pPr>
        <w:pStyle w:val="Answer"/>
        <w:widowControl w:val="0"/>
        <w:jc w:val="left"/>
      </w:pPr>
      <w:r w:rsidRPr="00BF20EE">
        <w:t>A.</w:t>
      </w:r>
      <w:r w:rsidRPr="00BF20EE">
        <w:tab/>
      </w:r>
      <w:r w:rsidR="007477E6" w:rsidRPr="00C11338">
        <w:t xml:space="preserve">I </w:t>
      </w:r>
      <w:r w:rsidR="00986BE1">
        <w:t xml:space="preserve">hold a Bachelor of Arts degree with high honors and distinction in Political Science and Economics and a Master of Arts degree in Political Science </w:t>
      </w:r>
      <w:r w:rsidR="00BB10C3">
        <w:t>from San Diego State University</w:t>
      </w:r>
      <w:r w:rsidR="00986BE1">
        <w:t xml:space="preserve">; I was subsequently employed on the faculty for one year.  I also attended the University of Oregon and completed all course work towards a Ph.D. in Political Science.  I joined the Company in the Pricing &amp; Regulatory Affairs Department in December 1983.  In June 1989, I </w:t>
      </w:r>
      <w:r w:rsidR="00B51095">
        <w:t xml:space="preserve">became </w:t>
      </w:r>
      <w:r w:rsidR="000867CF">
        <w:t>M</w:t>
      </w:r>
      <w:r w:rsidR="00B51095">
        <w:t xml:space="preserve">anager, Pricing in the Regulation Department.  In February 2001, I </w:t>
      </w:r>
      <w:r w:rsidR="00986BE1">
        <w:t>assumed the role of Director, Pricing, Cost of Service &amp; Regulatory Operations in the Regulation D</w:t>
      </w:r>
      <w:r w:rsidR="00BB10C3">
        <w:t>epartment.  In February 2012, I </w:t>
      </w:r>
      <w:r w:rsidR="00986BE1">
        <w:t xml:space="preserve">assumed my current responsibilities.  </w:t>
      </w:r>
    </w:p>
    <w:p w:rsidR="00F21BD7" w:rsidRPr="000D5746" w:rsidRDefault="00BB10C3" w:rsidP="000D5746">
      <w:pPr>
        <w:pStyle w:val="Heading1"/>
      </w:pPr>
      <w:bookmarkStart w:id="1" w:name="_Toc362852645"/>
      <w:r w:rsidRPr="000D5746">
        <w:t>PURPOSE OF TESTIMONY</w:t>
      </w:r>
      <w:bookmarkEnd w:id="1"/>
    </w:p>
    <w:p w:rsidR="00143AE5" w:rsidRPr="00BF20EE" w:rsidRDefault="00143AE5" w:rsidP="005347AF">
      <w:pPr>
        <w:pStyle w:val="Question"/>
        <w:widowControl w:val="0"/>
        <w:jc w:val="left"/>
      </w:pPr>
      <w:r w:rsidRPr="00BF20EE">
        <w:t>Q.</w:t>
      </w:r>
      <w:r w:rsidRPr="00BF20EE">
        <w:tab/>
        <w:t xml:space="preserve">What is the purpose of your </w:t>
      </w:r>
      <w:r w:rsidR="00B51095">
        <w:t xml:space="preserve">rebuttal </w:t>
      </w:r>
      <w:r w:rsidRPr="00BF20EE">
        <w:t xml:space="preserve">testimony in </w:t>
      </w:r>
      <w:r w:rsidR="00EC3F55">
        <w:t>this case</w:t>
      </w:r>
      <w:r w:rsidRPr="00BF20EE">
        <w:t>?</w:t>
      </w:r>
    </w:p>
    <w:p w:rsidR="00B63C23" w:rsidRDefault="00143AE5" w:rsidP="00410A71">
      <w:pPr>
        <w:pStyle w:val="Answer"/>
        <w:widowControl w:val="0"/>
        <w:jc w:val="left"/>
      </w:pPr>
      <w:r w:rsidRPr="00BF20EE">
        <w:t>A.</w:t>
      </w:r>
      <w:r w:rsidRPr="00BF20EE">
        <w:tab/>
      </w:r>
      <w:r w:rsidR="00777CF3">
        <w:t xml:space="preserve">My </w:t>
      </w:r>
      <w:r w:rsidR="00B51095">
        <w:t xml:space="preserve">rebuttal </w:t>
      </w:r>
      <w:r w:rsidR="00777CF3">
        <w:t>testimony</w:t>
      </w:r>
      <w:r w:rsidR="00986BE1">
        <w:t xml:space="preserve"> </w:t>
      </w:r>
      <w:r w:rsidR="00B63C23">
        <w:t xml:space="preserve">responds to fundamental policy issues raised in the response testimony of the Washington Utilities and Transportation Commission (Commission) Staff, the Public Counsel Division of the Attorney General’s Office (Public Counsel), and Boise White Paper, LLC (Boise).  </w:t>
      </w:r>
    </w:p>
    <w:p w:rsidR="003F0219" w:rsidRDefault="003F0219" w:rsidP="007E531B">
      <w:pPr>
        <w:pStyle w:val="Answer"/>
        <w:jc w:val="left"/>
      </w:pPr>
      <w:r>
        <w:lastRenderedPageBreak/>
        <w:tab/>
      </w:r>
      <w:r>
        <w:tab/>
        <w:t xml:space="preserve">The Company is disappointed in the parties’ positions in this case.  The parties appear to ignore the Commission’s recent commitment to actively seek solutions to issues such as earnings attrition and the timely recovery of infrastructure investments (regulatory lag) and </w:t>
      </w:r>
      <w:r w:rsidR="00B955D8">
        <w:t xml:space="preserve">to </w:t>
      </w:r>
      <w:r>
        <w:t>improv</w:t>
      </w:r>
      <w:r w:rsidR="00870704">
        <w:t>e</w:t>
      </w:r>
      <w:r>
        <w:t xml:space="preserve"> the efficiency, predictability, and consistency of ratemaking decisions in Washington</w:t>
      </w:r>
      <w:r w:rsidR="00870704">
        <w:t>.  T</w:t>
      </w:r>
      <w:r w:rsidR="008F2C59">
        <w:t>he parties reject virtually all of the Company’s proposals to improve the regulatory environment for PacifiCorp in Washington.</w:t>
      </w:r>
      <w:r w:rsidR="007A2DF9">
        <w:t xml:space="preserve">  This is d</w:t>
      </w:r>
      <w:r>
        <w:t>espite recent decisions involving Puget Sound Energy</w:t>
      </w:r>
      <w:r w:rsidR="00B51095">
        <w:t>, Inc.</w:t>
      </w:r>
      <w:r>
        <w:t xml:space="preserve"> </w:t>
      </w:r>
      <w:r w:rsidR="00BB10C3">
        <w:t xml:space="preserve">(PSE) </w:t>
      </w:r>
      <w:r>
        <w:t xml:space="preserve">and Avista </w:t>
      </w:r>
      <w:r w:rsidR="00BB10C3">
        <w:t xml:space="preserve">Corporation d/b/a Avista Utilities (Avista) </w:t>
      </w:r>
      <w:r>
        <w:t xml:space="preserve">that employ creative rate recovery solutions, as well as the Governor’s 2012 rate discussion group that </w:t>
      </w:r>
      <w:r w:rsidR="007A2DF9">
        <w:t xml:space="preserve">proposed a series of recommendations </w:t>
      </w:r>
      <w:r w:rsidR="00870704">
        <w:t>to improve</w:t>
      </w:r>
      <w:r w:rsidR="007A2DF9">
        <w:t xml:space="preserve"> </w:t>
      </w:r>
      <w:r w:rsidR="00870704">
        <w:t>the regulatory climate</w:t>
      </w:r>
      <w:r w:rsidR="007A2DF9">
        <w:t xml:space="preserve"> in Washington.  </w:t>
      </w:r>
    </w:p>
    <w:p w:rsidR="003F0219" w:rsidRDefault="00BB10C3" w:rsidP="000D5746">
      <w:pPr>
        <w:pStyle w:val="Heading1"/>
      </w:pPr>
      <w:bookmarkStart w:id="2" w:name="_Toc362852646"/>
      <w:r>
        <w:t>WASHINGTON REGULATORY ENVIRONMENT</w:t>
      </w:r>
      <w:bookmarkEnd w:id="2"/>
    </w:p>
    <w:p w:rsidR="003F0219" w:rsidRDefault="003F0219" w:rsidP="00410A71">
      <w:pPr>
        <w:pStyle w:val="Answer"/>
        <w:widowControl w:val="0"/>
        <w:jc w:val="left"/>
        <w:rPr>
          <w:b/>
        </w:rPr>
      </w:pPr>
      <w:r>
        <w:rPr>
          <w:b/>
        </w:rPr>
        <w:t>Q.</w:t>
      </w:r>
      <w:r>
        <w:rPr>
          <w:b/>
        </w:rPr>
        <w:tab/>
        <w:t>Please describe the regulatory environment in Washington for Pac</w:t>
      </w:r>
      <w:r w:rsidR="00871FA5">
        <w:rPr>
          <w:b/>
        </w:rPr>
        <w:t>i</w:t>
      </w:r>
      <w:r>
        <w:rPr>
          <w:b/>
        </w:rPr>
        <w:t>fiCorp.</w:t>
      </w:r>
    </w:p>
    <w:p w:rsidR="003F0219" w:rsidRDefault="003F0219" w:rsidP="00871FA5">
      <w:pPr>
        <w:pStyle w:val="Answer"/>
        <w:jc w:val="left"/>
      </w:pPr>
      <w:r>
        <w:t>A.</w:t>
      </w:r>
      <w:r>
        <w:tab/>
      </w:r>
      <w:r w:rsidR="00516CE9">
        <w:t xml:space="preserve">Compared to the Company’s five other state jurisdictions, the </w:t>
      </w:r>
      <w:r>
        <w:t xml:space="preserve">Washington </w:t>
      </w:r>
      <w:r w:rsidR="00BB10C3">
        <w:t>regulatory environment</w:t>
      </w:r>
      <w:r w:rsidR="00516CE9">
        <w:t xml:space="preserve"> presents </w:t>
      </w:r>
      <w:r>
        <w:t xml:space="preserve">a unique set of challenges </w:t>
      </w:r>
      <w:r w:rsidR="00516CE9">
        <w:t xml:space="preserve">affecting the Company’s </w:t>
      </w:r>
      <w:r>
        <w:t xml:space="preserve">opportunity to recover its costs and earn its authorized rate of return.  </w:t>
      </w:r>
      <w:r w:rsidR="007A2DF9">
        <w:t>T</w:t>
      </w:r>
      <w:r>
        <w:t>hese challenges include:</w:t>
      </w:r>
    </w:p>
    <w:p w:rsidR="00516CE9" w:rsidRDefault="00BB10C3" w:rsidP="00871FA5">
      <w:pPr>
        <w:pStyle w:val="AutoNumBodyCharCharCharChar"/>
      </w:pPr>
      <w:r>
        <w:t>Washington</w:t>
      </w:r>
      <w:r w:rsidR="00154BF2">
        <w:t>’s</w:t>
      </w:r>
      <w:r>
        <w:t xml:space="preserve"> reliance </w:t>
      </w:r>
      <w:r w:rsidR="003F0219">
        <w:t>on a historic</w:t>
      </w:r>
      <w:r w:rsidR="00516CE9">
        <w:t>al</w:t>
      </w:r>
      <w:r w:rsidR="003F0219">
        <w:t xml:space="preserve"> test period for setting rates, while the majority of the Company’s other states u</w:t>
      </w:r>
      <w:r w:rsidR="00516CE9">
        <w:t>s</w:t>
      </w:r>
      <w:r w:rsidR="003F0219">
        <w:t xml:space="preserve">e some form of a future test period.  </w:t>
      </w:r>
    </w:p>
    <w:p w:rsidR="003F0219" w:rsidRDefault="00516CE9" w:rsidP="00871FA5">
      <w:pPr>
        <w:pStyle w:val="AutoNumBodyCharCharCharChar"/>
      </w:pPr>
      <w:r>
        <w:t xml:space="preserve">General use of </w:t>
      </w:r>
      <w:r w:rsidR="00B04513">
        <w:t xml:space="preserve">the </w:t>
      </w:r>
      <w:r>
        <w:t xml:space="preserve">historical </w:t>
      </w:r>
      <w:r w:rsidR="003F0219">
        <w:t xml:space="preserve">average of monthly averages </w:t>
      </w:r>
      <w:r>
        <w:t>method for determining rate base balances in Washington as opposed to the use of end of period or</w:t>
      </w:r>
      <w:r w:rsidR="00B51095">
        <w:t xml:space="preserve"> forecast balances for the rate </w:t>
      </w:r>
      <w:r>
        <w:t>effective period in other jurisdictions.</w:t>
      </w:r>
    </w:p>
    <w:p w:rsidR="003F0219" w:rsidRDefault="003F0219" w:rsidP="00871FA5">
      <w:pPr>
        <w:pStyle w:val="AutoNumBodyCharCharCharChar"/>
      </w:pPr>
      <w:r>
        <w:t>The Company’s authorized return on equity, equity component</w:t>
      </w:r>
      <w:r w:rsidR="00516CE9">
        <w:t>,</w:t>
      </w:r>
      <w:r>
        <w:t xml:space="preserve"> and return on rate base in Washington are currently the lowest of the Company’s six jurisdictions.  </w:t>
      </w:r>
    </w:p>
    <w:p w:rsidR="003F0219" w:rsidRDefault="003F0219" w:rsidP="00871FA5">
      <w:pPr>
        <w:pStyle w:val="AutoNumBodyCharCharCharChar"/>
      </w:pPr>
      <w:r>
        <w:t>The Company’s other five jurisdictions use a common inter-jurisdiction</w:t>
      </w:r>
      <w:r w:rsidR="00516CE9">
        <w:t>al cost allocation methodology, the 2010 Protocol.  Washington is the only state that uses the West Control Area inter-jurisdictional allocation methodology (WCA)</w:t>
      </w:r>
      <w:r>
        <w:t>.  This increases the Co</w:t>
      </w:r>
      <w:r w:rsidR="0046174B">
        <w:t>mpany’s risk of under-recovery</w:t>
      </w:r>
      <w:r w:rsidR="00516CE9">
        <w:t>.</w:t>
      </w:r>
    </w:p>
    <w:p w:rsidR="00516CE9" w:rsidRDefault="00516CE9" w:rsidP="00871FA5">
      <w:pPr>
        <w:pStyle w:val="AutoNumBodyCharCharCharChar"/>
      </w:pPr>
      <w:r>
        <w:t>Washington is the only state in which the Company does not have a power cost adjustment mechanism (PCAM), and the Company is the only regulated electric utility in Washing</w:t>
      </w:r>
      <w:r w:rsidR="00871FA5">
        <w:t>t</w:t>
      </w:r>
      <w:r>
        <w:t>on without a PCAM.</w:t>
      </w:r>
    </w:p>
    <w:p w:rsidR="003F0219" w:rsidRDefault="0046174B" w:rsidP="00871FA5">
      <w:pPr>
        <w:pStyle w:val="Answer"/>
        <w:ind w:firstLine="0"/>
        <w:jc w:val="left"/>
      </w:pPr>
      <w:r>
        <w:t xml:space="preserve">Collectively, these challenges create an environment in Washington for PacifiCorp that has contributed to its chronic under-earning, demonstrated by the frequency of general rate case filings.  Accordingly, policy decisions play a key role in this </w:t>
      </w:r>
      <w:r w:rsidR="003F0219">
        <w:t>proceeding.</w:t>
      </w:r>
    </w:p>
    <w:p w:rsidR="00B41BC1" w:rsidRDefault="00B41BC1" w:rsidP="005509B1">
      <w:pPr>
        <w:pStyle w:val="Answer"/>
        <w:jc w:val="left"/>
        <w:rPr>
          <w:b/>
        </w:rPr>
      </w:pPr>
      <w:r w:rsidRPr="005509B1">
        <w:rPr>
          <w:b/>
        </w:rPr>
        <w:t>Q.</w:t>
      </w:r>
      <w:r w:rsidRPr="005509B1">
        <w:rPr>
          <w:b/>
        </w:rPr>
        <w:tab/>
      </w:r>
      <w:r w:rsidR="005509B1">
        <w:rPr>
          <w:b/>
        </w:rPr>
        <w:t>Has PacifiCorp’s inability to earn its authorized rate of return in Washington persisted for many years</w:t>
      </w:r>
      <w:r w:rsidRPr="005509B1">
        <w:rPr>
          <w:b/>
        </w:rPr>
        <w:t xml:space="preserve">?  </w:t>
      </w:r>
    </w:p>
    <w:p w:rsidR="009128D8" w:rsidRDefault="00B41BC1" w:rsidP="005509B1">
      <w:pPr>
        <w:pStyle w:val="Answer"/>
        <w:jc w:val="left"/>
      </w:pPr>
      <w:r w:rsidRPr="005509B1">
        <w:t>A.</w:t>
      </w:r>
      <w:r w:rsidRPr="005509B1">
        <w:tab/>
      </w:r>
      <w:r w:rsidR="005509B1">
        <w:t xml:space="preserve">Yes.  As demonstrated </w:t>
      </w:r>
      <w:r w:rsidR="00B8571B">
        <w:t xml:space="preserve">in Table 1 </w:t>
      </w:r>
      <w:r w:rsidR="005509B1">
        <w:t xml:space="preserve">below, PacifiCorp has not earned its authorized </w:t>
      </w:r>
      <w:r w:rsidR="00870704">
        <w:t>return on equity</w:t>
      </w:r>
      <w:r w:rsidR="005509B1">
        <w:t xml:space="preserve"> </w:t>
      </w:r>
      <w:r w:rsidR="00870704">
        <w:t xml:space="preserve">(ROE) </w:t>
      </w:r>
      <w:r w:rsidR="005509B1">
        <w:t xml:space="preserve">in Washington </w:t>
      </w:r>
      <w:r w:rsidR="00870704">
        <w:t>since the adoption of the WCA in 2006</w:t>
      </w:r>
      <w:r w:rsidR="005509B1">
        <w:t>.</w:t>
      </w:r>
    </w:p>
    <w:p w:rsidR="00870704" w:rsidRPr="00E0448E" w:rsidRDefault="00B8571B" w:rsidP="000B3F38">
      <w:pPr>
        <w:pStyle w:val="Answer"/>
        <w:suppressLineNumbers/>
        <w:spacing w:line="240" w:lineRule="auto"/>
        <w:ind w:left="0" w:firstLine="0"/>
        <w:jc w:val="center"/>
        <w:rPr>
          <w:b/>
          <w:color w:val="000000" w:themeColor="text1"/>
        </w:rPr>
      </w:pPr>
      <w:r w:rsidRPr="00E0448E">
        <w:rPr>
          <w:b/>
          <w:color w:val="000000" w:themeColor="text1"/>
        </w:rPr>
        <w:t>TABLE 1</w:t>
      </w:r>
    </w:p>
    <w:p w:rsidR="007942E3" w:rsidRPr="00E0448E" w:rsidRDefault="00DB0E15" w:rsidP="00E0448E">
      <w:pPr>
        <w:pStyle w:val="Answer"/>
        <w:suppressLineNumbers/>
        <w:spacing w:line="240" w:lineRule="auto"/>
        <w:ind w:left="0" w:firstLine="0"/>
        <w:jc w:val="center"/>
        <w:rPr>
          <w:b/>
          <w:color w:val="000000" w:themeColor="text1"/>
        </w:rPr>
      </w:pPr>
      <w:r w:rsidRPr="00DB0E15">
        <w:rPr>
          <w:noProof/>
        </w:rPr>
        <w:drawing>
          <wp:inline distT="0" distB="0" distL="0" distR="0">
            <wp:extent cx="5457825" cy="1028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57825" cy="1028700"/>
                    </a:xfrm>
                    <a:prstGeom prst="rect">
                      <a:avLst/>
                    </a:prstGeom>
                    <a:noFill/>
                    <a:ln>
                      <a:noFill/>
                    </a:ln>
                  </pic:spPr>
                </pic:pic>
              </a:graphicData>
            </a:graphic>
          </wp:inline>
        </w:drawing>
      </w:r>
    </w:p>
    <w:p w:rsidR="009B212B" w:rsidRDefault="009B212B" w:rsidP="0046174B">
      <w:pPr>
        <w:pStyle w:val="Answer"/>
        <w:keepNext/>
        <w:jc w:val="left"/>
        <w:rPr>
          <w:b/>
        </w:rPr>
      </w:pPr>
      <w:r>
        <w:rPr>
          <w:b/>
        </w:rPr>
        <w:t>Q.</w:t>
      </w:r>
      <w:r>
        <w:rPr>
          <w:b/>
        </w:rPr>
        <w:tab/>
        <w:t>Has the Commission referred to persistent under</w:t>
      </w:r>
      <w:r w:rsidR="00870704">
        <w:rPr>
          <w:b/>
        </w:rPr>
        <w:t>-</w:t>
      </w:r>
      <w:r>
        <w:rPr>
          <w:b/>
        </w:rPr>
        <w:t>earning as “attrition”?</w:t>
      </w:r>
    </w:p>
    <w:p w:rsidR="009B212B" w:rsidRPr="009B212B" w:rsidRDefault="009B212B" w:rsidP="0046174B">
      <w:pPr>
        <w:pStyle w:val="Answer"/>
        <w:keepNext/>
        <w:jc w:val="left"/>
      </w:pPr>
      <w:r w:rsidRPr="009B212B">
        <w:t>A.</w:t>
      </w:r>
      <w:r w:rsidRPr="009B212B">
        <w:tab/>
        <w:t xml:space="preserve">Yes.  The Commission recently defined </w:t>
      </w:r>
      <w:r>
        <w:t xml:space="preserve">the term </w:t>
      </w:r>
      <w:r w:rsidRPr="009B212B">
        <w:t>attrition “broadly to mean any situation in which a rate-regulated business fails to achieve its allowed earnings.”</w:t>
      </w:r>
      <w:r w:rsidRPr="009B212B">
        <w:rPr>
          <w:rStyle w:val="FootnoteReference"/>
        </w:rPr>
        <w:footnoteReference w:id="1"/>
      </w:r>
      <w:r w:rsidRPr="009B212B">
        <w:t xml:space="preserve">    </w:t>
      </w:r>
    </w:p>
    <w:p w:rsidR="00BF52E0" w:rsidRDefault="00BF52E0" w:rsidP="0046174B">
      <w:pPr>
        <w:pStyle w:val="Answer"/>
        <w:keepNext/>
        <w:jc w:val="left"/>
        <w:rPr>
          <w:b/>
        </w:rPr>
      </w:pPr>
      <w:r>
        <w:rPr>
          <w:b/>
        </w:rPr>
        <w:t>Q.</w:t>
      </w:r>
      <w:r>
        <w:rPr>
          <w:b/>
        </w:rPr>
        <w:tab/>
        <w:t>Has the Company tried to reduce its earnings attrition in Washington by carefully managing its costs and capturing efficiency savings?</w:t>
      </w:r>
    </w:p>
    <w:p w:rsidR="00BF52E0" w:rsidRDefault="00BF52E0" w:rsidP="0046174B">
      <w:pPr>
        <w:pStyle w:val="Answer"/>
        <w:keepNext/>
        <w:jc w:val="left"/>
        <w:rPr>
          <w:b/>
        </w:rPr>
      </w:pPr>
      <w:r w:rsidRPr="00BF52E0">
        <w:t>A.</w:t>
      </w:r>
      <w:r w:rsidRPr="00BF52E0">
        <w:tab/>
        <w:t>Yes</w:t>
      </w:r>
      <w:r w:rsidR="00870704">
        <w:t>.  A</w:t>
      </w:r>
      <w:r>
        <w:t xml:space="preserve">s noted by Mr. </w:t>
      </w:r>
      <w:r w:rsidR="004352C6">
        <w:t>Richard P.</w:t>
      </w:r>
      <w:r w:rsidR="00DB0E15">
        <w:t xml:space="preserve"> </w:t>
      </w:r>
      <w:r>
        <w:t>Reiten in his direct testimony</w:t>
      </w:r>
      <w:r w:rsidR="00E17B11">
        <w:t xml:space="preserve">, </w:t>
      </w:r>
      <w:r>
        <w:t xml:space="preserve">the Company has a </w:t>
      </w:r>
      <w:r w:rsidR="007B62B9">
        <w:t xml:space="preserve">strong </w:t>
      </w:r>
      <w:r>
        <w:t xml:space="preserve">track record </w:t>
      </w:r>
      <w:r w:rsidR="007B62B9">
        <w:t xml:space="preserve">of </w:t>
      </w:r>
      <w:r>
        <w:t>cost</w:t>
      </w:r>
      <w:r w:rsidR="007B62B9">
        <w:t xml:space="preserve"> management and efficiency</w:t>
      </w:r>
      <w:r w:rsidR="00F26584">
        <w:t xml:space="preserve"> </w:t>
      </w:r>
      <w:r w:rsidR="007B62B9">
        <w:t>savings on items within its control</w:t>
      </w:r>
      <w:r w:rsidR="00B51095">
        <w:t>,</w:t>
      </w:r>
      <w:r w:rsidR="007B62B9">
        <w:t xml:space="preserve"> such as </w:t>
      </w:r>
      <w:r>
        <w:t>O&amp;M expenditures.</w:t>
      </w:r>
      <w:r w:rsidR="00B955D8">
        <w:rPr>
          <w:rStyle w:val="FootnoteReference"/>
        </w:rPr>
        <w:footnoteReference w:id="2"/>
      </w:r>
      <w:r>
        <w:t xml:space="preserve"> </w:t>
      </w:r>
      <w:r w:rsidR="00384E71">
        <w:t xml:space="preserve"> In this case, as in past cases, PacifiCorp’s customers are experiencing the benefits of </w:t>
      </w:r>
      <w:r w:rsidR="00B51095">
        <w:t>these</w:t>
      </w:r>
      <w:r w:rsidR="00384E71">
        <w:t xml:space="preserve"> efforts through reduced or moderated costs.  These efforts have mitigated but not resolved the Company’s persistent earnings shortfalls in Washington.</w:t>
      </w:r>
    </w:p>
    <w:p w:rsidR="00871FA5" w:rsidRPr="00871FA5" w:rsidRDefault="00871FA5" w:rsidP="0046174B">
      <w:pPr>
        <w:pStyle w:val="Answer"/>
        <w:keepNext/>
        <w:jc w:val="left"/>
        <w:rPr>
          <w:b/>
        </w:rPr>
      </w:pPr>
      <w:r w:rsidRPr="00871FA5">
        <w:rPr>
          <w:b/>
        </w:rPr>
        <w:t>Q.</w:t>
      </w:r>
      <w:r w:rsidRPr="00871FA5">
        <w:rPr>
          <w:b/>
        </w:rPr>
        <w:tab/>
      </w:r>
      <w:r w:rsidR="0046174B">
        <w:rPr>
          <w:b/>
        </w:rPr>
        <w:t>Has</w:t>
      </w:r>
      <w:r w:rsidRPr="00871FA5">
        <w:rPr>
          <w:b/>
        </w:rPr>
        <w:t xml:space="preserve"> the Company tried to address these challenges</w:t>
      </w:r>
      <w:r w:rsidR="00D37B3E">
        <w:rPr>
          <w:b/>
        </w:rPr>
        <w:t xml:space="preserve"> in Washington</w:t>
      </w:r>
      <w:r w:rsidRPr="00871FA5">
        <w:rPr>
          <w:b/>
        </w:rPr>
        <w:t>?</w:t>
      </w:r>
    </w:p>
    <w:p w:rsidR="00E17B11" w:rsidRDefault="00871FA5" w:rsidP="00E630D8">
      <w:pPr>
        <w:pStyle w:val="Answer"/>
        <w:jc w:val="left"/>
        <w:rPr>
          <w:b/>
        </w:rPr>
      </w:pPr>
      <w:r>
        <w:t>A.</w:t>
      </w:r>
      <w:r>
        <w:tab/>
      </w:r>
      <w:r w:rsidR="0046174B">
        <w:t xml:space="preserve">Yes.  </w:t>
      </w:r>
      <w:r w:rsidR="005509B1">
        <w:t>Most recently, a</w:t>
      </w:r>
      <w:r>
        <w:t xml:space="preserve">s part of a settlement in the Company’s last general rate case, </w:t>
      </w:r>
      <w:r w:rsidR="00DB0E15">
        <w:t xml:space="preserve">Docket </w:t>
      </w:r>
      <w:r>
        <w:t>UE-111190 (2011 Rate Case), the Company agreed not to file another general rate case before January 1, 2013</w:t>
      </w:r>
      <w:r w:rsidR="005509B1">
        <w:t>.</w:t>
      </w:r>
      <w:r w:rsidR="00465C11">
        <w:rPr>
          <w:rStyle w:val="FootnoteReference"/>
        </w:rPr>
        <w:footnoteReference w:id="3"/>
      </w:r>
      <w:r w:rsidR="005509B1">
        <w:t xml:space="preserve"> </w:t>
      </w:r>
      <w:r w:rsidR="00154BF2">
        <w:t xml:space="preserve"> </w:t>
      </w:r>
      <w:r w:rsidR="005509B1">
        <w:t>I</w:t>
      </w:r>
      <w:r>
        <w:t>n exchange for that agreement, the other parties agreed to engage in collaborative discussions to review possible changes to the regulatory process in Washington.  The Company was willing to agree to the stay-out period because the Company anticipated that the parties could make progress toward improving the regulatory climate in Washington through open and robust discussions outside of a litigated proceeding.</w:t>
      </w:r>
      <w:r w:rsidR="00E17B11">
        <w:rPr>
          <w:b/>
        </w:rPr>
        <w:br w:type="page"/>
      </w:r>
    </w:p>
    <w:p w:rsidR="00BB10C3" w:rsidRPr="00BB10C3" w:rsidRDefault="00BB10C3" w:rsidP="000D5746">
      <w:pPr>
        <w:pStyle w:val="Heading1"/>
      </w:pPr>
      <w:bookmarkStart w:id="3" w:name="_Toc362852647"/>
      <w:r>
        <w:t>DESCRIPTION OF THE COLLABORATIVE PROCESS</w:t>
      </w:r>
      <w:bookmarkEnd w:id="3"/>
    </w:p>
    <w:p w:rsidR="00871FA5" w:rsidRDefault="00E07A02" w:rsidP="00410A71">
      <w:pPr>
        <w:pStyle w:val="Answer"/>
        <w:widowControl w:val="0"/>
        <w:jc w:val="left"/>
        <w:rPr>
          <w:b/>
        </w:rPr>
      </w:pPr>
      <w:r>
        <w:rPr>
          <w:b/>
        </w:rPr>
        <w:t>Q.</w:t>
      </w:r>
      <w:r>
        <w:rPr>
          <w:b/>
        </w:rPr>
        <w:tab/>
        <w:t xml:space="preserve">Please describe the collaborative process undertaken by parties </w:t>
      </w:r>
      <w:r w:rsidR="00871FA5">
        <w:rPr>
          <w:b/>
        </w:rPr>
        <w:t>during 2012.</w:t>
      </w:r>
    </w:p>
    <w:p w:rsidR="0046174B" w:rsidRPr="00BB10C3" w:rsidRDefault="00E07A02" w:rsidP="00E630D8">
      <w:pPr>
        <w:pStyle w:val="Answer"/>
        <w:widowControl w:val="0"/>
        <w:jc w:val="left"/>
        <w:rPr>
          <w:b/>
        </w:rPr>
      </w:pPr>
      <w:r w:rsidRPr="00E07A02">
        <w:t>A.</w:t>
      </w:r>
      <w:r w:rsidRPr="00E07A02">
        <w:tab/>
      </w:r>
      <w:r w:rsidR="00DC2811">
        <w:t xml:space="preserve">The </w:t>
      </w:r>
      <w:r w:rsidR="00871FA5">
        <w:t xml:space="preserve">2012 </w:t>
      </w:r>
      <w:r w:rsidR="00DC2811">
        <w:t xml:space="preserve">collaborative process involved </w:t>
      </w:r>
      <w:r w:rsidR="001A1C62">
        <w:t>10</w:t>
      </w:r>
      <w:r w:rsidR="00871FA5">
        <w:t xml:space="preserve"> meetings with </w:t>
      </w:r>
      <w:r w:rsidR="00DC2811">
        <w:t>the Company, Staff, Public Counsel, and the Industrial Customers of Northwest Utilities</w:t>
      </w:r>
      <w:r w:rsidR="00871FA5">
        <w:t xml:space="preserve">.  The parties discussed </w:t>
      </w:r>
      <w:r w:rsidR="00E17B11">
        <w:t xml:space="preserve">a variety of topics including alternatives to the WCA and alternative rate mechanisms.  </w:t>
      </w:r>
    </w:p>
    <w:p w:rsidR="00D37B3E" w:rsidRDefault="00D37B3E" w:rsidP="0046174B">
      <w:pPr>
        <w:pStyle w:val="Answer"/>
        <w:keepLines/>
        <w:widowControl w:val="0"/>
        <w:jc w:val="left"/>
        <w:rPr>
          <w:b/>
        </w:rPr>
      </w:pPr>
      <w:r>
        <w:rPr>
          <w:b/>
        </w:rPr>
        <w:t>Q.</w:t>
      </w:r>
      <w:r>
        <w:rPr>
          <w:b/>
        </w:rPr>
        <w:tab/>
        <w:t>Did the Company provide parties with background regarding its ratemaking approaches in its other five states?</w:t>
      </w:r>
    </w:p>
    <w:p w:rsidR="00D37B3E" w:rsidRDefault="00D37B3E" w:rsidP="00D43546">
      <w:pPr>
        <w:pStyle w:val="Answer"/>
        <w:keepLines/>
        <w:widowControl w:val="0"/>
        <w:jc w:val="left"/>
        <w:rPr>
          <w:b/>
        </w:rPr>
      </w:pPr>
      <w:r>
        <w:t>A.</w:t>
      </w:r>
      <w:r>
        <w:tab/>
        <w:t>Yes.  Several of the collaborative meetings focused on the regulatory environment and approaches in the Company’</w:t>
      </w:r>
      <w:r w:rsidR="00D43546">
        <w:t xml:space="preserve">s other five states.  These discussions included the regulatory mechanisms shown in my Exhibit </w:t>
      </w:r>
      <w:r w:rsidR="0001251D">
        <w:t>No.</w:t>
      </w:r>
      <w:r w:rsidR="00D43546">
        <w:t>___</w:t>
      </w:r>
      <w:r w:rsidR="0001251D">
        <w:t>(</w:t>
      </w:r>
      <w:r w:rsidR="00D43546">
        <w:t>WRG-2</w:t>
      </w:r>
      <w:r w:rsidR="0001251D">
        <w:t>)</w:t>
      </w:r>
      <w:r w:rsidR="00D43546">
        <w:t>.</w:t>
      </w:r>
    </w:p>
    <w:p w:rsidR="00D37B3E" w:rsidRDefault="00D37B3E" w:rsidP="0046174B">
      <w:pPr>
        <w:pStyle w:val="Answer"/>
        <w:keepLines/>
        <w:widowControl w:val="0"/>
        <w:jc w:val="left"/>
      </w:pPr>
      <w:r>
        <w:rPr>
          <w:b/>
        </w:rPr>
        <w:t>Q.</w:t>
      </w:r>
      <w:r>
        <w:rPr>
          <w:b/>
        </w:rPr>
        <w:tab/>
        <w:t>Has the Company been able to provide periods of rate stability and certainty in its other five states?</w:t>
      </w:r>
    </w:p>
    <w:p w:rsidR="00D37B3E" w:rsidRDefault="00D37B3E" w:rsidP="00E630D8">
      <w:pPr>
        <w:pStyle w:val="Answer"/>
        <w:jc w:val="left"/>
      </w:pPr>
      <w:r>
        <w:t>A.</w:t>
      </w:r>
      <w:r>
        <w:tab/>
        <w:t>Yes.</w:t>
      </w:r>
      <w:r w:rsidR="00E86C54">
        <w:t xml:space="preserve">  The Company has entered into mul</w:t>
      </w:r>
      <w:r w:rsidR="003612FD">
        <w:t>ti-year rate plans in all of the</w:t>
      </w:r>
      <w:r w:rsidR="00C64E5B">
        <w:t xml:space="preserve"> other states</w:t>
      </w:r>
      <w:r w:rsidR="003612FD">
        <w:t xml:space="preserve"> in which it operates</w:t>
      </w:r>
      <w:r w:rsidR="00C64E5B">
        <w:t>.  T</w:t>
      </w:r>
      <w:r w:rsidR="00B8571B">
        <w:t>able 2</w:t>
      </w:r>
      <w:r w:rsidR="00C64E5B">
        <w:t xml:space="preserve"> below shows the number of months between general rate case filings that the </w:t>
      </w:r>
      <w:r w:rsidR="00E17B11">
        <w:t>C</w:t>
      </w:r>
      <w:r w:rsidR="00C64E5B">
        <w:t xml:space="preserve">ompany has agreed to in stipulations </w:t>
      </w:r>
      <w:r w:rsidR="003612FD">
        <w:t>in</w:t>
      </w:r>
      <w:r w:rsidR="00C64E5B">
        <w:t xml:space="preserve"> the </w:t>
      </w:r>
      <w:r w:rsidR="00E17B11">
        <w:t xml:space="preserve">other five </w:t>
      </w:r>
      <w:r w:rsidR="00C64E5B">
        <w:t xml:space="preserve">states.  Although there are other mechanisms and key provisions that were considered as part of the viability of the overall </w:t>
      </w:r>
      <w:r w:rsidR="00E17B11">
        <w:t xml:space="preserve">settlement </w:t>
      </w:r>
      <w:r w:rsidR="00C64E5B">
        <w:t>package</w:t>
      </w:r>
      <w:r w:rsidR="00E17B11">
        <w:t>s</w:t>
      </w:r>
      <w:r w:rsidR="00C64E5B">
        <w:t xml:space="preserve">, these provide multiple examples of the Company’s potential for creative approaches when the regulatory environment is </w:t>
      </w:r>
      <w:r w:rsidR="001331E6">
        <w:t>conducive to it.  It is also important to note that w</w:t>
      </w:r>
      <w:r w:rsidR="00E86C54">
        <w:t>ithout a well-designed power cost adjustment mechanism</w:t>
      </w:r>
      <w:r w:rsidR="00E17B11">
        <w:t xml:space="preserve"> or</w:t>
      </w:r>
      <w:r w:rsidR="00E86C54">
        <w:t xml:space="preserve"> the ability to reset </w:t>
      </w:r>
      <w:r w:rsidR="001331E6">
        <w:t xml:space="preserve">net </w:t>
      </w:r>
      <w:r w:rsidR="00E86C54">
        <w:t>power cost</w:t>
      </w:r>
      <w:r w:rsidR="001331E6">
        <w:t>s</w:t>
      </w:r>
      <w:r w:rsidR="00E86C54">
        <w:t xml:space="preserve"> </w:t>
      </w:r>
      <w:r w:rsidR="003612FD">
        <w:t xml:space="preserve">(NPC) </w:t>
      </w:r>
      <w:r w:rsidR="00E86C54">
        <w:t>outside of a general rate case, the Company would not have been able to consider these multi-year rate certainty plans.</w:t>
      </w:r>
    </w:p>
    <w:p w:rsidR="00B8571B" w:rsidRPr="00E630D8" w:rsidRDefault="00B8571B" w:rsidP="00CC4057">
      <w:pPr>
        <w:pStyle w:val="Answer"/>
        <w:keepLines/>
        <w:widowControl w:val="0"/>
        <w:suppressLineNumbers/>
        <w:spacing w:line="240" w:lineRule="auto"/>
        <w:jc w:val="center"/>
        <w:rPr>
          <w:b/>
        </w:rPr>
      </w:pPr>
      <w:r w:rsidRPr="00E630D8">
        <w:rPr>
          <w:b/>
        </w:rPr>
        <w:t>TABLE 2</w:t>
      </w:r>
    </w:p>
    <w:p w:rsidR="0001251D" w:rsidRDefault="0001251D" w:rsidP="000B3F38">
      <w:pPr>
        <w:pStyle w:val="Answer"/>
        <w:keepLines/>
        <w:widowControl w:val="0"/>
        <w:suppressLineNumbers/>
        <w:jc w:val="center"/>
      </w:pPr>
      <w:r w:rsidRPr="0001251D">
        <w:rPr>
          <w:noProof/>
        </w:rPr>
        <w:drawing>
          <wp:inline distT="0" distB="0" distL="0" distR="0">
            <wp:extent cx="5229225" cy="1609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9225" cy="1609725"/>
                    </a:xfrm>
                    <a:prstGeom prst="rect">
                      <a:avLst/>
                    </a:prstGeom>
                    <a:noFill/>
                    <a:ln>
                      <a:noFill/>
                    </a:ln>
                  </pic:spPr>
                </pic:pic>
              </a:graphicData>
            </a:graphic>
          </wp:inline>
        </w:drawing>
      </w:r>
    </w:p>
    <w:p w:rsidR="00DC2811" w:rsidRPr="0016683D" w:rsidRDefault="00DC2811" w:rsidP="0046174B">
      <w:pPr>
        <w:pStyle w:val="Answer"/>
        <w:keepLines/>
        <w:widowControl w:val="0"/>
        <w:jc w:val="left"/>
        <w:rPr>
          <w:b/>
        </w:rPr>
      </w:pPr>
      <w:r w:rsidRPr="0016683D">
        <w:rPr>
          <w:b/>
        </w:rPr>
        <w:t>Q.</w:t>
      </w:r>
      <w:r w:rsidRPr="0016683D">
        <w:rPr>
          <w:b/>
        </w:rPr>
        <w:tab/>
        <w:t xml:space="preserve">Did the parties agree to any </w:t>
      </w:r>
      <w:r w:rsidR="0016683D">
        <w:rPr>
          <w:b/>
        </w:rPr>
        <w:t xml:space="preserve">significant </w:t>
      </w:r>
      <w:r w:rsidRPr="0016683D">
        <w:rPr>
          <w:b/>
        </w:rPr>
        <w:t xml:space="preserve">changes to the regulatory process </w:t>
      </w:r>
      <w:r w:rsidR="001331E6">
        <w:rPr>
          <w:b/>
        </w:rPr>
        <w:t>during the</w:t>
      </w:r>
      <w:r w:rsidR="001331E6" w:rsidRPr="0016683D">
        <w:rPr>
          <w:b/>
        </w:rPr>
        <w:t xml:space="preserve"> </w:t>
      </w:r>
      <w:r w:rsidR="001331E6">
        <w:rPr>
          <w:b/>
        </w:rPr>
        <w:t>coll</w:t>
      </w:r>
      <w:r w:rsidR="003C5C40">
        <w:rPr>
          <w:b/>
        </w:rPr>
        <w:t>a</w:t>
      </w:r>
      <w:r w:rsidR="001331E6">
        <w:rPr>
          <w:b/>
        </w:rPr>
        <w:t>borative</w:t>
      </w:r>
      <w:r w:rsidR="00465C11">
        <w:rPr>
          <w:b/>
        </w:rPr>
        <w:t xml:space="preserve"> process</w:t>
      </w:r>
      <w:r w:rsidRPr="0016683D">
        <w:rPr>
          <w:b/>
        </w:rPr>
        <w:t>?</w:t>
      </w:r>
    </w:p>
    <w:p w:rsidR="007E531B" w:rsidRDefault="0016683D" w:rsidP="007E531B">
      <w:pPr>
        <w:pStyle w:val="Answer"/>
        <w:widowControl w:val="0"/>
        <w:jc w:val="left"/>
        <w:rPr>
          <w:b/>
        </w:rPr>
      </w:pPr>
      <w:r>
        <w:t>A.</w:t>
      </w:r>
      <w:r>
        <w:tab/>
        <w:t>No.</w:t>
      </w:r>
      <w:r>
        <w:rPr>
          <w:rStyle w:val="FootnoteReference"/>
        </w:rPr>
        <w:footnoteReference w:id="4"/>
      </w:r>
      <w:r>
        <w:t xml:space="preserve">  Unfortunately, the parties </w:t>
      </w:r>
      <w:r w:rsidR="00F35316">
        <w:t xml:space="preserve">made limited </w:t>
      </w:r>
      <w:r>
        <w:t xml:space="preserve">progress </w:t>
      </w:r>
      <w:r w:rsidR="00F35316">
        <w:t>towards</w:t>
      </w:r>
      <w:r>
        <w:t xml:space="preserve"> </w:t>
      </w:r>
      <w:r w:rsidR="0046174B">
        <w:t>improv</w:t>
      </w:r>
      <w:r>
        <w:t xml:space="preserve">ing the current regulatory environment or </w:t>
      </w:r>
      <w:r w:rsidR="0046174B">
        <w:t>reaching</w:t>
      </w:r>
      <w:r>
        <w:t xml:space="preserve"> consensus on appropriate changes to the inter-jurisdictional allocation methodology.  </w:t>
      </w:r>
    </w:p>
    <w:p w:rsidR="00F35316" w:rsidRDefault="00F35316" w:rsidP="00410A71">
      <w:pPr>
        <w:pStyle w:val="Answer"/>
        <w:widowControl w:val="0"/>
        <w:jc w:val="left"/>
        <w:rPr>
          <w:b/>
        </w:rPr>
      </w:pPr>
      <w:r w:rsidRPr="00F35316">
        <w:rPr>
          <w:b/>
        </w:rPr>
        <w:t>Q.</w:t>
      </w:r>
      <w:r w:rsidRPr="00F35316">
        <w:rPr>
          <w:b/>
        </w:rPr>
        <w:tab/>
      </w:r>
      <w:r w:rsidR="004339D6">
        <w:rPr>
          <w:b/>
        </w:rPr>
        <w:t>Since</w:t>
      </w:r>
      <w:r>
        <w:rPr>
          <w:b/>
        </w:rPr>
        <w:t xml:space="preserve"> consensus was</w:t>
      </w:r>
      <w:r w:rsidR="00C76F0F">
        <w:rPr>
          <w:b/>
        </w:rPr>
        <w:t xml:space="preserve"> </w:t>
      </w:r>
      <w:r>
        <w:rPr>
          <w:b/>
        </w:rPr>
        <w:t>n</w:t>
      </w:r>
      <w:r w:rsidR="00C76F0F">
        <w:rPr>
          <w:b/>
        </w:rPr>
        <w:t>o</w:t>
      </w:r>
      <w:r>
        <w:rPr>
          <w:b/>
        </w:rPr>
        <w:t xml:space="preserve">t reached </w:t>
      </w:r>
      <w:r w:rsidR="004339D6">
        <w:rPr>
          <w:b/>
        </w:rPr>
        <w:t xml:space="preserve">on the majority of issues in the collaborative, did the </w:t>
      </w:r>
      <w:r w:rsidR="0046174B">
        <w:rPr>
          <w:b/>
        </w:rPr>
        <w:t>Company make any proposals</w:t>
      </w:r>
      <w:r w:rsidR="004339D6">
        <w:rPr>
          <w:b/>
        </w:rPr>
        <w:t xml:space="preserve"> in this case to address its concerns?</w:t>
      </w:r>
    </w:p>
    <w:p w:rsidR="00F35316" w:rsidRPr="00F35316" w:rsidRDefault="00F35316" w:rsidP="00CC4057">
      <w:pPr>
        <w:pStyle w:val="Answer"/>
        <w:jc w:val="left"/>
      </w:pPr>
      <w:r w:rsidRPr="00F35316">
        <w:t>A.</w:t>
      </w:r>
      <w:r w:rsidRPr="00F35316">
        <w:tab/>
      </w:r>
      <w:r w:rsidR="004339D6">
        <w:t xml:space="preserve">Yes.  </w:t>
      </w:r>
      <w:r w:rsidRPr="00F35316">
        <w:t>Because progress was</w:t>
      </w:r>
      <w:r w:rsidR="00C76F0F">
        <w:t xml:space="preserve"> </w:t>
      </w:r>
      <w:r w:rsidRPr="00F35316">
        <w:t>n</w:t>
      </w:r>
      <w:r w:rsidR="00C76F0F">
        <w:t>o</w:t>
      </w:r>
      <w:r w:rsidRPr="00F35316">
        <w:t xml:space="preserve">t made during the collaborative process, the Company </w:t>
      </w:r>
      <w:r w:rsidR="0046174B">
        <w:t>ma</w:t>
      </w:r>
      <w:r w:rsidR="002A4F88">
        <w:t>d</w:t>
      </w:r>
      <w:r w:rsidR="0046174B">
        <w:t xml:space="preserve">e </w:t>
      </w:r>
      <w:r w:rsidRPr="00F35316">
        <w:t>propos</w:t>
      </w:r>
      <w:r w:rsidR="0046174B">
        <w:t>al</w:t>
      </w:r>
      <w:r w:rsidR="004339D6">
        <w:t>s</w:t>
      </w:r>
      <w:r w:rsidRPr="00F35316">
        <w:t xml:space="preserve"> in this case to </w:t>
      </w:r>
      <w:r w:rsidR="0001251D" w:rsidRPr="00F35316">
        <w:t xml:space="preserve">more accurately </w:t>
      </w:r>
      <w:r w:rsidR="00160399" w:rsidRPr="00F35316">
        <w:t xml:space="preserve">reflect </w:t>
      </w:r>
      <w:r w:rsidRPr="00F35316">
        <w:t>the Company’s costs to serve Washington customers</w:t>
      </w:r>
      <w:r>
        <w:t xml:space="preserve">, address chronic under-recovery of </w:t>
      </w:r>
      <w:r w:rsidR="003612FD">
        <w:t>NPC</w:t>
      </w:r>
      <w:r>
        <w:t>, better align the test period with the rate</w:t>
      </w:r>
      <w:r w:rsidR="003612FD">
        <w:t xml:space="preserve"> </w:t>
      </w:r>
      <w:r>
        <w:t>effective period, and more appropriately match cost of service and revenue requirement modeling</w:t>
      </w:r>
      <w:r w:rsidRPr="00F35316">
        <w:t>.</w:t>
      </w:r>
      <w:r>
        <w:t xml:space="preserve">  Given the lack of consensus during the collaborative discussions, however, the Company’s propos</w:t>
      </w:r>
      <w:r w:rsidR="0046174B">
        <w:t>als</w:t>
      </w:r>
      <w:r>
        <w:t xml:space="preserve"> are relatively limited compared to the scope of the options the parties discussed (such as use of an attrition mechanism, use of the 2010 Protocol inter-jurisdictional allocation methodology, use of a forecast test period, and alternative multi-year rate plans).</w:t>
      </w:r>
    </w:p>
    <w:p w:rsidR="0016683D" w:rsidRPr="004339D6" w:rsidRDefault="004339D6" w:rsidP="00410A71">
      <w:pPr>
        <w:pStyle w:val="Answer"/>
        <w:widowControl w:val="0"/>
        <w:jc w:val="left"/>
        <w:rPr>
          <w:b/>
        </w:rPr>
      </w:pPr>
      <w:r w:rsidRPr="004339D6">
        <w:rPr>
          <w:b/>
        </w:rPr>
        <w:t>Q.</w:t>
      </w:r>
      <w:r w:rsidRPr="004339D6">
        <w:rPr>
          <w:b/>
        </w:rPr>
        <w:tab/>
        <w:t>How have the parties responded to the Company’s proposals?</w:t>
      </w:r>
    </w:p>
    <w:p w:rsidR="004339D6" w:rsidRDefault="004339D6" w:rsidP="00871FA5">
      <w:pPr>
        <w:pStyle w:val="Answer"/>
        <w:jc w:val="left"/>
      </w:pPr>
      <w:r>
        <w:t>A.</w:t>
      </w:r>
      <w:r>
        <w:tab/>
        <w:t xml:space="preserve">The Company is disappointed that, with limited exceptions, parties reacted negatively to the Company’s proposals.  In fact, the parties not only reject the Company’s proposals, but also make additional changes that would exacerbate the problems that the collaborative process and the Company’s proposals in this case were intended to address. </w:t>
      </w:r>
    </w:p>
    <w:p w:rsidR="004339D6" w:rsidRDefault="007E531B" w:rsidP="00BB10C3">
      <w:pPr>
        <w:pStyle w:val="Answer"/>
        <w:jc w:val="left"/>
      </w:pPr>
      <w:r>
        <w:tab/>
      </w:r>
      <w:r>
        <w:tab/>
        <w:t>If the Commission adopts S</w:t>
      </w:r>
      <w:r w:rsidR="004339D6">
        <w:t>taff’s and the other parties’ recommendations in this case, it would be a significant step backwards in the Commission’s continuing efforts to create a more stable, predictable, and consistent regulatory environment in Washington.</w:t>
      </w:r>
      <w:r w:rsidR="004339D6">
        <w:rPr>
          <w:rStyle w:val="FootnoteReference"/>
        </w:rPr>
        <w:footnoteReference w:id="5"/>
      </w:r>
    </w:p>
    <w:p w:rsidR="00BB10C3" w:rsidRPr="00BB10C3" w:rsidRDefault="00BB10C3" w:rsidP="000D5746">
      <w:pPr>
        <w:pStyle w:val="Heading1"/>
      </w:pPr>
      <w:bookmarkStart w:id="4" w:name="_Toc362852648"/>
      <w:r w:rsidRPr="00BB10C3">
        <w:t>COMPANY’S PROPOSALS AND PARTIES’ RESPONSES</w:t>
      </w:r>
      <w:bookmarkEnd w:id="4"/>
    </w:p>
    <w:p w:rsidR="00410A71" w:rsidRDefault="00035B4D" w:rsidP="007E531B">
      <w:pPr>
        <w:pStyle w:val="Answer"/>
        <w:keepLines/>
        <w:jc w:val="left"/>
        <w:rPr>
          <w:b/>
        </w:rPr>
      </w:pPr>
      <w:r>
        <w:rPr>
          <w:b/>
        </w:rPr>
        <w:t>Q.</w:t>
      </w:r>
      <w:r>
        <w:rPr>
          <w:b/>
        </w:rPr>
        <w:tab/>
        <w:t>Please describe more specifically the Company</w:t>
      </w:r>
      <w:r w:rsidR="0068387B">
        <w:rPr>
          <w:b/>
        </w:rPr>
        <w:t>’s</w:t>
      </w:r>
      <w:r>
        <w:rPr>
          <w:b/>
        </w:rPr>
        <w:t xml:space="preserve"> propos</w:t>
      </w:r>
      <w:r w:rsidR="0068387B">
        <w:rPr>
          <w:b/>
        </w:rPr>
        <w:t>als</w:t>
      </w:r>
      <w:r>
        <w:rPr>
          <w:b/>
        </w:rPr>
        <w:t xml:space="preserve"> in this case and how those </w:t>
      </w:r>
      <w:r w:rsidR="0068387B">
        <w:rPr>
          <w:b/>
        </w:rPr>
        <w:t>proposal</w:t>
      </w:r>
      <w:r>
        <w:rPr>
          <w:b/>
        </w:rPr>
        <w:t>s address the concerns discussed above.</w:t>
      </w:r>
    </w:p>
    <w:p w:rsidR="00035B4D" w:rsidRDefault="00035B4D" w:rsidP="00035B4D">
      <w:pPr>
        <w:pStyle w:val="Answer"/>
        <w:widowControl w:val="0"/>
        <w:jc w:val="left"/>
      </w:pPr>
      <w:r w:rsidRPr="00035B4D">
        <w:t>A.</w:t>
      </w:r>
      <w:r w:rsidRPr="00035B4D">
        <w:tab/>
      </w:r>
      <w:r>
        <w:t xml:space="preserve">The Company’s proposals are intended to provide gradual improvement to the regulatory framework for PacifiCorp.  Given the parties’ resistance to </w:t>
      </w:r>
      <w:r w:rsidR="0046174B">
        <w:t>comprehensive</w:t>
      </w:r>
      <w:r>
        <w:t xml:space="preserve"> changes to this framework during the collaborative process, the Company </w:t>
      </w:r>
      <w:r w:rsidR="00B56173">
        <w:t>proposes</w:t>
      </w:r>
      <w:r>
        <w:t xml:space="preserve"> specific</w:t>
      </w:r>
      <w:r w:rsidR="00BF52E0">
        <w:t>,</w:t>
      </w:r>
      <w:r>
        <w:t xml:space="preserve"> incremental adjustments</w:t>
      </w:r>
      <w:r w:rsidR="00B56173">
        <w:t xml:space="preserve"> in this case </w:t>
      </w:r>
      <w:r>
        <w:t xml:space="preserve">to begin narrowing the gap between its cost to serve Washington customers and its recovery of those </w:t>
      </w:r>
      <w:r w:rsidR="00B56173">
        <w:t xml:space="preserve">costs in rates.  </w:t>
      </w:r>
      <w:r w:rsidR="005E774C">
        <w:t>As more thoroughly addressed in the direct and rebuttal testimonies of other Company witnesses i</w:t>
      </w:r>
      <w:r w:rsidR="00B56173">
        <w:t>n this case, the Company</w:t>
      </w:r>
      <w:r w:rsidR="0046174B">
        <w:t>’s</w:t>
      </w:r>
      <w:r w:rsidR="00B56173">
        <w:t xml:space="preserve"> propos</w:t>
      </w:r>
      <w:r w:rsidR="0046174B">
        <w:t>al</w:t>
      </w:r>
      <w:r w:rsidR="00B56173">
        <w:t>s</w:t>
      </w:r>
      <w:r w:rsidR="0046174B">
        <w:t xml:space="preserve"> include</w:t>
      </w:r>
      <w:r w:rsidR="00B56173">
        <w:t>:</w:t>
      </w:r>
    </w:p>
    <w:p w:rsidR="007942E3" w:rsidRDefault="00B56173" w:rsidP="0058074B">
      <w:pPr>
        <w:pStyle w:val="Answer"/>
        <w:keepNext/>
        <w:widowControl w:val="0"/>
        <w:numPr>
          <w:ilvl w:val="0"/>
          <w:numId w:val="23"/>
        </w:numPr>
        <w:spacing w:after="240" w:line="240" w:lineRule="auto"/>
        <w:ind w:left="1440"/>
        <w:jc w:val="left"/>
      </w:pPr>
      <w:r>
        <w:t xml:space="preserve">Modifications to the </w:t>
      </w:r>
      <w:r w:rsidR="0068387B">
        <w:t xml:space="preserve">development </w:t>
      </w:r>
      <w:r w:rsidR="00B04513">
        <w:t xml:space="preserve">of </w:t>
      </w:r>
      <w:r>
        <w:t xml:space="preserve">net power costs </w:t>
      </w:r>
      <w:r w:rsidR="0068387B">
        <w:t>under the WCA</w:t>
      </w:r>
      <w:r w:rsidR="000C54D3">
        <w:t xml:space="preserve"> to reflect</w:t>
      </w:r>
      <w:r w:rsidR="007942E3">
        <w:t>:</w:t>
      </w:r>
    </w:p>
    <w:p w:rsidR="007942E3" w:rsidRDefault="000C54D3" w:rsidP="00E630D8">
      <w:pPr>
        <w:pStyle w:val="Answer"/>
        <w:widowControl w:val="0"/>
        <w:numPr>
          <w:ilvl w:val="2"/>
          <w:numId w:val="23"/>
        </w:numPr>
        <w:spacing w:after="240" w:line="240" w:lineRule="auto"/>
        <w:jc w:val="left"/>
      </w:pPr>
      <w:r>
        <w:t>Inclusion of all</w:t>
      </w:r>
      <w:r w:rsidR="00B56173">
        <w:t xml:space="preserve"> power purchase agreements </w:t>
      </w:r>
      <w:r w:rsidR="001E7630">
        <w:t xml:space="preserve">(PPAs) </w:t>
      </w:r>
      <w:r w:rsidR="0068387B">
        <w:t xml:space="preserve">with qualified facilities </w:t>
      </w:r>
      <w:r w:rsidR="001E7630">
        <w:t xml:space="preserve">(QFs) </w:t>
      </w:r>
      <w:r w:rsidR="00B56173">
        <w:t>in the west control area</w:t>
      </w:r>
      <w:r w:rsidR="007942E3">
        <w:t>.</w:t>
      </w:r>
      <w:r>
        <w:t xml:space="preserve">  (Gregory N. Duvall)</w:t>
      </w:r>
    </w:p>
    <w:p w:rsidR="007942E3" w:rsidRDefault="007942E3" w:rsidP="00E630D8">
      <w:pPr>
        <w:pStyle w:val="Answer"/>
        <w:widowControl w:val="0"/>
        <w:numPr>
          <w:ilvl w:val="2"/>
          <w:numId w:val="23"/>
        </w:numPr>
        <w:spacing w:after="240" w:line="240" w:lineRule="auto"/>
        <w:jc w:val="left"/>
      </w:pPr>
      <w:r>
        <w:t>R</w:t>
      </w:r>
      <w:r w:rsidR="00B56173">
        <w:t>emoval of the imputed sale from the Company’s west balancing authority area to its east balancing authority area</w:t>
      </w:r>
      <w:r w:rsidR="00B173E8">
        <w:t>.</w:t>
      </w:r>
      <w:r w:rsidR="000C54D3">
        <w:t xml:space="preserve">  (Gregory N. Duvall)</w:t>
      </w:r>
    </w:p>
    <w:p w:rsidR="00B56173" w:rsidRDefault="00B173E8" w:rsidP="00E630D8">
      <w:pPr>
        <w:pStyle w:val="Answer"/>
        <w:widowControl w:val="0"/>
        <w:numPr>
          <w:ilvl w:val="2"/>
          <w:numId w:val="23"/>
        </w:numPr>
        <w:spacing w:after="240" w:line="240" w:lineRule="auto"/>
        <w:jc w:val="left"/>
      </w:pPr>
      <w:r>
        <w:t>I</w:t>
      </w:r>
      <w:r w:rsidR="00B56173">
        <w:t>nclusion of the full capacity of the Company’s point-to-point transmission contract with Idaho Power Company.</w:t>
      </w:r>
      <w:r w:rsidR="005E774C">
        <w:t xml:space="preserve">  (Gregory N. Duvall)</w:t>
      </w:r>
    </w:p>
    <w:p w:rsidR="00B173E8" w:rsidRDefault="00B56173" w:rsidP="007E531B">
      <w:pPr>
        <w:pStyle w:val="Answer"/>
        <w:widowControl w:val="0"/>
        <w:numPr>
          <w:ilvl w:val="0"/>
          <w:numId w:val="23"/>
        </w:numPr>
        <w:spacing w:after="240" w:line="240" w:lineRule="auto"/>
        <w:ind w:left="1440"/>
        <w:jc w:val="left"/>
      </w:pPr>
      <w:r>
        <w:t>Modifications to WCA allocation factors</w:t>
      </w:r>
      <w:r w:rsidR="0068387B">
        <w:t xml:space="preserve"> to better align the inter-jurisdictional allocation factors with the cost of service study</w:t>
      </w:r>
      <w:r w:rsidR="000C54D3">
        <w:t xml:space="preserve"> by</w:t>
      </w:r>
      <w:r w:rsidR="00B173E8">
        <w:t>:</w:t>
      </w:r>
    </w:p>
    <w:p w:rsidR="00B173E8" w:rsidRDefault="00B173E8" w:rsidP="00E630D8">
      <w:pPr>
        <w:pStyle w:val="Answer"/>
        <w:widowControl w:val="0"/>
        <w:numPr>
          <w:ilvl w:val="2"/>
          <w:numId w:val="23"/>
        </w:numPr>
        <w:spacing w:after="240" w:line="240" w:lineRule="auto"/>
        <w:jc w:val="left"/>
      </w:pPr>
      <w:r>
        <w:t>C</w:t>
      </w:r>
      <w:r w:rsidR="0068387B">
        <w:t xml:space="preserve">hanging the demand/energy weightings for the Control Area Generation West </w:t>
      </w:r>
      <w:r w:rsidR="001F62D0">
        <w:t xml:space="preserve">(CAGW) </w:t>
      </w:r>
      <w:r w:rsidR="0068387B">
        <w:t xml:space="preserve">and Jim Bridger Generation </w:t>
      </w:r>
      <w:r w:rsidR="001F62D0">
        <w:t>(JBG) factors</w:t>
      </w:r>
      <w:r>
        <w:t>.</w:t>
      </w:r>
      <w:r w:rsidR="000C54D3">
        <w:t xml:space="preserve">  (R. Bryce Dalley, Steven R. McDougal, Joelle R. Steward)</w:t>
      </w:r>
    </w:p>
    <w:p w:rsidR="00B56173" w:rsidRDefault="00B173E8" w:rsidP="00E630D8">
      <w:pPr>
        <w:pStyle w:val="Answer"/>
        <w:widowControl w:val="0"/>
        <w:numPr>
          <w:ilvl w:val="2"/>
          <w:numId w:val="23"/>
        </w:numPr>
        <w:spacing w:after="240" w:line="240" w:lineRule="auto"/>
        <w:jc w:val="left"/>
      </w:pPr>
      <w:r>
        <w:t>Us</w:t>
      </w:r>
      <w:r w:rsidR="000C54D3">
        <w:t>ing</w:t>
      </w:r>
      <w:r>
        <w:t xml:space="preserve"> </w:t>
      </w:r>
      <w:r w:rsidR="001F62D0">
        <w:t>200 coincident peaks in developing the west control area demand component of the CAGW factor.</w:t>
      </w:r>
      <w:r w:rsidR="005E774C">
        <w:t xml:space="preserve">  (R. Bryce Dalley, Steven R. McDougal, Joelle R. Steward)  </w:t>
      </w:r>
    </w:p>
    <w:p w:rsidR="001F62D0" w:rsidRDefault="001F62D0" w:rsidP="007E531B">
      <w:pPr>
        <w:pStyle w:val="Answer"/>
        <w:widowControl w:val="0"/>
        <w:numPr>
          <w:ilvl w:val="0"/>
          <w:numId w:val="23"/>
        </w:numPr>
        <w:spacing w:after="240" w:line="240" w:lineRule="auto"/>
        <w:ind w:left="1440"/>
        <w:jc w:val="left"/>
      </w:pPr>
      <w:r>
        <w:t>Development of the cost of capital using the Company’s actual capital structure</w:t>
      </w:r>
      <w:r w:rsidR="005E774C">
        <w:t>.  (Bruce</w:t>
      </w:r>
      <w:r w:rsidR="0086386B">
        <w:t xml:space="preserve"> </w:t>
      </w:r>
      <w:r w:rsidR="00BB10C3">
        <w:t>N.</w:t>
      </w:r>
      <w:r w:rsidR="00606095">
        <w:t xml:space="preserve"> </w:t>
      </w:r>
      <w:r w:rsidR="005E774C">
        <w:t>Williams)</w:t>
      </w:r>
    </w:p>
    <w:p w:rsidR="001F62D0" w:rsidRDefault="001F62D0" w:rsidP="007E531B">
      <w:pPr>
        <w:pStyle w:val="Answer"/>
        <w:widowControl w:val="0"/>
        <w:numPr>
          <w:ilvl w:val="0"/>
          <w:numId w:val="23"/>
        </w:numPr>
        <w:spacing w:after="240" w:line="240" w:lineRule="auto"/>
        <w:ind w:left="1440"/>
        <w:jc w:val="left"/>
      </w:pPr>
      <w:r>
        <w:t>Determining electric plan</w:t>
      </w:r>
      <w:r w:rsidR="00135566">
        <w:t>t in service balances using end-of-</w:t>
      </w:r>
      <w:r>
        <w:t>period balances instead of average of monthly averages.</w:t>
      </w:r>
      <w:r w:rsidR="005E774C">
        <w:t xml:space="preserve">  (Steven R. McDougal)</w:t>
      </w:r>
    </w:p>
    <w:p w:rsidR="001F62D0" w:rsidRDefault="001F62D0" w:rsidP="00BB10C3">
      <w:pPr>
        <w:pStyle w:val="Answer"/>
        <w:numPr>
          <w:ilvl w:val="0"/>
          <w:numId w:val="23"/>
        </w:numPr>
        <w:spacing w:after="240" w:line="240" w:lineRule="auto"/>
        <w:ind w:left="1440"/>
        <w:jc w:val="left"/>
      </w:pPr>
      <w:r>
        <w:t xml:space="preserve">A PCAM to recover the difference between NPC included in rates and actual NPC.  </w:t>
      </w:r>
      <w:r w:rsidR="005E774C">
        <w:t>(Gregory N. Duvall)</w:t>
      </w:r>
    </w:p>
    <w:p w:rsidR="001F62D0" w:rsidRDefault="001F62D0" w:rsidP="007E531B">
      <w:pPr>
        <w:pStyle w:val="Answer"/>
        <w:widowControl w:val="0"/>
        <w:numPr>
          <w:ilvl w:val="0"/>
          <w:numId w:val="23"/>
        </w:numPr>
        <w:spacing w:after="240" w:line="240" w:lineRule="auto"/>
        <w:ind w:left="1440"/>
        <w:jc w:val="left"/>
      </w:pPr>
      <w:r>
        <w:t>Pro forma adjustment to the historical test period to include five major capital projects placed in service after June 30, 2012.</w:t>
      </w:r>
      <w:r w:rsidR="005E774C">
        <w:t xml:space="preserve">  (Steven R. McDougal)</w:t>
      </w:r>
    </w:p>
    <w:p w:rsidR="001F62D0" w:rsidRDefault="001F62D0" w:rsidP="007E531B">
      <w:pPr>
        <w:pStyle w:val="Answer"/>
        <w:widowControl w:val="0"/>
        <w:numPr>
          <w:ilvl w:val="0"/>
          <w:numId w:val="23"/>
        </w:numPr>
        <w:spacing w:after="240" w:line="240" w:lineRule="auto"/>
        <w:ind w:left="1440"/>
        <w:jc w:val="left"/>
      </w:pPr>
      <w:r>
        <w:t xml:space="preserve">Discrete modifications to the investor supplied working capital </w:t>
      </w:r>
      <w:r w:rsidR="00BB10C3">
        <w:t xml:space="preserve">(ISWC) </w:t>
      </w:r>
      <w:r>
        <w:t>methodology.</w:t>
      </w:r>
      <w:r w:rsidR="005E774C">
        <w:t xml:space="preserve">  (Douglas </w:t>
      </w:r>
      <w:r w:rsidR="0046174B">
        <w:t xml:space="preserve">K. </w:t>
      </w:r>
      <w:r w:rsidR="005E774C">
        <w:t>Stuver).</w:t>
      </w:r>
    </w:p>
    <w:p w:rsidR="001F62D0" w:rsidRPr="00346BBE" w:rsidRDefault="008312C9" w:rsidP="001F62D0">
      <w:pPr>
        <w:pStyle w:val="Answer"/>
        <w:widowControl w:val="0"/>
        <w:jc w:val="left"/>
        <w:rPr>
          <w:b/>
        </w:rPr>
      </w:pPr>
      <w:r w:rsidRPr="00346BBE">
        <w:rPr>
          <w:b/>
        </w:rPr>
        <w:t>Q.</w:t>
      </w:r>
      <w:r w:rsidRPr="00346BBE">
        <w:rPr>
          <w:b/>
        </w:rPr>
        <w:tab/>
        <w:t>What are the parties’ positions on the Company’s proposals?</w:t>
      </w:r>
    </w:p>
    <w:p w:rsidR="0046174B" w:rsidRDefault="008312C9" w:rsidP="0046174B">
      <w:pPr>
        <w:pStyle w:val="Answer"/>
        <w:widowControl w:val="0"/>
        <w:jc w:val="left"/>
      </w:pPr>
      <w:r>
        <w:t>A.</w:t>
      </w:r>
      <w:r>
        <w:tab/>
        <w:t xml:space="preserve">As shown in Table </w:t>
      </w:r>
      <w:r w:rsidR="00594F70">
        <w:t xml:space="preserve">3 </w:t>
      </w:r>
      <w:r>
        <w:t xml:space="preserve">below, the </w:t>
      </w:r>
      <w:r w:rsidR="00346BBE">
        <w:t>parties reject the vast majority of the Company’s proposals.</w:t>
      </w:r>
    </w:p>
    <w:p w:rsidR="008312C9" w:rsidRDefault="0046174B" w:rsidP="00CC4057">
      <w:pPr>
        <w:pStyle w:val="Answer"/>
        <w:keepNext/>
        <w:widowControl w:val="0"/>
        <w:suppressLineNumbers/>
        <w:spacing w:line="240" w:lineRule="auto"/>
        <w:ind w:left="0" w:firstLine="0"/>
        <w:jc w:val="center"/>
        <w:rPr>
          <w:b/>
        </w:rPr>
      </w:pPr>
      <w:r w:rsidRPr="0046174B">
        <w:rPr>
          <w:b/>
        </w:rPr>
        <w:t xml:space="preserve">TABLE </w:t>
      </w:r>
      <w:r w:rsidR="00594F70">
        <w:rPr>
          <w:b/>
        </w:rPr>
        <w:t>3</w:t>
      </w:r>
    </w:p>
    <w:p w:rsidR="009C5D82" w:rsidRDefault="00AA68F8" w:rsidP="009C5D82">
      <w:pPr>
        <w:pStyle w:val="Answer"/>
        <w:widowControl w:val="0"/>
        <w:suppressLineNumbers/>
        <w:jc w:val="center"/>
        <w:rPr>
          <w:b/>
        </w:rPr>
      </w:pPr>
      <w:r>
        <w:rPr>
          <w:noProof/>
        </w:rPr>
        <w:drawing>
          <wp:inline distT="0" distB="0" distL="0" distR="0">
            <wp:extent cx="5715000" cy="56580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5658013"/>
                    </a:xfrm>
                    <a:prstGeom prst="rect">
                      <a:avLst/>
                    </a:prstGeom>
                    <a:noFill/>
                    <a:ln>
                      <a:noFill/>
                    </a:ln>
                  </pic:spPr>
                </pic:pic>
              </a:graphicData>
            </a:graphic>
          </wp:inline>
        </w:drawing>
      </w:r>
    </w:p>
    <w:p w:rsidR="009C5D82" w:rsidRDefault="009C5D82" w:rsidP="00BB10C3">
      <w:pPr>
        <w:pStyle w:val="Answer"/>
        <w:jc w:val="left"/>
        <w:rPr>
          <w:b/>
        </w:rPr>
      </w:pPr>
      <w:r>
        <w:rPr>
          <w:b/>
        </w:rPr>
        <w:t>Q.</w:t>
      </w:r>
      <w:r>
        <w:rPr>
          <w:b/>
        </w:rPr>
        <w:tab/>
        <w:t>Did the parties make any alternative proposals to address the Company’s concerns?</w:t>
      </w:r>
    </w:p>
    <w:p w:rsidR="00544E2C" w:rsidRDefault="009C5D82" w:rsidP="009C5D82">
      <w:pPr>
        <w:pStyle w:val="Answer"/>
        <w:widowControl w:val="0"/>
        <w:jc w:val="left"/>
      </w:pPr>
      <w:r w:rsidRPr="009C5D82">
        <w:t>A.</w:t>
      </w:r>
      <w:r w:rsidRPr="009C5D82">
        <w:tab/>
      </w:r>
      <w:r>
        <w:t xml:space="preserve">Yes, </w:t>
      </w:r>
      <w:r w:rsidR="00560640">
        <w:t>but</w:t>
      </w:r>
      <w:r>
        <w:t xml:space="preserve"> only one.  Staff propose</w:t>
      </w:r>
      <w:r w:rsidR="0015671F">
        <w:t>s</w:t>
      </w:r>
      <w:r>
        <w:t xml:space="preserve"> an expedited rate filing mechanism (ERF) to reduce regulatory lag.</w:t>
      </w:r>
      <w:r>
        <w:rPr>
          <w:rStyle w:val="FootnoteReference"/>
        </w:rPr>
        <w:footnoteReference w:id="6"/>
      </w:r>
      <w:r>
        <w:t xml:space="preserve">  While the Company appreciates Staff’s proposal, the specifics are unclear.  For example, it appears that Staff</w:t>
      </w:r>
      <w:r w:rsidR="00544E2C">
        <w:t xml:space="preserve"> proposes allowing the Company to file an ERF that would include a rate increase of three percent or more.</w:t>
      </w:r>
      <w:r w:rsidR="00544E2C">
        <w:rPr>
          <w:rStyle w:val="FootnoteReference"/>
        </w:rPr>
        <w:footnoteReference w:id="7"/>
      </w:r>
      <w:r w:rsidR="00544E2C">
        <w:t xml:space="preserve">  Staff does not, however, specify how the requirements of WAC 480-07-505 would be waived or otherwise modified.  Under this rule, proposed rate increases of three percent or more require a general rate case filing.</w:t>
      </w:r>
    </w:p>
    <w:p w:rsidR="009C5D82" w:rsidRDefault="00560640" w:rsidP="00544E2C">
      <w:pPr>
        <w:pStyle w:val="Answer"/>
        <w:widowControl w:val="0"/>
        <w:ind w:firstLine="720"/>
        <w:jc w:val="left"/>
      </w:pPr>
      <w:r>
        <w:t>Staff’s proposal may be workable if the ERF allows rate increase</w:t>
      </w:r>
      <w:r w:rsidR="00BB10C3">
        <w:t>s</w:t>
      </w:r>
      <w:r>
        <w:t xml:space="preserve"> of three percent or greater.  But i</w:t>
      </w:r>
      <w:r w:rsidR="00544E2C">
        <w:t>f the ERF allows rate increases of only 2.99 percent or less, the</w:t>
      </w:r>
      <w:r>
        <w:t>n the</w:t>
      </w:r>
      <w:r w:rsidR="00544E2C">
        <w:t xml:space="preserve"> mechanism would be of limited value</w:t>
      </w:r>
      <w:r>
        <w:t xml:space="preserve"> unless a proper rate baseline is established in this case</w:t>
      </w:r>
      <w:r w:rsidR="00544E2C">
        <w:t xml:space="preserve">.  For example, </w:t>
      </w:r>
      <w:r>
        <w:t xml:space="preserve">assuming </w:t>
      </w:r>
      <w:r w:rsidR="00544E2C">
        <w:t>the Commission accepts Staff’s proposal for a 4.8 percent increase in this case</w:t>
      </w:r>
      <w:r>
        <w:t xml:space="preserve"> and</w:t>
      </w:r>
      <w:r w:rsidR="00544E2C">
        <w:t xml:space="preserve"> the Company files (and receive</w:t>
      </w:r>
      <w:r>
        <w:t>s</w:t>
      </w:r>
      <w:r w:rsidR="00544E2C">
        <w:t xml:space="preserve"> approval of) ERFs in 2014 and 2015 for the maximum increase permitted </w:t>
      </w:r>
      <w:r w:rsidR="00135566">
        <w:br/>
      </w:r>
      <w:r w:rsidR="00544E2C">
        <w:t xml:space="preserve">(2.99 percent), then the Company would receive an increase of approximately </w:t>
      </w:r>
      <w:r w:rsidRPr="001E7630">
        <w:t>10.9 percent</w:t>
      </w:r>
      <w:r>
        <w:t xml:space="preserve"> over the next three years.  This is considerably less than the 1</w:t>
      </w:r>
      <w:r w:rsidR="00CA2852">
        <w:t>2</w:t>
      </w:r>
      <w:r>
        <w:t xml:space="preserve">.1 percent increase that the Company needs from this case alone.  </w:t>
      </w:r>
    </w:p>
    <w:p w:rsidR="00037566" w:rsidRDefault="00544E2C" w:rsidP="00E630D8">
      <w:pPr>
        <w:pStyle w:val="Answer"/>
        <w:widowControl w:val="0"/>
        <w:jc w:val="left"/>
        <w:rPr>
          <w:b/>
        </w:rPr>
      </w:pPr>
      <w:r>
        <w:tab/>
      </w:r>
      <w:r>
        <w:tab/>
      </w:r>
      <w:r w:rsidR="00560640">
        <w:t>In addition, Staff’s ERF proposal does not address some of the other issues currently facing PacifiCorp in Washington.  As outlined above, and as recommended by the former Governor’s rate discussion group,</w:t>
      </w:r>
      <w:r w:rsidR="00560640">
        <w:rPr>
          <w:rStyle w:val="FootnoteReference"/>
        </w:rPr>
        <w:footnoteReference w:id="8"/>
      </w:r>
      <w:r w:rsidR="00560640">
        <w:t xml:space="preserve"> ratemaking principles that reduce repetitive litigation and increase predictability and consistency are needed in Washington.  The Company’s proposals address these concerns and make progress towards establishing the necessary ratemaking principles.</w:t>
      </w:r>
    </w:p>
    <w:p w:rsidR="00560640" w:rsidRDefault="00560640" w:rsidP="001E7630">
      <w:pPr>
        <w:pStyle w:val="Answer"/>
        <w:keepNext/>
        <w:widowControl w:val="0"/>
        <w:jc w:val="left"/>
        <w:rPr>
          <w:b/>
        </w:rPr>
      </w:pPr>
      <w:r w:rsidRPr="00A16394">
        <w:rPr>
          <w:b/>
        </w:rPr>
        <w:t>Q.</w:t>
      </w:r>
      <w:r w:rsidRPr="00A16394">
        <w:rPr>
          <w:b/>
        </w:rPr>
        <w:tab/>
      </w:r>
      <w:r w:rsidR="00A16394">
        <w:rPr>
          <w:b/>
        </w:rPr>
        <w:t>Are Staff’s proposals in this case generally consistent with its stated support of “</w:t>
      </w:r>
      <w:r w:rsidR="0086386B">
        <w:rPr>
          <w:b/>
        </w:rPr>
        <w:t>progressive ideas in ratemaking</w:t>
      </w:r>
      <w:r w:rsidR="00A16394">
        <w:rPr>
          <w:b/>
        </w:rPr>
        <w:t>”?</w:t>
      </w:r>
      <w:r w:rsidR="00BB10C3">
        <w:rPr>
          <w:rStyle w:val="FootnoteReference"/>
          <w:b/>
        </w:rPr>
        <w:footnoteReference w:id="9"/>
      </w:r>
    </w:p>
    <w:p w:rsidR="00A16394" w:rsidRDefault="00A16394" w:rsidP="001E7630">
      <w:pPr>
        <w:pStyle w:val="Answer"/>
        <w:widowControl w:val="0"/>
        <w:jc w:val="left"/>
      </w:pPr>
      <w:r w:rsidRPr="00A16394">
        <w:t>A.</w:t>
      </w:r>
      <w:r w:rsidRPr="00A16394">
        <w:tab/>
        <w:t xml:space="preserve">No.  Other than the ERF, </w:t>
      </w:r>
      <w:r>
        <w:t>Staff’s collective position in this case does not support creative or progressive ratemaking ideas, but instead effectively rejects any modifications to the status quo</w:t>
      </w:r>
      <w:r w:rsidR="00992E1E">
        <w:t xml:space="preserve"> for PacifiCorp</w:t>
      </w:r>
      <w:r>
        <w:t>.  For example, Staff rejects the Company’s propo</w:t>
      </w:r>
      <w:r w:rsidR="007A5319">
        <w:t>sal to change to the use of end-of-</w:t>
      </w:r>
      <w:r>
        <w:t>period electric plant in service balances rather than an average of monthly averages for the calculation of rate base in the test period,</w:t>
      </w:r>
      <w:r w:rsidR="00992E1E">
        <w:rPr>
          <w:rStyle w:val="FootnoteReference"/>
        </w:rPr>
        <w:footnoteReference w:id="10"/>
      </w:r>
      <w:r>
        <w:t xml:space="preserve"> although </w:t>
      </w:r>
      <w:r w:rsidR="0018315F">
        <w:t xml:space="preserve">Staff supported </w:t>
      </w:r>
      <w:r w:rsidR="00A52837">
        <w:t>this proposal</w:t>
      </w:r>
      <w:r>
        <w:t xml:space="preserve"> </w:t>
      </w:r>
      <w:r w:rsidRPr="0018315F">
        <w:t xml:space="preserve">in </w:t>
      </w:r>
      <w:r w:rsidRPr="00CD6A0F">
        <w:t>PSE’s</w:t>
      </w:r>
      <w:r w:rsidRPr="0018315F">
        <w:t xml:space="preserve"> recent </w:t>
      </w:r>
      <w:r w:rsidR="008A6532">
        <w:t>ERF</w:t>
      </w:r>
      <w:r w:rsidRPr="0018315F">
        <w:t xml:space="preserve"> filing</w:t>
      </w:r>
      <w:r w:rsidR="008A6532">
        <w:t xml:space="preserve"> as “necessary and useful” to address PSE’s persistent under</w:t>
      </w:r>
      <w:r w:rsidR="008449C3">
        <w:t>-</w:t>
      </w:r>
      <w:r w:rsidR="008A6532">
        <w:t>earnings and regulatory lag</w:t>
      </w:r>
      <w:r w:rsidR="0018315F" w:rsidRPr="0018315F">
        <w:t>.</w:t>
      </w:r>
      <w:r w:rsidR="008A6532">
        <w:rPr>
          <w:rStyle w:val="FootnoteReference"/>
        </w:rPr>
        <w:footnoteReference w:id="11"/>
      </w:r>
      <w:r w:rsidR="002D792E">
        <w:t xml:space="preserve">  In addition, in Avista’s most recent rate case, Staff calculated its attrition adjustment including rate base additions through the rate year; according to Staff, this was the eq</w:t>
      </w:r>
      <w:r w:rsidR="007A5319">
        <w:t>uivalent of Avista’s use of end-of-</w:t>
      </w:r>
      <w:r w:rsidR="002D792E">
        <w:t>period rate base, rendering that adjustment duplicative.</w:t>
      </w:r>
      <w:r w:rsidR="002D792E">
        <w:rPr>
          <w:rStyle w:val="FootnoteReference"/>
        </w:rPr>
        <w:footnoteReference w:id="12"/>
      </w:r>
      <w:r w:rsidR="002D792E">
        <w:t xml:space="preserve">  </w:t>
      </w:r>
    </w:p>
    <w:p w:rsidR="00992E1E" w:rsidRDefault="00992E1E" w:rsidP="009C5D82">
      <w:pPr>
        <w:pStyle w:val="Answer"/>
        <w:widowControl w:val="0"/>
        <w:jc w:val="left"/>
      </w:pPr>
      <w:r>
        <w:tab/>
      </w:r>
      <w:r>
        <w:tab/>
        <w:t xml:space="preserve">Another example is Staff’s proposed </w:t>
      </w:r>
      <w:r w:rsidR="00BB10C3">
        <w:t>“</w:t>
      </w:r>
      <w:r>
        <w:t>cut-off date</w:t>
      </w:r>
      <w:r w:rsidR="00BB10C3">
        <w:t>”</w:t>
      </w:r>
      <w:r>
        <w:t xml:space="preserve"> for pro forma capital additions.</w:t>
      </w:r>
      <w:r w:rsidR="00BB10C3">
        <w:rPr>
          <w:rStyle w:val="FootnoteReference"/>
        </w:rPr>
        <w:footnoteReference w:id="13"/>
      </w:r>
      <w:r>
        <w:t xml:space="preserve">  Despite the limited number of pro forma capital additions included in the Company’s case, and despite acknowledgment of the Commission’s flexibility in determining an appropriate cut-off date, Staff arbitrarily proposes the filing date of the Company’s rate case as the cut-off.</w:t>
      </w:r>
      <w:r>
        <w:rPr>
          <w:rStyle w:val="FootnoteReference"/>
        </w:rPr>
        <w:footnoteReference w:id="14"/>
      </w:r>
      <w:r>
        <w:t xml:space="preserve">  This proposal would disallow the timely recovery of two of the five pro forma capital additions.  One of these disallowed investments is a turbine upgrade at unit 2 of the Company’</w:t>
      </w:r>
      <w:r w:rsidR="008A47C2">
        <w:t>s</w:t>
      </w:r>
      <w:r>
        <w:t xml:space="preserve"> Jim Bridger generating plant, which was placed in service a month before the filing date of Staff’s testimony.  Notably, Staff makes no adjustment to remove the benefit of the efficiency improvements gained by this upgrade from the Company’s NPC.  The other </w:t>
      </w:r>
      <w:r w:rsidR="00BB10C3">
        <w:t xml:space="preserve">investment is a fish collecting and sorting facility at the Company’s Merwin hydroelectric facility </w:t>
      </w:r>
      <w:r>
        <w:t>to improve fish passage as required by the Company’s Federal Energy Regulatory Commission license</w:t>
      </w:r>
      <w:r w:rsidR="004525E7">
        <w:t xml:space="preserve"> (the Merwin Fish Collector)</w:t>
      </w:r>
      <w:r>
        <w:t>.</w:t>
      </w:r>
      <w:r w:rsidR="001264E5">
        <w:t xml:space="preserve">  The Company’s response to Staff’s proposal is further discussed in the rebuttal testimony of </w:t>
      </w:r>
      <w:r w:rsidR="004525E7">
        <w:t>Mr.</w:t>
      </w:r>
      <w:r w:rsidR="001264E5">
        <w:t xml:space="preserve"> </w:t>
      </w:r>
      <w:r w:rsidR="00A5051A">
        <w:t xml:space="preserve">Steven R. </w:t>
      </w:r>
      <w:r w:rsidR="001264E5">
        <w:t>McDougal.</w:t>
      </w:r>
      <w:r w:rsidR="003F101B">
        <w:rPr>
          <w:rStyle w:val="FootnoteReference"/>
        </w:rPr>
        <w:footnoteReference w:id="15"/>
      </w:r>
    </w:p>
    <w:p w:rsidR="00037566" w:rsidRPr="00E630D8" w:rsidRDefault="00037566" w:rsidP="009C5D82">
      <w:pPr>
        <w:pStyle w:val="Answer"/>
        <w:widowControl w:val="0"/>
        <w:jc w:val="left"/>
        <w:rPr>
          <w:b/>
        </w:rPr>
      </w:pPr>
      <w:r w:rsidRPr="00E630D8">
        <w:rPr>
          <w:b/>
        </w:rPr>
        <w:t>Q.</w:t>
      </w:r>
      <w:r w:rsidRPr="00E630D8">
        <w:rPr>
          <w:b/>
        </w:rPr>
        <w:tab/>
        <w:t xml:space="preserve">If the Commission does not allow the Merwin </w:t>
      </w:r>
      <w:r w:rsidR="004525E7">
        <w:rPr>
          <w:b/>
        </w:rPr>
        <w:t>Fish Collector</w:t>
      </w:r>
      <w:r w:rsidRPr="00E630D8">
        <w:rPr>
          <w:b/>
        </w:rPr>
        <w:t xml:space="preserve"> in rate base in this proceeding, does the Company have an alternative proposal?</w:t>
      </w:r>
    </w:p>
    <w:p w:rsidR="00AB6F9C" w:rsidRDefault="00037566" w:rsidP="009C5D82">
      <w:pPr>
        <w:pStyle w:val="Answer"/>
        <w:widowControl w:val="0"/>
        <w:jc w:val="left"/>
      </w:pPr>
      <w:r>
        <w:t>A.</w:t>
      </w:r>
      <w:r>
        <w:tab/>
        <w:t>Yes.  The Company proposes that the Commission a</w:t>
      </w:r>
      <w:r w:rsidR="00AB6F9C">
        <w:t>pprove a</w:t>
      </w:r>
      <w:r>
        <w:t xml:space="preserve"> separate tariff rider to include the revenue requirement of th</w:t>
      </w:r>
      <w:r w:rsidR="004525E7">
        <w:t>e Merwin Fish Collector</w:t>
      </w:r>
      <w:r>
        <w:t xml:space="preserve"> in rates once the project is placed in service and is used and useful </w:t>
      </w:r>
      <w:r w:rsidR="00AB6F9C">
        <w:t xml:space="preserve">for customers.  This proposal is consistent with alternative rate mechanisms used by the Company in California, Oregon, and Utah.  Most recently, the Company added a significant transmission project to rates </w:t>
      </w:r>
      <w:r w:rsidR="004525E7">
        <w:t xml:space="preserve">in Oregon </w:t>
      </w:r>
      <w:r w:rsidR="00AB6F9C">
        <w:t>through a separate tariff rider after a prudence review of the project was conducted as part of a general rate case.</w:t>
      </w:r>
      <w:r w:rsidR="00AB6F9C">
        <w:rPr>
          <w:rStyle w:val="FootnoteReference"/>
        </w:rPr>
        <w:footnoteReference w:id="16"/>
      </w:r>
      <w:r w:rsidR="00AB6F9C">
        <w:t xml:space="preserve">  </w:t>
      </w:r>
    </w:p>
    <w:p w:rsidR="00037566" w:rsidRDefault="00AB6F9C" w:rsidP="000B3F38">
      <w:pPr>
        <w:pStyle w:val="Answer"/>
        <w:ind w:firstLine="720"/>
        <w:jc w:val="left"/>
      </w:pPr>
      <w:r>
        <w:t>In this proceeding, no party dispu</w:t>
      </w:r>
      <w:r w:rsidR="004525E7">
        <w:t>tes the prudence of the Merwin F</w:t>
      </w:r>
      <w:r>
        <w:t xml:space="preserve">ish </w:t>
      </w:r>
      <w:r w:rsidR="004525E7">
        <w:t>Collector</w:t>
      </w:r>
      <w:r>
        <w:t xml:space="preserve">.  Approval of a separate tariff rider would allow the project to be added to rates while alleviating the concerns raised by the parties about the timing of the in-service date.  The parties </w:t>
      </w:r>
      <w:r w:rsidR="009E7254">
        <w:t>would</w:t>
      </w:r>
      <w:r>
        <w:t xml:space="preserve"> be given the opportunity to review the costs of the project at the time the separate tariff rider is filed.  Although the Company’s preference is to add the project to rate base as part of this case, this alternative would also provide timely recovery of the investment.  This proposal is discussed in more detail in the rebuttal testimony of Mr. McDougal.</w:t>
      </w:r>
      <w:r w:rsidR="003F101B">
        <w:rPr>
          <w:rStyle w:val="FootnoteReference"/>
        </w:rPr>
        <w:footnoteReference w:id="17"/>
      </w:r>
      <w:r>
        <w:t xml:space="preserve">  </w:t>
      </w:r>
    </w:p>
    <w:p w:rsidR="00AB6F9C" w:rsidRPr="00E630D8" w:rsidRDefault="00AB6F9C" w:rsidP="00AB6F9C">
      <w:pPr>
        <w:pStyle w:val="Answer"/>
        <w:widowControl w:val="0"/>
        <w:jc w:val="left"/>
        <w:rPr>
          <w:b/>
        </w:rPr>
      </w:pPr>
      <w:r w:rsidRPr="00E630D8">
        <w:rPr>
          <w:b/>
        </w:rPr>
        <w:t>Q.</w:t>
      </w:r>
      <w:r w:rsidRPr="00E630D8">
        <w:rPr>
          <w:b/>
        </w:rPr>
        <w:tab/>
        <w:t xml:space="preserve">Why is the Company </w:t>
      </w:r>
      <w:r w:rsidR="000502BC">
        <w:rPr>
          <w:b/>
        </w:rPr>
        <w:t xml:space="preserve">not </w:t>
      </w:r>
      <w:r w:rsidRPr="00E630D8">
        <w:rPr>
          <w:b/>
        </w:rPr>
        <w:t>making an alternative proposal</w:t>
      </w:r>
      <w:r w:rsidR="004525E7" w:rsidRPr="00E630D8">
        <w:rPr>
          <w:b/>
        </w:rPr>
        <w:t xml:space="preserve"> for recovery of the Jim Bridger turbine upgrade?</w:t>
      </w:r>
    </w:p>
    <w:p w:rsidR="004525E7" w:rsidRDefault="004525E7" w:rsidP="00AB6F9C">
      <w:pPr>
        <w:pStyle w:val="Answer"/>
        <w:widowControl w:val="0"/>
        <w:jc w:val="left"/>
      </w:pPr>
      <w:r>
        <w:t>A.</w:t>
      </w:r>
      <w:r>
        <w:tab/>
        <w:t>The Company is not making an alternative proposal for recovery of the Jim Bridger turbine upgrade because the project was placed into service in May 2013 and is presently used and useful.  The Company’s position is further discussed in the rebuttal testimony of Mr. McDougal.</w:t>
      </w:r>
    </w:p>
    <w:p w:rsidR="00E05A11" w:rsidRPr="00E05A11" w:rsidRDefault="00E05A11" w:rsidP="009C5D82">
      <w:pPr>
        <w:pStyle w:val="Answer"/>
        <w:widowControl w:val="0"/>
        <w:jc w:val="left"/>
        <w:rPr>
          <w:b/>
        </w:rPr>
      </w:pPr>
      <w:r w:rsidRPr="00E05A11">
        <w:rPr>
          <w:b/>
        </w:rPr>
        <w:t>Q.</w:t>
      </w:r>
      <w:r w:rsidRPr="00E05A11">
        <w:rPr>
          <w:b/>
        </w:rPr>
        <w:tab/>
        <w:t xml:space="preserve">Please comment on Public Counsel’s position on the Company’s proposals. </w:t>
      </w:r>
    </w:p>
    <w:p w:rsidR="00E05A11" w:rsidRPr="00A16394" w:rsidRDefault="00E05A11" w:rsidP="009C5D82">
      <w:pPr>
        <w:pStyle w:val="Answer"/>
        <w:widowControl w:val="0"/>
        <w:jc w:val="left"/>
      </w:pPr>
      <w:r>
        <w:t>A.</w:t>
      </w:r>
      <w:r>
        <w:tab/>
        <w:t>While Public Counsel opposes most of the Company’s proposals, it does support the Comp</w:t>
      </w:r>
      <w:r w:rsidR="000B3F38">
        <w:t>any’s use of end-of-period rate</w:t>
      </w:r>
      <w:r w:rsidR="00ED64CB">
        <w:t xml:space="preserve"> </w:t>
      </w:r>
      <w:r>
        <w:t>base in this case.</w:t>
      </w:r>
      <w:r w:rsidR="00E30BA3">
        <w:rPr>
          <w:rStyle w:val="FootnoteReference"/>
        </w:rPr>
        <w:footnoteReference w:id="18"/>
      </w:r>
      <w:r>
        <w:t xml:space="preserve">  This support, however, is tied to annualization of revenues, a proposal that is problematic for the re</w:t>
      </w:r>
      <w:r w:rsidR="00ED64CB">
        <w:t>asons discussed in the testimonies</w:t>
      </w:r>
      <w:r>
        <w:t xml:space="preserve"> of Ms. Steward and Mr. McDougal.</w:t>
      </w:r>
      <w:r w:rsidR="003F101B">
        <w:rPr>
          <w:rStyle w:val="FootnoteReference"/>
        </w:rPr>
        <w:footnoteReference w:id="19"/>
      </w:r>
    </w:p>
    <w:p w:rsidR="001264E5" w:rsidRPr="0073467E" w:rsidRDefault="00CD6A0F" w:rsidP="009C5D82">
      <w:pPr>
        <w:pStyle w:val="Answer"/>
        <w:widowControl w:val="0"/>
        <w:jc w:val="left"/>
        <w:rPr>
          <w:b/>
        </w:rPr>
      </w:pPr>
      <w:r w:rsidRPr="0073467E">
        <w:rPr>
          <w:b/>
        </w:rPr>
        <w:t>Q.</w:t>
      </w:r>
      <w:r w:rsidRPr="0073467E">
        <w:rPr>
          <w:b/>
        </w:rPr>
        <w:tab/>
      </w:r>
      <w:r w:rsidR="0073467E" w:rsidRPr="0073467E">
        <w:rPr>
          <w:b/>
        </w:rPr>
        <w:t>Is the Company concerned by any of Staff’s or the other parties’ positions?</w:t>
      </w:r>
    </w:p>
    <w:p w:rsidR="001E7630" w:rsidRDefault="0073467E" w:rsidP="00E630D8">
      <w:pPr>
        <w:pStyle w:val="Answer"/>
        <w:jc w:val="left"/>
      </w:pPr>
      <w:r>
        <w:t>A.</w:t>
      </w:r>
      <w:r>
        <w:tab/>
        <w:t>Yes.  The Company is particularly troubled by Staff’s and the other parties’ positions regarding the Company’s NPC and PCAM.  Although the other two regulated electric utilities in Washington have PCAMs</w:t>
      </w:r>
      <w:r w:rsidR="00ED64CB">
        <w:t>,</w:t>
      </w:r>
      <w:r>
        <w:t xml:space="preserve"> and the Company has PCAMs in all of its other state jurisdictions, all parties reject the Company’s PCAM proposal in this filing.  Staff </w:t>
      </w:r>
      <w:r w:rsidR="00E05A11">
        <w:t>goes so far as to</w:t>
      </w:r>
      <w:r>
        <w:t xml:space="preserve"> state that it is “premature to consider even a properly designed PCAM” because the Company’s inter-jurisdictional allocation methodology in its five other states will expire in 2017 and is currently under discussion in those states through the Company’s multi-state process</w:t>
      </w:r>
      <w:r w:rsidR="00BB10C3">
        <w:t xml:space="preserve"> (MSP)</w:t>
      </w:r>
      <w:r>
        <w:t>.</w:t>
      </w:r>
      <w:r>
        <w:rPr>
          <w:rStyle w:val="FootnoteReference"/>
        </w:rPr>
        <w:footnoteReference w:id="20"/>
      </w:r>
      <w:r>
        <w:t xml:space="preserve">  </w:t>
      </w:r>
      <w:r w:rsidR="007E531B">
        <w:t xml:space="preserve">This is a surprising position, however, because Staff </w:t>
      </w:r>
      <w:r w:rsidR="00B04513">
        <w:t xml:space="preserve">has </w:t>
      </w:r>
      <w:r w:rsidR="007E531B">
        <w:t>not support</w:t>
      </w:r>
      <w:r w:rsidR="00B04513">
        <w:t>ed</w:t>
      </w:r>
      <w:r w:rsidR="007E531B">
        <w:t xml:space="preserve"> use of a six-state inter-jurisdictional allocation methodology, Washington does not use the same allocation methodology as the Company’s other five states, and </w:t>
      </w:r>
      <w:r>
        <w:t>Staff</w:t>
      </w:r>
      <w:r w:rsidR="007E531B">
        <w:t xml:space="preserve"> </w:t>
      </w:r>
      <w:r>
        <w:t>has not participated in</w:t>
      </w:r>
      <w:r w:rsidR="007E531B">
        <w:t xml:space="preserve"> the MSP </w:t>
      </w:r>
      <w:r w:rsidR="00B04513">
        <w:t>in nearly a decade</w:t>
      </w:r>
      <w:r w:rsidR="007E531B">
        <w:t xml:space="preserve">.  Adoption of a PCAM for the Company, therefore, should not be contingent on the outcome of the </w:t>
      </w:r>
      <w:r w:rsidR="00BB10C3">
        <w:t>MSP</w:t>
      </w:r>
      <w:r w:rsidR="007E531B">
        <w:t xml:space="preserve">.  </w:t>
      </w:r>
    </w:p>
    <w:p w:rsidR="002B505A" w:rsidRDefault="001E7630" w:rsidP="002B505A">
      <w:pPr>
        <w:pStyle w:val="Answer"/>
        <w:widowControl w:val="0"/>
        <w:jc w:val="left"/>
      </w:pPr>
      <w:r>
        <w:tab/>
      </w:r>
      <w:r>
        <w:tab/>
        <w:t xml:space="preserve">In addition, all parties object to the inclusion of the Company’s PPAs with QFs in Oregon and California in NPC.  </w:t>
      </w:r>
      <w:r w:rsidR="002B505A">
        <w:t>The parties take this position despite the fact that these QFs are located in the west control area</w:t>
      </w:r>
      <w:r w:rsidR="00E05A11">
        <w:t>,</w:t>
      </w:r>
      <w:r w:rsidR="002B505A">
        <w:t xml:space="preserve"> the Company is required to purchase the output of these facilities under the Public Utility Regulatory Policies Act of 1978 (PURPA)</w:t>
      </w:r>
      <w:r w:rsidR="00E05A11">
        <w:t xml:space="preserve"> and most of the facilities are renewable resources</w:t>
      </w:r>
      <w:r w:rsidR="002B505A">
        <w:t xml:space="preserve">.  Moreover, all non-QF PPAs with entities in the west control area are included in the calculation of NPC in Washington.  </w:t>
      </w:r>
    </w:p>
    <w:p w:rsidR="0073467E" w:rsidRDefault="007E531B" w:rsidP="002B505A">
      <w:pPr>
        <w:pStyle w:val="Answer"/>
        <w:keepLines/>
        <w:widowControl w:val="0"/>
        <w:ind w:firstLine="720"/>
        <w:jc w:val="left"/>
      </w:pPr>
      <w:r>
        <w:t xml:space="preserve">The Company more specifically addresses the parties’ PCAM </w:t>
      </w:r>
      <w:r w:rsidR="001E7630">
        <w:t xml:space="preserve">and NPC </w:t>
      </w:r>
      <w:r>
        <w:t xml:space="preserve">positions in the rebuttal testimony of </w:t>
      </w:r>
      <w:r w:rsidR="00DD4B6D">
        <w:t xml:space="preserve">Mr. </w:t>
      </w:r>
      <w:r>
        <w:t>Gregory N. Duvall.</w:t>
      </w:r>
      <w:r w:rsidR="003F101B">
        <w:rPr>
          <w:rStyle w:val="FootnoteReference"/>
        </w:rPr>
        <w:footnoteReference w:id="21"/>
      </w:r>
    </w:p>
    <w:p w:rsidR="007E531B" w:rsidRPr="00992E1E" w:rsidRDefault="007E531B" w:rsidP="007E531B">
      <w:pPr>
        <w:pStyle w:val="Answer"/>
        <w:widowControl w:val="0"/>
        <w:jc w:val="left"/>
        <w:rPr>
          <w:b/>
        </w:rPr>
      </w:pPr>
      <w:r w:rsidRPr="00992E1E">
        <w:rPr>
          <w:b/>
        </w:rPr>
        <w:t>Q.</w:t>
      </w:r>
      <w:r w:rsidRPr="00992E1E">
        <w:rPr>
          <w:b/>
        </w:rPr>
        <w:tab/>
        <w:t xml:space="preserve">Do some of the parties’ proposals further exacerbate the challenges facing the Company in Washington?  </w:t>
      </w:r>
    </w:p>
    <w:p w:rsidR="007E531B" w:rsidRDefault="007E531B" w:rsidP="007E531B">
      <w:pPr>
        <w:pStyle w:val="Answer"/>
        <w:widowControl w:val="0"/>
        <w:jc w:val="left"/>
      </w:pPr>
      <w:r>
        <w:t>A.</w:t>
      </w:r>
      <w:r>
        <w:tab/>
        <w:t xml:space="preserve">Yes.  One example </w:t>
      </w:r>
      <w:r w:rsidR="001E7630">
        <w:t xml:space="preserve">is Staff’s proposed 9.0 percent ROE, which is 80 to 160 basis points below the Company’s authorized ROEs in its five other jurisdictions.  Another example </w:t>
      </w:r>
      <w:r>
        <w:t>is</w:t>
      </w:r>
      <w:r w:rsidR="001E7630">
        <w:t xml:space="preserve"> the Company’s proposal to use it</w:t>
      </w:r>
      <w:r>
        <w:t xml:space="preserve">s actual capital structure in determining cost of capital.  The Company’s </w:t>
      </w:r>
      <w:r w:rsidR="00C153AD">
        <w:t xml:space="preserve">updated </w:t>
      </w:r>
      <w:r>
        <w:t>actual capital structure includes a common equity component of 52.</w:t>
      </w:r>
      <w:r w:rsidR="00C153AD">
        <w:t>22</w:t>
      </w:r>
      <w:r>
        <w:t xml:space="preserve"> percent and no short-term debt.  Staff takes a particularly aggressive position on this issue, proposing a hypothetical capital structure that includes a common equity component of 46.0 percent, which is </w:t>
      </w:r>
      <w:r w:rsidR="00C153AD">
        <w:t>more than</w:t>
      </w:r>
      <w:r>
        <w:t xml:space="preserve"> 6</w:t>
      </w:r>
      <w:r w:rsidR="00C153AD">
        <w:t>00</w:t>
      </w:r>
      <w:r>
        <w:t xml:space="preserve"> basis points below the actual level.</w:t>
      </w:r>
      <w:r>
        <w:rPr>
          <w:rStyle w:val="FootnoteReference"/>
        </w:rPr>
        <w:footnoteReference w:id="22"/>
      </w:r>
      <w:r>
        <w:t xml:space="preserve">  Staff also proposes including four percent short-term debt in the Company’s capital structure.</w:t>
      </w:r>
      <w:r>
        <w:rPr>
          <w:rStyle w:val="FootnoteReference"/>
        </w:rPr>
        <w:footnoteReference w:id="23"/>
      </w:r>
      <w:r>
        <w:t xml:space="preserve">  Boise similarly proposes a hypothetical capital structure, </w:t>
      </w:r>
      <w:r w:rsidR="00DA258A">
        <w:t>using</w:t>
      </w:r>
      <w:r w:rsidR="00C153AD">
        <w:t xml:space="preserve"> </w:t>
      </w:r>
      <w:r w:rsidR="00BA6701">
        <w:t xml:space="preserve">the reduced common equity component </w:t>
      </w:r>
      <w:r>
        <w:t xml:space="preserve">adopted in the Company’s last litigated general rate case, </w:t>
      </w:r>
      <w:r w:rsidR="00DD4B6D">
        <w:t>D</w:t>
      </w:r>
      <w:r>
        <w:t>ocket UE-100749.</w:t>
      </w:r>
      <w:r>
        <w:rPr>
          <w:rStyle w:val="FootnoteReference"/>
        </w:rPr>
        <w:footnoteReference w:id="24"/>
      </w:r>
      <w:r>
        <w:t xml:space="preserve">  The Company’s response</w:t>
      </w:r>
      <w:r w:rsidR="00BB10C3">
        <w:t>s</w:t>
      </w:r>
      <w:r>
        <w:t xml:space="preserve"> to the parties’ </w:t>
      </w:r>
      <w:r w:rsidR="00BB10C3">
        <w:t xml:space="preserve">cost of </w:t>
      </w:r>
      <w:r w:rsidR="00C153AD">
        <w:t>equity</w:t>
      </w:r>
      <w:r w:rsidR="00BB10C3">
        <w:t xml:space="preserve"> and </w:t>
      </w:r>
      <w:r>
        <w:t xml:space="preserve">capital structure </w:t>
      </w:r>
      <w:r w:rsidR="00BB10C3">
        <w:t>positions are</w:t>
      </w:r>
      <w:r>
        <w:t xml:space="preserve"> addressed f</w:t>
      </w:r>
      <w:r w:rsidR="00BB10C3">
        <w:t xml:space="preserve">urther in the rebuttal testimonies of </w:t>
      </w:r>
      <w:r w:rsidR="00DD4B6D">
        <w:t xml:space="preserve">Mr. </w:t>
      </w:r>
      <w:r w:rsidR="00BB10C3">
        <w:t xml:space="preserve">Samuel C. Hadaway </w:t>
      </w:r>
      <w:r w:rsidR="00687845">
        <w:t xml:space="preserve">and </w:t>
      </w:r>
      <w:r w:rsidR="00DD4B6D">
        <w:t xml:space="preserve">Mr. </w:t>
      </w:r>
      <w:r>
        <w:t>Bruce N. Williams.</w:t>
      </w:r>
      <w:r w:rsidR="003F101B">
        <w:rPr>
          <w:rStyle w:val="FootnoteReference"/>
        </w:rPr>
        <w:footnoteReference w:id="25"/>
      </w:r>
    </w:p>
    <w:p w:rsidR="007E531B" w:rsidRDefault="001E7630" w:rsidP="002B505A">
      <w:pPr>
        <w:pStyle w:val="Answer"/>
        <w:jc w:val="left"/>
      </w:pPr>
      <w:r>
        <w:tab/>
      </w:r>
      <w:r>
        <w:tab/>
        <w:t>A final</w:t>
      </w:r>
      <w:r w:rsidR="007E531B">
        <w:t xml:space="preserve"> example is Staff and Public Counsel’s rejection of the Company’s changes to allocation factors under the WCA or, in the alternative, proposal of other modifications.  Adopting Staff’s or Public Counsel’s allocation proposals would widen the disparity between the Company’s cost</w:t>
      </w:r>
      <w:r w:rsidR="00687845">
        <w:t>s</w:t>
      </w:r>
      <w:r w:rsidR="007E531B">
        <w:t xml:space="preserve"> to serve Washington customers and the costs reflected in rates.  This is discussed in greater detail in the rebuttal testimony of </w:t>
      </w:r>
      <w:r w:rsidR="000B3F38">
        <w:t>Mr.</w:t>
      </w:r>
      <w:r w:rsidR="007E531B">
        <w:t xml:space="preserve"> Dalley.</w:t>
      </w:r>
    </w:p>
    <w:p w:rsidR="00687845" w:rsidRDefault="00687845" w:rsidP="000D5746">
      <w:pPr>
        <w:pStyle w:val="Heading1"/>
        <w:spacing w:line="240" w:lineRule="auto"/>
      </w:pPr>
      <w:bookmarkStart w:id="5" w:name="_Toc362852649"/>
      <w:r>
        <w:t>RECENT COMMISSION DECISIONS IN</w:t>
      </w:r>
      <w:r>
        <w:br/>
        <w:t>PSE AND AVISTA RATE PROCEEDINGS</w:t>
      </w:r>
      <w:bookmarkEnd w:id="5"/>
    </w:p>
    <w:p w:rsidR="000D5746" w:rsidRPr="000D5746" w:rsidRDefault="000D5746" w:rsidP="000D5746">
      <w:pPr>
        <w:suppressLineNumbers/>
      </w:pPr>
    </w:p>
    <w:p w:rsidR="00687845" w:rsidRPr="007B62B9" w:rsidRDefault="00BA6701" w:rsidP="009C5D82">
      <w:pPr>
        <w:pStyle w:val="Answer"/>
        <w:widowControl w:val="0"/>
        <w:jc w:val="left"/>
        <w:rPr>
          <w:b/>
        </w:rPr>
      </w:pPr>
      <w:r w:rsidRPr="007B62B9">
        <w:rPr>
          <w:b/>
        </w:rPr>
        <w:t>Q.</w:t>
      </w:r>
      <w:r w:rsidRPr="007B62B9">
        <w:rPr>
          <w:b/>
        </w:rPr>
        <w:tab/>
        <w:t xml:space="preserve">Has the Commission recently responded to similar concerns from PSE </w:t>
      </w:r>
      <w:r w:rsidR="007B62B9" w:rsidRPr="007B62B9">
        <w:rPr>
          <w:b/>
        </w:rPr>
        <w:t xml:space="preserve">by </w:t>
      </w:r>
      <w:r w:rsidRPr="007B62B9">
        <w:rPr>
          <w:b/>
        </w:rPr>
        <w:t>implement</w:t>
      </w:r>
      <w:r w:rsidR="007B62B9" w:rsidRPr="007B62B9">
        <w:rPr>
          <w:b/>
        </w:rPr>
        <w:t xml:space="preserve">ing </w:t>
      </w:r>
      <w:r w:rsidR="00EE48F9">
        <w:rPr>
          <w:b/>
        </w:rPr>
        <w:t>alternative</w:t>
      </w:r>
      <w:r w:rsidRPr="007B62B9">
        <w:rPr>
          <w:b/>
        </w:rPr>
        <w:t xml:space="preserve"> ratemaking mechanisms</w:t>
      </w:r>
      <w:r w:rsidR="007B62B9" w:rsidRPr="007B62B9">
        <w:rPr>
          <w:b/>
        </w:rPr>
        <w:t xml:space="preserve"> and moderating policies </w:t>
      </w:r>
      <w:r w:rsidR="00EE48F9">
        <w:rPr>
          <w:b/>
        </w:rPr>
        <w:t>that</w:t>
      </w:r>
      <w:r w:rsidR="007B62B9" w:rsidRPr="007B62B9">
        <w:rPr>
          <w:b/>
        </w:rPr>
        <w:t xml:space="preserve"> contribute to attrition and regulatory lag?</w:t>
      </w:r>
    </w:p>
    <w:p w:rsidR="00EA5C17" w:rsidRDefault="007B62B9" w:rsidP="009C5D82">
      <w:pPr>
        <w:pStyle w:val="Answer"/>
        <w:widowControl w:val="0"/>
        <w:jc w:val="left"/>
      </w:pPr>
      <w:r>
        <w:t>A.</w:t>
      </w:r>
      <w:r>
        <w:tab/>
        <w:t>Yes.</w:t>
      </w:r>
      <w:r w:rsidR="002D792E">
        <w:t xml:space="preserve">  </w:t>
      </w:r>
      <w:r w:rsidR="00EA5C17">
        <w:t>In June 2013, t</w:t>
      </w:r>
      <w:r w:rsidR="002D792E">
        <w:t>he Commission approved an ERF rate increase, a decoupling mechanism</w:t>
      </w:r>
      <w:r w:rsidR="00EE48F9">
        <w:t>,</w:t>
      </w:r>
      <w:r w:rsidR="002D792E">
        <w:t xml:space="preserve"> and a </w:t>
      </w:r>
      <w:r w:rsidR="001A121A">
        <w:t xml:space="preserve">multi-year </w:t>
      </w:r>
      <w:r w:rsidR="002D792E">
        <w:t>rate plan for PSE.</w:t>
      </w:r>
      <w:r w:rsidR="00E30BA3">
        <w:rPr>
          <w:rStyle w:val="FootnoteReference"/>
        </w:rPr>
        <w:footnoteReference w:id="26"/>
      </w:r>
      <w:r w:rsidR="002D792E">
        <w:t xml:space="preserve">  </w:t>
      </w:r>
      <w:r w:rsidR="00EA5C17">
        <w:t>The Commission note</w:t>
      </w:r>
      <w:r w:rsidR="001A121A">
        <w:t>d that the reduction in risk associated with these mechanisms, coupled with no downward adjustments to PSE’s capital structure or ROE, would provide “an improved opportunity for PSE to recover its authorized rate of return.”</w:t>
      </w:r>
      <w:r w:rsidR="001A121A">
        <w:rPr>
          <w:rStyle w:val="FootnoteReference"/>
        </w:rPr>
        <w:footnoteReference w:id="27"/>
      </w:r>
      <w:r w:rsidR="001A121A">
        <w:t xml:space="preserve">   </w:t>
      </w:r>
    </w:p>
    <w:p w:rsidR="007B62B9" w:rsidRPr="00EA5C17" w:rsidRDefault="00EA5C17" w:rsidP="009C5D82">
      <w:pPr>
        <w:pStyle w:val="Answer"/>
        <w:widowControl w:val="0"/>
        <w:jc w:val="left"/>
        <w:rPr>
          <w:b/>
        </w:rPr>
      </w:pPr>
      <w:r w:rsidRPr="00EA5C17">
        <w:rPr>
          <w:b/>
        </w:rPr>
        <w:t>Q.</w:t>
      </w:r>
      <w:r w:rsidRPr="00EA5C17">
        <w:rPr>
          <w:b/>
        </w:rPr>
        <w:tab/>
        <w:t xml:space="preserve">Did the Commission allow PSE to </w:t>
      </w:r>
      <w:r w:rsidR="00022C96">
        <w:rPr>
          <w:b/>
        </w:rPr>
        <w:t>calculate its ERF using end-of-</w:t>
      </w:r>
      <w:r w:rsidR="002D792E" w:rsidRPr="00EA5C17">
        <w:rPr>
          <w:b/>
        </w:rPr>
        <w:t>period rate base</w:t>
      </w:r>
      <w:r w:rsidRPr="00EA5C17">
        <w:rPr>
          <w:b/>
        </w:rPr>
        <w:t xml:space="preserve"> to address PSE’s earnings attrition?</w:t>
      </w:r>
    </w:p>
    <w:p w:rsidR="00EA5C17" w:rsidRDefault="00EA5C17" w:rsidP="009C5D82">
      <w:pPr>
        <w:pStyle w:val="Answer"/>
        <w:widowControl w:val="0"/>
        <w:jc w:val="left"/>
      </w:pPr>
      <w:r>
        <w:t>A.</w:t>
      </w:r>
      <w:r>
        <w:tab/>
        <w:t xml:space="preserve">Yes.  Even though PSE had not submitted </w:t>
      </w:r>
      <w:r w:rsidR="00EE48F9">
        <w:t xml:space="preserve">a comprehensive </w:t>
      </w:r>
      <w:r>
        <w:t>attrition study, the Commission found ample evidence of attrition in the fact that PSE had not earned its allowed rate of return for electric operations since 2006 and for natural gas operations since at least 2004.</w:t>
      </w:r>
      <w:r>
        <w:rPr>
          <w:rStyle w:val="FootnoteReference"/>
        </w:rPr>
        <w:footnoteReference w:id="28"/>
      </w:r>
      <w:r>
        <w:t xml:space="preserve">  </w:t>
      </w:r>
    </w:p>
    <w:p w:rsidR="001A121A" w:rsidRPr="004D1BB8" w:rsidRDefault="001A121A" w:rsidP="009C5D82">
      <w:pPr>
        <w:pStyle w:val="Answer"/>
        <w:widowControl w:val="0"/>
        <w:jc w:val="left"/>
        <w:rPr>
          <w:b/>
        </w:rPr>
      </w:pPr>
      <w:r w:rsidRPr="004D1BB8">
        <w:rPr>
          <w:b/>
        </w:rPr>
        <w:t>Q.</w:t>
      </w:r>
      <w:r w:rsidRPr="004D1BB8">
        <w:rPr>
          <w:b/>
        </w:rPr>
        <w:tab/>
        <w:t xml:space="preserve">Has the Commission responded </w:t>
      </w:r>
      <w:r>
        <w:rPr>
          <w:b/>
        </w:rPr>
        <w:t xml:space="preserve">similarly </w:t>
      </w:r>
      <w:r w:rsidRPr="004D1BB8">
        <w:rPr>
          <w:b/>
        </w:rPr>
        <w:t>to Avista’s concerns about earnings attrition and regulatory lag?</w:t>
      </w:r>
    </w:p>
    <w:p w:rsidR="001A121A" w:rsidRDefault="001A121A" w:rsidP="009C5D82">
      <w:pPr>
        <w:pStyle w:val="Answer"/>
        <w:widowControl w:val="0"/>
        <w:jc w:val="left"/>
      </w:pPr>
      <w:r>
        <w:t>A.</w:t>
      </w:r>
      <w:r>
        <w:tab/>
        <w:t>Yes.  In late 2012, the Commission approved a settlement agreement with a two-year rate plan for Avista.  In approving the settlement agreement</w:t>
      </w:r>
      <w:r w:rsidR="00F26584">
        <w:t xml:space="preserve"> over objections from Public Counsel</w:t>
      </w:r>
      <w:r>
        <w:t xml:space="preserve">, the Commission acknowledged that </w:t>
      </w:r>
      <w:r w:rsidR="00F26584">
        <w:t>“the proposed 2013 rate increase is based significantly on attrition.”</w:t>
      </w:r>
      <w:r w:rsidR="00F26584">
        <w:rPr>
          <w:rStyle w:val="FootnoteReference"/>
        </w:rPr>
        <w:footnoteReference w:id="29"/>
      </w:r>
    </w:p>
    <w:p w:rsidR="00F26584" w:rsidRPr="004D1BB8" w:rsidRDefault="00F26584" w:rsidP="009C5D82">
      <w:pPr>
        <w:pStyle w:val="Answer"/>
        <w:widowControl w:val="0"/>
        <w:jc w:val="left"/>
        <w:rPr>
          <w:b/>
        </w:rPr>
      </w:pPr>
      <w:r w:rsidRPr="004D1BB8">
        <w:rPr>
          <w:b/>
        </w:rPr>
        <w:t>Q.</w:t>
      </w:r>
      <w:r w:rsidRPr="004D1BB8">
        <w:rPr>
          <w:b/>
        </w:rPr>
        <w:tab/>
        <w:t xml:space="preserve">Are the overall rates of return (ROR) the Commission approved for PSE and Avista in their most recent rate cases similar to the ROR PacifiCorp proposes in this case? </w:t>
      </w:r>
    </w:p>
    <w:p w:rsidR="004D1BB8" w:rsidRDefault="00F26584" w:rsidP="00CC4057">
      <w:pPr>
        <w:pStyle w:val="Answer"/>
        <w:widowControl w:val="0"/>
        <w:jc w:val="left"/>
      </w:pPr>
      <w:r>
        <w:t>A.</w:t>
      </w:r>
      <w:r>
        <w:tab/>
        <w:t>Yes</w:t>
      </w:r>
      <w:r w:rsidR="00EE48F9">
        <w:t>.  A</w:t>
      </w:r>
      <w:r>
        <w:t>s outlined in Mr. Williams’</w:t>
      </w:r>
      <w:r w:rsidR="00037566">
        <w:t>s rebuttal</w:t>
      </w:r>
      <w:r>
        <w:t xml:space="preserve"> testimony, the Commission</w:t>
      </w:r>
      <w:r w:rsidR="00DE6FE8">
        <w:t>’s most recently</w:t>
      </w:r>
      <w:r>
        <w:t xml:space="preserve"> approved RORs for PSE and Avista </w:t>
      </w:r>
      <w:r w:rsidR="003A086F">
        <w:t>are</w:t>
      </w:r>
      <w:r>
        <w:t xml:space="preserve"> 7.77 percent and 7.64 percent, respectively.</w:t>
      </w:r>
      <w:r w:rsidR="00EE48F9">
        <w:rPr>
          <w:rStyle w:val="FootnoteReference"/>
        </w:rPr>
        <w:footnoteReference w:id="30"/>
      </w:r>
      <w:r>
        <w:t xml:space="preserve">  PacifiCorp’s requested ROR in this case is </w:t>
      </w:r>
      <w:r w:rsidR="004D1BB8">
        <w:t>7.75 percent.  By comparison, Staff’s and Boise’s recommended RORs in this case are 7.03 percent and 7.25 percent, respectively.</w:t>
      </w:r>
      <w:r w:rsidR="00037566">
        <w:rPr>
          <w:rStyle w:val="FootnoteReference"/>
        </w:rPr>
        <w:footnoteReference w:id="31"/>
      </w:r>
      <w:r w:rsidR="004D1BB8">
        <w:t xml:space="preserve">  </w:t>
      </w:r>
    </w:p>
    <w:p w:rsidR="004D1BB8" w:rsidRPr="003A086F" w:rsidRDefault="004D1BB8" w:rsidP="009C5D82">
      <w:pPr>
        <w:pStyle w:val="Answer"/>
        <w:widowControl w:val="0"/>
        <w:jc w:val="left"/>
        <w:rPr>
          <w:b/>
        </w:rPr>
      </w:pPr>
      <w:r w:rsidRPr="003A086F">
        <w:rPr>
          <w:b/>
        </w:rPr>
        <w:t>Q.</w:t>
      </w:r>
      <w:r w:rsidRPr="003A086F">
        <w:rPr>
          <w:b/>
        </w:rPr>
        <w:tab/>
        <w:t>Please explain your perspective on how the Commission</w:t>
      </w:r>
      <w:r w:rsidR="003A086F">
        <w:rPr>
          <w:b/>
        </w:rPr>
        <w:t>’s recent</w:t>
      </w:r>
      <w:r w:rsidRPr="003A086F">
        <w:rPr>
          <w:b/>
        </w:rPr>
        <w:t xml:space="preserve"> orders </w:t>
      </w:r>
      <w:r w:rsidR="003A086F">
        <w:rPr>
          <w:b/>
        </w:rPr>
        <w:t xml:space="preserve">in PSE and Avista rate cases </w:t>
      </w:r>
      <w:r w:rsidR="00DE6FE8">
        <w:rPr>
          <w:b/>
        </w:rPr>
        <w:t>relate</w:t>
      </w:r>
      <w:r w:rsidR="003A086F" w:rsidRPr="003A086F">
        <w:rPr>
          <w:b/>
        </w:rPr>
        <w:t xml:space="preserve"> to this filing.</w:t>
      </w:r>
    </w:p>
    <w:p w:rsidR="00EE48F9" w:rsidRPr="00687845" w:rsidRDefault="004D1BB8" w:rsidP="00EE48F9">
      <w:pPr>
        <w:pStyle w:val="Answer"/>
        <w:widowControl w:val="0"/>
        <w:jc w:val="left"/>
      </w:pPr>
      <w:r>
        <w:t>A.</w:t>
      </w:r>
      <w:r>
        <w:tab/>
        <w:t>Each of the regulated utilities in Washington face</w:t>
      </w:r>
      <w:r w:rsidR="00B56D03">
        <w:t>s</w:t>
      </w:r>
      <w:r>
        <w:t xml:space="preserve"> unique challenges in earning their allowed rates of return</w:t>
      </w:r>
      <w:r w:rsidR="00037566">
        <w:t xml:space="preserve"> while continuing to provide safe and reliable service</w:t>
      </w:r>
      <w:r>
        <w:t xml:space="preserve">.  With the goal of mitigating earnings attrition and regulatory lag, the Commission recently approved </w:t>
      </w:r>
      <w:r w:rsidR="00037566">
        <w:t>alternative</w:t>
      </w:r>
      <w:r>
        <w:t xml:space="preserve"> ratemaking approaches for both PSE and Avista designed to respond to their particular circumstances.  PacifiCorp’</w:t>
      </w:r>
      <w:r w:rsidR="003A086F">
        <w:t xml:space="preserve">s proposals in this case for new or different regulatory approaches are designed to accomplish the goal of mitigating </w:t>
      </w:r>
      <w:r w:rsidR="00DE6FE8">
        <w:t>earnings</w:t>
      </w:r>
      <w:r w:rsidR="003A086F">
        <w:t xml:space="preserve"> attrition and regulatory lag for PacifiCorp.  Given PacifiCorp’s unique circumstances, PacifiCorp’s proposals focus heavily on inter</w:t>
      </w:r>
      <w:r w:rsidR="00037566">
        <w:t>-jurisdictional</w:t>
      </w:r>
      <w:r w:rsidR="003A086F">
        <w:t xml:space="preserve"> allocation issues and the need for a PCAM.  For PacifiCorp, these issues are fundamental to its</w:t>
      </w:r>
      <w:r w:rsidR="00DB4164">
        <w:t xml:space="preserve"> ability to earn its authorized </w:t>
      </w:r>
      <w:r w:rsidR="003A086F">
        <w:t xml:space="preserve">rate of return.  In addition, </w:t>
      </w:r>
      <w:r w:rsidR="00DB4164">
        <w:t xml:space="preserve">in determining fair and reasonable rates for PacifiCorp, the Commission should set PacifiCorp’s ROR at a level that is comparable to other Washington utilities. </w:t>
      </w:r>
    </w:p>
    <w:p w:rsidR="00687845" w:rsidRDefault="00687845" w:rsidP="000D5746">
      <w:pPr>
        <w:pStyle w:val="Heading1"/>
      </w:pPr>
      <w:bookmarkStart w:id="6" w:name="_Toc362852650"/>
      <w:r>
        <w:t>CONCLUSION AND RECOMMENDATION</w:t>
      </w:r>
      <w:bookmarkEnd w:id="6"/>
    </w:p>
    <w:p w:rsidR="00687845" w:rsidRDefault="00687845" w:rsidP="009C5D82">
      <w:pPr>
        <w:pStyle w:val="Answer"/>
        <w:widowControl w:val="0"/>
        <w:jc w:val="left"/>
        <w:rPr>
          <w:b/>
        </w:rPr>
      </w:pPr>
      <w:r>
        <w:rPr>
          <w:b/>
        </w:rPr>
        <w:t>Q.</w:t>
      </w:r>
      <w:r>
        <w:rPr>
          <w:b/>
        </w:rPr>
        <w:tab/>
        <w:t>What is your recommendation to the Commission in this case?</w:t>
      </w:r>
    </w:p>
    <w:p w:rsidR="00687845" w:rsidRPr="00687845" w:rsidRDefault="00687845" w:rsidP="009C5D82">
      <w:pPr>
        <w:pStyle w:val="Answer"/>
        <w:widowControl w:val="0"/>
        <w:jc w:val="left"/>
      </w:pPr>
      <w:r>
        <w:t>A.</w:t>
      </w:r>
      <w:r>
        <w:tab/>
        <w:t>The Company respectfully requests that the Commission consider the policy implications of its decisions in this case, including how its decisions may further the Commission’s continuing efforts to seek creative solutions to issues such as earnings attrition and the timely recovery of infrastructure investments</w:t>
      </w:r>
      <w:r w:rsidR="00C153AD">
        <w:t>.  T</w:t>
      </w:r>
      <w:r>
        <w:t>o improve the efficiency, predictability, and consistency of ratemaking decisions in Washington</w:t>
      </w:r>
      <w:r w:rsidR="00C153AD">
        <w:t xml:space="preserve">, and address PacifiCorp’s chronic earnings </w:t>
      </w:r>
      <w:r w:rsidR="00DE6FE8">
        <w:t>shortfalls, the</w:t>
      </w:r>
      <w:r>
        <w:t xml:space="preserve"> Commission should carefully evaluate the individual proposals, as well as consider the overall impact of these proposals.  </w:t>
      </w:r>
    </w:p>
    <w:p w:rsidR="001264E5" w:rsidRPr="002B505A" w:rsidRDefault="007E531B" w:rsidP="009C5D82">
      <w:pPr>
        <w:pStyle w:val="Answer"/>
        <w:widowControl w:val="0"/>
        <w:jc w:val="left"/>
        <w:rPr>
          <w:b/>
        </w:rPr>
      </w:pPr>
      <w:r w:rsidRPr="002B505A">
        <w:rPr>
          <w:b/>
        </w:rPr>
        <w:t>Q.</w:t>
      </w:r>
      <w:r w:rsidRPr="002B505A">
        <w:rPr>
          <w:b/>
        </w:rPr>
        <w:tab/>
      </w:r>
      <w:r w:rsidR="002B505A" w:rsidRPr="002B505A">
        <w:rPr>
          <w:b/>
        </w:rPr>
        <w:t xml:space="preserve">Does this conclude your </w:t>
      </w:r>
      <w:r w:rsidR="00C153AD">
        <w:rPr>
          <w:b/>
        </w:rPr>
        <w:t xml:space="preserve">rebuttal </w:t>
      </w:r>
      <w:r w:rsidR="002B505A" w:rsidRPr="002B505A">
        <w:rPr>
          <w:b/>
        </w:rPr>
        <w:t>testimony?</w:t>
      </w:r>
    </w:p>
    <w:p w:rsidR="002B505A" w:rsidRPr="009C5D82" w:rsidRDefault="002B505A" w:rsidP="009C5D82">
      <w:pPr>
        <w:pStyle w:val="Answer"/>
        <w:widowControl w:val="0"/>
        <w:jc w:val="left"/>
      </w:pPr>
      <w:r>
        <w:t>A.</w:t>
      </w:r>
      <w:r>
        <w:tab/>
        <w:t>Yes.</w:t>
      </w:r>
    </w:p>
    <w:sectPr w:rsidR="002B505A" w:rsidRPr="009C5D82" w:rsidSect="000D5746">
      <w:headerReference w:type="default" r:id="rId16"/>
      <w:footerReference w:type="default" r:id="rId17"/>
      <w:pgSz w:w="12240" w:h="15840" w:code="1"/>
      <w:pgMar w:top="1440" w:right="144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777" w:rsidRDefault="00317777">
      <w:r>
        <w:separator/>
      </w:r>
    </w:p>
  </w:endnote>
  <w:endnote w:type="continuationSeparator" w:id="0">
    <w:p w:rsidR="00317777" w:rsidRDefault="0031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09" w:rsidRDefault="00F94E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50" w:rsidRDefault="00E56E50" w:rsidP="008175B2">
    <w:pPr>
      <w:pStyle w:val="Footer"/>
      <w:tabs>
        <w:tab w:val="clear" w:pos="8640"/>
        <w:tab w:val="right" w:pos="9000"/>
      </w:tabs>
    </w:pPr>
    <w:r>
      <w:t>Rebuttal Testimony of William R. Griffith</w:t>
    </w:r>
    <w:r>
      <w:tab/>
    </w:r>
    <w:r>
      <w:tab/>
      <w:t>Exhibit No.___(WRG</w:t>
    </w:r>
    <w:r w:rsidRPr="007B3542">
      <w:t>-1T)</w:t>
    </w:r>
  </w:p>
  <w:p w:rsidR="00E56E50" w:rsidRPr="007B3542" w:rsidRDefault="00E56E50" w:rsidP="008175B2">
    <w:pPr>
      <w:pStyle w:val="Footer"/>
      <w:jc w:val="right"/>
    </w:pPr>
    <w:r>
      <w:t xml:space="preserve">Page </w:t>
    </w:r>
    <w:r w:rsidR="00B207D1">
      <w:fldChar w:fldCharType="begin"/>
    </w:r>
    <w:r w:rsidR="00317777">
      <w:instrText xml:space="preserve"> PAGE   \* MERGEFORMAT </w:instrText>
    </w:r>
    <w:r w:rsidR="00B207D1">
      <w:fldChar w:fldCharType="separate"/>
    </w:r>
    <w:r w:rsidR="00F94E09">
      <w:rPr>
        <w:noProof/>
      </w:rPr>
      <w:t>i</w:t>
    </w:r>
    <w:r w:rsidR="00B207D1">
      <w:rPr>
        <w:noProof/>
      </w:rPr>
      <w:fldChar w:fldCharType="end"/>
    </w:r>
  </w:p>
  <w:p w:rsidR="00E56E50" w:rsidRDefault="00E56E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09" w:rsidRDefault="00F94E0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50" w:rsidRDefault="00E56E50" w:rsidP="00BB22E8">
    <w:pPr>
      <w:pStyle w:val="Footer"/>
      <w:tabs>
        <w:tab w:val="clear" w:pos="8640"/>
        <w:tab w:val="right" w:pos="9000"/>
      </w:tabs>
    </w:pPr>
    <w:r>
      <w:t>Rebuttal Testimony of William R. Griffith</w:t>
    </w:r>
    <w:r>
      <w:tab/>
    </w:r>
    <w:r>
      <w:tab/>
      <w:t>Exhibit No.___(WRG</w:t>
    </w:r>
    <w:r w:rsidRPr="007B3542">
      <w:t>-1T)</w:t>
    </w:r>
  </w:p>
  <w:p w:rsidR="00E56E50" w:rsidRPr="007B3542" w:rsidRDefault="00E56E50" w:rsidP="007B3542">
    <w:pPr>
      <w:pStyle w:val="Footer"/>
      <w:jc w:val="right"/>
    </w:pPr>
    <w:r>
      <w:t xml:space="preserve">Page </w:t>
    </w:r>
    <w:r w:rsidR="00B207D1">
      <w:fldChar w:fldCharType="begin"/>
    </w:r>
    <w:r w:rsidR="00317777">
      <w:instrText xml:space="preserve"> PAGE   \* MERGEFORMAT </w:instrText>
    </w:r>
    <w:r w:rsidR="00B207D1">
      <w:fldChar w:fldCharType="separate"/>
    </w:r>
    <w:r w:rsidR="00F94E09">
      <w:rPr>
        <w:noProof/>
      </w:rPr>
      <w:t>1</w:t>
    </w:r>
    <w:r w:rsidR="00B207D1">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777" w:rsidRDefault="00317777">
      <w:r>
        <w:separator/>
      </w:r>
    </w:p>
  </w:footnote>
  <w:footnote w:type="continuationSeparator" w:id="0">
    <w:p w:rsidR="00317777" w:rsidRDefault="00317777">
      <w:r>
        <w:continuationSeparator/>
      </w:r>
    </w:p>
  </w:footnote>
  <w:footnote w:id="1">
    <w:p w:rsidR="00E56E50" w:rsidRDefault="00E56E50" w:rsidP="000B3F38">
      <w:pPr>
        <w:pStyle w:val="FootnoteText"/>
        <w:jc w:val="left"/>
      </w:pPr>
      <w:r>
        <w:rPr>
          <w:rStyle w:val="FootnoteReference"/>
        </w:rPr>
        <w:footnoteRef/>
      </w:r>
      <w:r>
        <w:t xml:space="preserve"> </w:t>
      </w:r>
      <w:r w:rsidRPr="004B55E8">
        <w:rPr>
          <w:i/>
        </w:rPr>
        <w:t>W</w:t>
      </w:r>
      <w:r>
        <w:rPr>
          <w:i/>
        </w:rPr>
        <w:t>ash. Utils. &amp; Transp. Comm’n</w:t>
      </w:r>
      <w:r w:rsidRPr="004B55E8">
        <w:rPr>
          <w:i/>
        </w:rPr>
        <w:t xml:space="preserve"> v. Puget Sound Energy</w:t>
      </w:r>
      <w:r w:rsidRPr="007E5F05">
        <w:rPr>
          <w:i/>
        </w:rPr>
        <w:t>, Inc.</w:t>
      </w:r>
      <w:r>
        <w:t>,</w:t>
      </w:r>
      <w:r w:rsidRPr="004B55E8">
        <w:t xml:space="preserve"> Docket</w:t>
      </w:r>
      <w:r>
        <w:t xml:space="preserve">s </w:t>
      </w:r>
      <w:r w:rsidRPr="004B55E8">
        <w:t>UE-121697 and UG-121705, Order 07</w:t>
      </w:r>
      <w:r>
        <w:t>, and Dockets UE-130137 and UG-130138, Order 07</w:t>
      </w:r>
      <w:r w:rsidRPr="004B55E8">
        <w:t xml:space="preserve"> at</w:t>
      </w:r>
      <w:r>
        <w:t>,</w:t>
      </w:r>
      <w:r w:rsidRPr="004B55E8">
        <w:t xml:space="preserve"> </w:t>
      </w:r>
      <w:r>
        <w:t>¶ 22, n.23</w:t>
      </w:r>
      <w:r w:rsidRPr="004B55E8">
        <w:t xml:space="preserve"> (June 25, 2013)</w:t>
      </w:r>
      <w:r>
        <w:t>.</w:t>
      </w:r>
    </w:p>
  </w:footnote>
  <w:footnote w:id="2">
    <w:p w:rsidR="00E56E50" w:rsidRDefault="00E56E50" w:rsidP="000B3F38">
      <w:pPr>
        <w:pStyle w:val="FootnoteText"/>
        <w:jc w:val="left"/>
      </w:pPr>
      <w:r>
        <w:rPr>
          <w:rStyle w:val="FootnoteReference"/>
        </w:rPr>
        <w:footnoteRef/>
      </w:r>
      <w:r>
        <w:t xml:space="preserve"> Exhibit No.___(RPR-1T).</w:t>
      </w:r>
    </w:p>
  </w:footnote>
  <w:footnote w:id="3">
    <w:p w:rsidR="00E56E50" w:rsidRPr="00465C11" w:rsidRDefault="00E56E50" w:rsidP="000B3F38">
      <w:pPr>
        <w:pStyle w:val="FootnoteText"/>
        <w:jc w:val="left"/>
      </w:pPr>
      <w:r>
        <w:rPr>
          <w:rStyle w:val="FootnoteReference"/>
        </w:rPr>
        <w:footnoteRef/>
      </w:r>
      <w:r>
        <w:t xml:space="preserve"> </w:t>
      </w:r>
      <w:r w:rsidRPr="004B55E8">
        <w:rPr>
          <w:i/>
        </w:rPr>
        <w:t>W</w:t>
      </w:r>
      <w:r>
        <w:rPr>
          <w:i/>
        </w:rPr>
        <w:t>ash. Utils. &amp; Transp. Comm’n v. PacifiCorp d/b/a Pacific Power &amp; Light Co.</w:t>
      </w:r>
      <w:r>
        <w:t>, Docket UE-111190, Order 07 (March 30, 2012).</w:t>
      </w:r>
    </w:p>
  </w:footnote>
  <w:footnote w:id="4">
    <w:p w:rsidR="00E56E50" w:rsidRDefault="00E56E50" w:rsidP="004339D6">
      <w:pPr>
        <w:pStyle w:val="FootnoteText"/>
        <w:jc w:val="left"/>
      </w:pPr>
      <w:r>
        <w:rPr>
          <w:rStyle w:val="FootnoteReference"/>
        </w:rPr>
        <w:footnoteRef/>
      </w:r>
      <w:r>
        <w:t xml:space="preserve"> The parties did agree to the following: (1) discontinuation of t</w:t>
      </w:r>
      <w:r w:rsidRPr="0016683D">
        <w:t xml:space="preserve">he </w:t>
      </w:r>
      <w:r>
        <w:t xml:space="preserve">Company’s </w:t>
      </w:r>
      <w:r w:rsidRPr="0016683D">
        <w:t>investigation into use of AURORA for power cost modeling</w:t>
      </w:r>
      <w:r>
        <w:t>; (2) appropriate use of the production factor adjustment; and (3) consideration of triggers that could result in a change to the inter-jurisdictional allocation methodology.</w:t>
      </w:r>
    </w:p>
  </w:footnote>
  <w:footnote w:id="5">
    <w:p w:rsidR="00E56E50" w:rsidRPr="004339D6" w:rsidRDefault="00E56E50" w:rsidP="0068387B">
      <w:pPr>
        <w:pStyle w:val="FootnoteText"/>
        <w:jc w:val="left"/>
      </w:pPr>
      <w:r>
        <w:rPr>
          <w:rStyle w:val="FootnoteReference"/>
        </w:rPr>
        <w:footnoteRef/>
      </w:r>
      <w:r>
        <w:t xml:space="preserve"> </w:t>
      </w:r>
      <w:r>
        <w:rPr>
          <w:i/>
        </w:rPr>
        <w:t xml:space="preserve">See </w:t>
      </w:r>
      <w:r>
        <w:t>Exhibit___(DJR-2) at pages 4-6 (Letter from Chairman Goltz to Governor Gregoire).</w:t>
      </w:r>
    </w:p>
  </w:footnote>
  <w:footnote w:id="6">
    <w:p w:rsidR="00E56E50" w:rsidRDefault="00E56E50">
      <w:pPr>
        <w:pStyle w:val="FootnoteText"/>
      </w:pPr>
      <w:r>
        <w:rPr>
          <w:rStyle w:val="FootnoteReference"/>
        </w:rPr>
        <w:footnoteRef/>
      </w:r>
      <w:r>
        <w:t xml:space="preserve"> Exhibit No.___(DJR-1T) at pages 10-13; Exhibit No.___(DJR-3).</w:t>
      </w:r>
    </w:p>
  </w:footnote>
  <w:footnote w:id="7">
    <w:p w:rsidR="00E56E50" w:rsidRDefault="00E56E50">
      <w:pPr>
        <w:pStyle w:val="FootnoteText"/>
      </w:pPr>
      <w:r>
        <w:rPr>
          <w:rStyle w:val="FootnoteReference"/>
        </w:rPr>
        <w:footnoteRef/>
      </w:r>
      <w:r>
        <w:t xml:space="preserve"> Exhibit No.___(DJR-1T) at page 12 lines 14-17.</w:t>
      </w:r>
    </w:p>
  </w:footnote>
  <w:footnote w:id="8">
    <w:p w:rsidR="00E56E50" w:rsidRPr="00560640" w:rsidRDefault="00E56E50">
      <w:pPr>
        <w:pStyle w:val="FootnoteText"/>
      </w:pPr>
      <w:r>
        <w:rPr>
          <w:rStyle w:val="FootnoteReference"/>
        </w:rPr>
        <w:footnoteRef/>
      </w:r>
      <w:r>
        <w:t xml:space="preserve"> </w:t>
      </w:r>
      <w:r>
        <w:rPr>
          <w:i/>
        </w:rPr>
        <w:t>See</w:t>
      </w:r>
      <w:r>
        <w:t xml:space="preserve"> Exhibit No.___(DJR-2).  </w:t>
      </w:r>
    </w:p>
  </w:footnote>
  <w:footnote w:id="9">
    <w:p w:rsidR="00E56E50" w:rsidRDefault="00E56E50">
      <w:pPr>
        <w:pStyle w:val="FootnoteText"/>
      </w:pPr>
      <w:r>
        <w:rPr>
          <w:rStyle w:val="FootnoteReference"/>
        </w:rPr>
        <w:footnoteRef/>
      </w:r>
      <w:r>
        <w:t xml:space="preserve"> Exhibit No.___(DJR-1T) at page 13.</w:t>
      </w:r>
    </w:p>
  </w:footnote>
  <w:footnote w:id="10">
    <w:p w:rsidR="00E56E50" w:rsidRDefault="00E56E50" w:rsidP="000B3F38">
      <w:pPr>
        <w:pStyle w:val="FootnoteText"/>
        <w:jc w:val="left"/>
      </w:pPr>
      <w:r>
        <w:rPr>
          <w:rStyle w:val="FootnoteReference"/>
        </w:rPr>
        <w:footnoteRef/>
      </w:r>
      <w:r>
        <w:t xml:space="preserve"> </w:t>
      </w:r>
      <w:r w:rsidRPr="00992E1E">
        <w:rPr>
          <w:i/>
        </w:rPr>
        <w:t>See</w:t>
      </w:r>
      <w:r>
        <w:t xml:space="preserve"> </w:t>
      </w:r>
      <w:r w:rsidRPr="00992E1E">
        <w:t>Exhibit</w:t>
      </w:r>
      <w:r>
        <w:t xml:space="preserve"> No.___(BAE-1T) at pages 6-8.</w:t>
      </w:r>
    </w:p>
  </w:footnote>
  <w:footnote w:id="11">
    <w:p w:rsidR="00E56E50" w:rsidRDefault="00E56E50" w:rsidP="000B3F38">
      <w:pPr>
        <w:pStyle w:val="FootnoteText"/>
        <w:jc w:val="left"/>
      </w:pPr>
      <w:r>
        <w:rPr>
          <w:rStyle w:val="FootnoteReference"/>
        </w:rPr>
        <w:footnoteRef/>
      </w:r>
      <w:r w:rsidRPr="0018315F">
        <w:t xml:space="preserve"> </w:t>
      </w:r>
      <w:r w:rsidRPr="004B55E8">
        <w:rPr>
          <w:i/>
        </w:rPr>
        <w:t>W</w:t>
      </w:r>
      <w:r>
        <w:rPr>
          <w:i/>
        </w:rPr>
        <w:t>ash. Utils. &amp; Transp. Comm’n</w:t>
      </w:r>
      <w:r w:rsidRPr="0018315F">
        <w:rPr>
          <w:i/>
        </w:rPr>
        <w:t xml:space="preserve"> v. Puget Sound Energy, Inc.</w:t>
      </w:r>
      <w:r w:rsidRPr="0018315F">
        <w:t xml:space="preserve">, </w:t>
      </w:r>
      <w:r>
        <w:t xml:space="preserve">Testimony of Thomas E. Schooley, Exhibit No.___(TES-4T) at page 6, </w:t>
      </w:r>
      <w:r w:rsidRPr="0018315F">
        <w:t>Docket</w:t>
      </w:r>
      <w:r>
        <w:t xml:space="preserve">s </w:t>
      </w:r>
      <w:r w:rsidRPr="0018315F">
        <w:t>UE-121697 and UG-121705, and Dockets UE-130137 and U</w:t>
      </w:r>
      <w:r>
        <w:t>G-130138</w:t>
      </w:r>
      <w:r w:rsidRPr="0018315F">
        <w:t>.</w:t>
      </w:r>
    </w:p>
  </w:footnote>
  <w:footnote w:id="12">
    <w:p w:rsidR="00E56E50" w:rsidRDefault="00E56E50" w:rsidP="000B3F38">
      <w:pPr>
        <w:pStyle w:val="FootnoteText"/>
        <w:jc w:val="left"/>
      </w:pPr>
      <w:r>
        <w:rPr>
          <w:rStyle w:val="FootnoteReference"/>
        </w:rPr>
        <w:footnoteRef/>
      </w:r>
      <w:r>
        <w:t xml:space="preserve"> </w:t>
      </w:r>
      <w:r w:rsidRPr="004B55E8">
        <w:rPr>
          <w:i/>
        </w:rPr>
        <w:t>W</w:t>
      </w:r>
      <w:r>
        <w:rPr>
          <w:i/>
        </w:rPr>
        <w:t>ash. Utils. &amp; Transp. Comm’n</w:t>
      </w:r>
      <w:r w:rsidRPr="0018315F">
        <w:rPr>
          <w:i/>
        </w:rPr>
        <w:t xml:space="preserve"> v. Avista Corp</w:t>
      </w:r>
      <w:r>
        <w:rPr>
          <w:i/>
        </w:rPr>
        <w:t>.</w:t>
      </w:r>
      <w:r w:rsidRPr="0018315F">
        <w:rPr>
          <w:i/>
        </w:rPr>
        <w:t xml:space="preserve"> d/b/a/ Avista Utilities, </w:t>
      </w:r>
      <w:r w:rsidRPr="00CC4057">
        <w:t xml:space="preserve">Testimony of Kathryn H. </w:t>
      </w:r>
      <w:r>
        <w:t xml:space="preserve">Breda, Exhibit No.___(KHB-1CT) at page 8, </w:t>
      </w:r>
      <w:r w:rsidRPr="0018315F">
        <w:t>Docket</w:t>
      </w:r>
      <w:r>
        <w:t xml:space="preserve">s </w:t>
      </w:r>
      <w:r w:rsidRPr="0018315F">
        <w:t>UE-120436 and UG-120437, Dockets UE-110876 and UG-110877</w:t>
      </w:r>
      <w:r>
        <w:t>.</w:t>
      </w:r>
    </w:p>
  </w:footnote>
  <w:footnote w:id="13">
    <w:p w:rsidR="00E56E50" w:rsidRPr="00BB10C3" w:rsidRDefault="00E56E50" w:rsidP="000B3F38">
      <w:pPr>
        <w:pStyle w:val="FootnoteText"/>
        <w:jc w:val="left"/>
        <w:rPr>
          <w:i/>
        </w:rPr>
      </w:pPr>
      <w:r>
        <w:rPr>
          <w:rStyle w:val="FootnoteReference"/>
        </w:rPr>
        <w:footnoteRef/>
      </w:r>
      <w:r>
        <w:t xml:space="preserve"> Exhibit No.___(CRM-1T) at page 3.</w:t>
      </w:r>
    </w:p>
  </w:footnote>
  <w:footnote w:id="14">
    <w:p w:rsidR="00E56E50" w:rsidRDefault="00E56E50" w:rsidP="00DD4B6D">
      <w:pPr>
        <w:pStyle w:val="FootnoteText"/>
        <w:jc w:val="left"/>
      </w:pPr>
      <w:r>
        <w:rPr>
          <w:rStyle w:val="FootnoteReference"/>
        </w:rPr>
        <w:footnoteRef/>
      </w:r>
      <w:r>
        <w:t xml:space="preserve"> </w:t>
      </w:r>
      <w:r w:rsidRPr="00CC4057">
        <w:rPr>
          <w:i/>
        </w:rPr>
        <w:t>Id</w:t>
      </w:r>
      <w:r>
        <w:t>. at 3, 7.  Public Counsel proposes a February 2013 cut-off date, which would also result in disallowance of the Jim Bridger turbine upgrade and the Merwin fish collector.  Exhibit No.___(SC-1T) at pages 22-25.</w:t>
      </w:r>
    </w:p>
  </w:footnote>
  <w:footnote w:id="15">
    <w:p w:rsidR="00E56E50" w:rsidRDefault="00E56E50">
      <w:pPr>
        <w:pStyle w:val="FootnoteText"/>
      </w:pPr>
      <w:r>
        <w:rPr>
          <w:rStyle w:val="FootnoteReference"/>
        </w:rPr>
        <w:footnoteRef/>
      </w:r>
      <w:r>
        <w:t xml:space="preserve"> Exhibit No.___(SRM-6T).</w:t>
      </w:r>
    </w:p>
  </w:footnote>
  <w:footnote w:id="16">
    <w:p w:rsidR="00E56E50" w:rsidRPr="00AB6F9C" w:rsidRDefault="00E56E50" w:rsidP="00CC4057">
      <w:pPr>
        <w:pStyle w:val="FootnoteText"/>
        <w:jc w:val="left"/>
      </w:pPr>
      <w:r>
        <w:rPr>
          <w:rStyle w:val="FootnoteReference"/>
        </w:rPr>
        <w:footnoteRef/>
      </w:r>
      <w:r>
        <w:t xml:space="preserve"> </w:t>
      </w:r>
      <w:r>
        <w:rPr>
          <w:i/>
        </w:rPr>
        <w:t>In the Matter of PacifiCorp d/b/a Pacific Power Request for a General Rate Revision</w:t>
      </w:r>
      <w:r>
        <w:t>, Docket No. UE 246, Order No. 12-493 at 5-9 (December 20, 2012), Order No. 13-195 at 1 (May 23, 2012)</w:t>
      </w:r>
      <w:r w:rsidRPr="0058074B">
        <w:t xml:space="preserve"> </w:t>
      </w:r>
      <w:r>
        <w:t>(Public Utility Commission of Oregon).</w:t>
      </w:r>
    </w:p>
  </w:footnote>
  <w:footnote w:id="17">
    <w:p w:rsidR="00E56E50" w:rsidRDefault="00E56E50">
      <w:pPr>
        <w:pStyle w:val="FootnoteText"/>
      </w:pPr>
      <w:r>
        <w:rPr>
          <w:rStyle w:val="FootnoteReference"/>
        </w:rPr>
        <w:footnoteRef/>
      </w:r>
      <w:r>
        <w:t xml:space="preserve"> Exhibit No.___(SRM-6T).</w:t>
      </w:r>
    </w:p>
  </w:footnote>
  <w:footnote w:id="18">
    <w:p w:rsidR="00E56E50" w:rsidRDefault="00E56E50">
      <w:pPr>
        <w:pStyle w:val="FootnoteText"/>
      </w:pPr>
      <w:r>
        <w:rPr>
          <w:rStyle w:val="FootnoteReference"/>
        </w:rPr>
        <w:footnoteRef/>
      </w:r>
      <w:r>
        <w:t xml:space="preserve"> Exhibit No.___(JRD-1T) at </w:t>
      </w:r>
      <w:r w:rsidR="00DA258A">
        <w:t>pages 9-</w:t>
      </w:r>
      <w:r>
        <w:t xml:space="preserve">10.  </w:t>
      </w:r>
    </w:p>
  </w:footnote>
  <w:footnote w:id="19">
    <w:p w:rsidR="00E56E50" w:rsidRDefault="00E56E50">
      <w:pPr>
        <w:pStyle w:val="FootnoteText"/>
      </w:pPr>
      <w:r>
        <w:rPr>
          <w:rStyle w:val="FootnoteReference"/>
        </w:rPr>
        <w:footnoteRef/>
      </w:r>
      <w:r>
        <w:t xml:space="preserve"> Exhibit No.___(JRS-7T); Exhibit No.___(SRM-6T).</w:t>
      </w:r>
    </w:p>
  </w:footnote>
  <w:footnote w:id="20">
    <w:p w:rsidR="00E56E50" w:rsidRDefault="00E56E50">
      <w:pPr>
        <w:pStyle w:val="FootnoteText"/>
      </w:pPr>
      <w:r>
        <w:rPr>
          <w:rStyle w:val="FootnoteReference"/>
        </w:rPr>
        <w:footnoteRef/>
      </w:r>
      <w:r>
        <w:t xml:space="preserve"> Exhibit No.___(DCG-1CT) at page 25.  </w:t>
      </w:r>
    </w:p>
  </w:footnote>
  <w:footnote w:id="21">
    <w:p w:rsidR="00E56E50" w:rsidRDefault="00E56E50">
      <w:pPr>
        <w:pStyle w:val="FootnoteText"/>
      </w:pPr>
      <w:r>
        <w:rPr>
          <w:rStyle w:val="FootnoteReference"/>
        </w:rPr>
        <w:footnoteRef/>
      </w:r>
      <w:r>
        <w:t xml:space="preserve"> Exhibit No.___(GND-7T).</w:t>
      </w:r>
    </w:p>
  </w:footnote>
  <w:footnote w:id="22">
    <w:p w:rsidR="00E56E50" w:rsidRDefault="00E56E50" w:rsidP="007E531B">
      <w:pPr>
        <w:pStyle w:val="FootnoteText"/>
      </w:pPr>
      <w:r>
        <w:rPr>
          <w:rStyle w:val="FootnoteReference"/>
        </w:rPr>
        <w:footnoteRef/>
      </w:r>
      <w:r>
        <w:t xml:space="preserve"> Exhibit No.___(KLE-1T) at page 2.</w:t>
      </w:r>
    </w:p>
  </w:footnote>
  <w:footnote w:id="23">
    <w:p w:rsidR="00E56E50" w:rsidRPr="00574445" w:rsidRDefault="00E56E50" w:rsidP="007E531B">
      <w:pPr>
        <w:pStyle w:val="FootnoteText"/>
      </w:pPr>
      <w:r>
        <w:rPr>
          <w:rStyle w:val="FootnoteReference"/>
        </w:rPr>
        <w:footnoteRef/>
      </w:r>
      <w:r>
        <w:t xml:space="preserve"> </w:t>
      </w:r>
      <w:r>
        <w:rPr>
          <w:i/>
        </w:rPr>
        <w:t>Id</w:t>
      </w:r>
      <w:r>
        <w:t xml:space="preserve">. at 15.  </w:t>
      </w:r>
    </w:p>
  </w:footnote>
  <w:footnote w:id="24">
    <w:p w:rsidR="00E56E50" w:rsidRDefault="00E56E50" w:rsidP="007E531B">
      <w:pPr>
        <w:pStyle w:val="FootnoteText"/>
      </w:pPr>
      <w:r>
        <w:rPr>
          <w:rStyle w:val="FootnoteReference"/>
        </w:rPr>
        <w:footnoteRef/>
      </w:r>
      <w:r>
        <w:t xml:space="preserve"> Exhibit No.___(MPG-1T) at page 14.</w:t>
      </w:r>
    </w:p>
  </w:footnote>
  <w:footnote w:id="25">
    <w:p w:rsidR="00E56E50" w:rsidRDefault="00E56E50">
      <w:pPr>
        <w:pStyle w:val="FootnoteText"/>
      </w:pPr>
      <w:r>
        <w:rPr>
          <w:rStyle w:val="FootnoteReference"/>
        </w:rPr>
        <w:footnoteRef/>
      </w:r>
      <w:r>
        <w:t xml:space="preserve"> Exhibit No.___(SCH-10T); Exhibit No.___(</w:t>
      </w:r>
      <w:r w:rsidR="00DA258A">
        <w:t>BNW-14</w:t>
      </w:r>
      <w:r>
        <w:t>T).</w:t>
      </w:r>
    </w:p>
  </w:footnote>
  <w:footnote w:id="26">
    <w:p w:rsidR="00E56E50" w:rsidRDefault="00E56E50">
      <w:pPr>
        <w:pStyle w:val="FootnoteText"/>
      </w:pPr>
      <w:r>
        <w:rPr>
          <w:rStyle w:val="FootnoteReference"/>
        </w:rPr>
        <w:footnoteRef/>
      </w:r>
      <w:r>
        <w:t xml:space="preserve"> </w:t>
      </w:r>
      <w:r w:rsidR="00022C96" w:rsidRPr="004B55E8">
        <w:rPr>
          <w:i/>
        </w:rPr>
        <w:t>W</w:t>
      </w:r>
      <w:r w:rsidR="00022C96">
        <w:rPr>
          <w:i/>
        </w:rPr>
        <w:t>ash. Utils. &amp; Transp. Comm’n</w:t>
      </w:r>
      <w:r w:rsidRPr="004B55E8">
        <w:rPr>
          <w:i/>
        </w:rPr>
        <w:t xml:space="preserve"> v. Puget Sound Energy</w:t>
      </w:r>
      <w:r w:rsidRPr="007E5F05">
        <w:rPr>
          <w:i/>
        </w:rPr>
        <w:t>, Inc.</w:t>
      </w:r>
      <w:r>
        <w:t>,</w:t>
      </w:r>
      <w:r w:rsidRPr="004B55E8">
        <w:t xml:space="preserve"> Docket</w:t>
      </w:r>
      <w:r>
        <w:t xml:space="preserve">s </w:t>
      </w:r>
      <w:r w:rsidRPr="004B55E8">
        <w:t>UE-121697 and UG-121705, Order 07</w:t>
      </w:r>
      <w:r>
        <w:t>, and Dockets UE-130137 and UG-130138, Order 07,</w:t>
      </w:r>
      <w:r w:rsidRPr="004B55E8">
        <w:t xml:space="preserve"> </w:t>
      </w:r>
      <w:r>
        <w:t>¶ 25</w:t>
      </w:r>
      <w:r w:rsidRPr="004B55E8">
        <w:t xml:space="preserve"> (June 25, 2013)</w:t>
      </w:r>
      <w:r>
        <w:t>.</w:t>
      </w:r>
    </w:p>
  </w:footnote>
  <w:footnote w:id="27">
    <w:p w:rsidR="00E56E50" w:rsidRDefault="00E56E50">
      <w:pPr>
        <w:pStyle w:val="FootnoteText"/>
      </w:pPr>
      <w:r>
        <w:rPr>
          <w:rStyle w:val="FootnoteReference"/>
        </w:rPr>
        <w:footnoteRef/>
      </w:r>
      <w:r>
        <w:t xml:space="preserve"> </w:t>
      </w:r>
      <w:r>
        <w:rPr>
          <w:i/>
        </w:rPr>
        <w:t>Id.</w:t>
      </w:r>
    </w:p>
  </w:footnote>
  <w:footnote w:id="28">
    <w:p w:rsidR="00E56E50" w:rsidRDefault="00E56E50">
      <w:pPr>
        <w:pStyle w:val="FootnoteText"/>
      </w:pPr>
      <w:r>
        <w:rPr>
          <w:rStyle w:val="FootnoteReference"/>
        </w:rPr>
        <w:footnoteRef/>
      </w:r>
      <w:r>
        <w:t xml:space="preserve"> </w:t>
      </w:r>
      <w:r w:rsidRPr="001A121A">
        <w:rPr>
          <w:i/>
        </w:rPr>
        <w:t>Id.</w:t>
      </w:r>
      <w:r>
        <w:rPr>
          <w:i/>
        </w:rPr>
        <w:t xml:space="preserve"> </w:t>
      </w:r>
      <w:r>
        <w:t>¶ 47.</w:t>
      </w:r>
    </w:p>
  </w:footnote>
  <w:footnote w:id="29">
    <w:p w:rsidR="00E56E50" w:rsidRDefault="00E56E50">
      <w:pPr>
        <w:pStyle w:val="FootnoteText"/>
      </w:pPr>
      <w:r>
        <w:rPr>
          <w:rStyle w:val="FootnoteReference"/>
        </w:rPr>
        <w:footnoteRef/>
      </w:r>
      <w:r>
        <w:t xml:space="preserve"> </w:t>
      </w:r>
      <w:r w:rsidRPr="007E5F05">
        <w:rPr>
          <w:i/>
        </w:rPr>
        <w:t>See</w:t>
      </w:r>
      <w:r w:rsidRPr="004B55E8">
        <w:t xml:space="preserve"> </w:t>
      </w:r>
      <w:r w:rsidR="00022C96" w:rsidRPr="004B55E8">
        <w:rPr>
          <w:i/>
        </w:rPr>
        <w:t>W</w:t>
      </w:r>
      <w:r w:rsidR="00022C96">
        <w:rPr>
          <w:i/>
        </w:rPr>
        <w:t>ash. Utils. &amp; Transp. Comm’n</w:t>
      </w:r>
      <w:r w:rsidRPr="004B55E8">
        <w:rPr>
          <w:i/>
        </w:rPr>
        <w:t xml:space="preserve"> v. Avista</w:t>
      </w:r>
      <w:r>
        <w:rPr>
          <w:i/>
        </w:rPr>
        <w:t xml:space="preserve"> Corporation d/b/a Avista Utilities</w:t>
      </w:r>
      <w:r w:rsidRPr="004B55E8">
        <w:rPr>
          <w:i/>
        </w:rPr>
        <w:t xml:space="preserve">, </w:t>
      </w:r>
      <w:r w:rsidRPr="004B55E8">
        <w:t>Docket</w:t>
      </w:r>
      <w:r>
        <w:t xml:space="preserve">s </w:t>
      </w:r>
      <w:r w:rsidRPr="004B55E8">
        <w:t xml:space="preserve">UE-120436 and UG-120437, Order </w:t>
      </w:r>
      <w:r>
        <w:t>09, Dockets UE-110876 and UG-110877, Order 14,</w:t>
      </w:r>
      <w:r w:rsidRPr="004B55E8">
        <w:t xml:space="preserve"> </w:t>
      </w:r>
      <w:r>
        <w:t>¶ 70</w:t>
      </w:r>
      <w:r w:rsidR="00926312">
        <w:t xml:space="preserve"> (December</w:t>
      </w:r>
      <w:r w:rsidRPr="004B55E8">
        <w:t xml:space="preserve"> 26, 2012)</w:t>
      </w:r>
      <w:r>
        <w:t>.</w:t>
      </w:r>
    </w:p>
  </w:footnote>
  <w:footnote w:id="30">
    <w:p w:rsidR="00E56E50" w:rsidRDefault="00E56E50">
      <w:pPr>
        <w:pStyle w:val="FootnoteText"/>
      </w:pPr>
      <w:r>
        <w:rPr>
          <w:rStyle w:val="FootnoteReference"/>
        </w:rPr>
        <w:footnoteRef/>
      </w:r>
      <w:r>
        <w:t xml:space="preserve"> Exhibit No.___(BNW-14T).</w:t>
      </w:r>
    </w:p>
  </w:footnote>
  <w:footnote w:id="31">
    <w:p w:rsidR="00E56E50" w:rsidRPr="008254F9" w:rsidRDefault="00E56E50">
      <w:pPr>
        <w:pStyle w:val="FootnoteText"/>
      </w:pPr>
      <w:r>
        <w:rPr>
          <w:rStyle w:val="FootnoteReference"/>
        </w:rPr>
        <w:footnoteRef/>
      </w:r>
      <w:r>
        <w:t xml:space="preserve"> </w:t>
      </w:r>
      <w:r>
        <w:rPr>
          <w:i/>
        </w:rPr>
        <w:t xml:space="preserve">See </w:t>
      </w:r>
      <w:r>
        <w:t xml:space="preserve">Exhibit No.___(KLE-1T) at page 2; </w:t>
      </w:r>
      <w:r>
        <w:rPr>
          <w:i/>
        </w:rPr>
        <w:t xml:space="preserve">see also </w:t>
      </w:r>
      <w:r w:rsidRPr="009E363C">
        <w:t>Exhibit</w:t>
      </w:r>
      <w:r>
        <w:t xml:space="preserve"> No.___(MPG-1T) at page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09" w:rsidRDefault="00F94E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09" w:rsidRDefault="00F94E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09" w:rsidRDefault="00F94E0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50" w:rsidRDefault="00E56E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D205D6"/>
    <w:lvl w:ilvl="0">
      <w:start w:val="1"/>
      <w:numFmt w:val="decimal"/>
      <w:lvlText w:val="%1."/>
      <w:lvlJc w:val="left"/>
      <w:pPr>
        <w:tabs>
          <w:tab w:val="num" w:pos="1800"/>
        </w:tabs>
        <w:ind w:left="1800" w:hanging="360"/>
      </w:pPr>
    </w:lvl>
  </w:abstractNum>
  <w:abstractNum w:abstractNumId="1">
    <w:nsid w:val="FFFFFF7D"/>
    <w:multiLevelType w:val="singleLevel"/>
    <w:tmpl w:val="35A2E582"/>
    <w:lvl w:ilvl="0">
      <w:start w:val="1"/>
      <w:numFmt w:val="decimal"/>
      <w:lvlText w:val="%1."/>
      <w:lvlJc w:val="left"/>
      <w:pPr>
        <w:tabs>
          <w:tab w:val="num" w:pos="1440"/>
        </w:tabs>
        <w:ind w:left="1440" w:hanging="360"/>
      </w:pPr>
    </w:lvl>
  </w:abstractNum>
  <w:abstractNum w:abstractNumId="2">
    <w:nsid w:val="FFFFFF7E"/>
    <w:multiLevelType w:val="singleLevel"/>
    <w:tmpl w:val="B922F278"/>
    <w:lvl w:ilvl="0">
      <w:start w:val="1"/>
      <w:numFmt w:val="decimal"/>
      <w:lvlText w:val="%1."/>
      <w:lvlJc w:val="left"/>
      <w:pPr>
        <w:tabs>
          <w:tab w:val="num" w:pos="1080"/>
        </w:tabs>
        <w:ind w:left="1080" w:hanging="360"/>
      </w:pPr>
    </w:lvl>
  </w:abstractNum>
  <w:abstractNum w:abstractNumId="3">
    <w:nsid w:val="FFFFFF7F"/>
    <w:multiLevelType w:val="singleLevel"/>
    <w:tmpl w:val="889405F4"/>
    <w:lvl w:ilvl="0">
      <w:start w:val="1"/>
      <w:numFmt w:val="decimal"/>
      <w:lvlText w:val="%1."/>
      <w:lvlJc w:val="left"/>
      <w:pPr>
        <w:tabs>
          <w:tab w:val="num" w:pos="720"/>
        </w:tabs>
        <w:ind w:left="720" w:hanging="360"/>
      </w:pPr>
    </w:lvl>
  </w:abstractNum>
  <w:abstractNum w:abstractNumId="4">
    <w:nsid w:val="FFFFFF80"/>
    <w:multiLevelType w:val="singleLevel"/>
    <w:tmpl w:val="32CC1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3A69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4F0ED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0AE412"/>
    <w:lvl w:ilvl="0">
      <w:start w:val="1"/>
      <w:numFmt w:val="decimal"/>
      <w:lvlText w:val="%1."/>
      <w:lvlJc w:val="left"/>
      <w:pPr>
        <w:tabs>
          <w:tab w:val="num" w:pos="360"/>
        </w:tabs>
        <w:ind w:left="360" w:hanging="360"/>
      </w:pPr>
    </w:lvl>
  </w:abstractNum>
  <w:abstractNum w:abstractNumId="9">
    <w:nsid w:val="FFFFFF89"/>
    <w:multiLevelType w:val="singleLevel"/>
    <w:tmpl w:val="5AD2AEA0"/>
    <w:lvl w:ilvl="0">
      <w:start w:val="1"/>
      <w:numFmt w:val="bullet"/>
      <w:lvlText w:val=""/>
      <w:lvlJc w:val="left"/>
      <w:pPr>
        <w:tabs>
          <w:tab w:val="num" w:pos="360"/>
        </w:tabs>
        <w:ind w:left="360" w:hanging="360"/>
      </w:pPr>
      <w:rPr>
        <w:rFonts w:ascii="Symbol" w:hAnsi="Symbol" w:hint="default"/>
      </w:rPr>
    </w:lvl>
  </w:abstractNum>
  <w:abstractNum w:abstractNumId="10">
    <w:nsid w:val="13153F48"/>
    <w:multiLevelType w:val="hybridMultilevel"/>
    <w:tmpl w:val="CB7A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C6720"/>
    <w:multiLevelType w:val="hybridMultilevel"/>
    <w:tmpl w:val="FA36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D5406B"/>
    <w:multiLevelType w:val="multilevel"/>
    <w:tmpl w:val="9AC4D5DC"/>
    <w:lvl w:ilvl="0">
      <w:start w:val="1"/>
      <w:numFmt w:val="bullet"/>
      <w:lvlText w:val=""/>
      <w:lvlJc w:val="left"/>
      <w:pPr>
        <w:tabs>
          <w:tab w:val="num" w:pos="1440"/>
        </w:tabs>
        <w:ind w:left="1440" w:hanging="360"/>
      </w:pPr>
      <w:rPr>
        <w:rFonts w:ascii="Symbol" w:hAnsi="Symbol" w:cs="Symbol" w:hint="default"/>
        <w:sz w:val="24"/>
        <w:szCs w:val="24"/>
      </w:rPr>
    </w:lvl>
    <w:lvl w:ilvl="1">
      <w:start w:val="1"/>
      <w:numFmt w:val="bullet"/>
      <w:lvlText w:val="o"/>
      <w:lvlJc w:val="left"/>
      <w:pPr>
        <w:tabs>
          <w:tab w:val="num" w:pos="2160"/>
        </w:tabs>
        <w:ind w:left="2160" w:hanging="360"/>
      </w:pPr>
      <w:rPr>
        <w:rFonts w:ascii="Courier New" w:hAnsi="Courier New" w:cs="Courier New" w:hint="default"/>
        <w:color w:val="auto"/>
        <w:sz w:val="24"/>
        <w:szCs w:val="24"/>
      </w:rPr>
    </w:lvl>
    <w:lvl w:ilvl="2">
      <w:start w:val="1"/>
      <w:numFmt w:val="bullet"/>
      <w:lvlText w:val=""/>
      <w:lvlJc w:val="left"/>
      <w:pPr>
        <w:tabs>
          <w:tab w:val="num" w:pos="-540"/>
        </w:tabs>
        <w:ind w:left="-540" w:hanging="360"/>
      </w:pPr>
      <w:rPr>
        <w:rFonts w:ascii="Wingdings" w:hAnsi="Wingdings" w:cs="Wingdings" w:hint="default"/>
      </w:rPr>
    </w:lvl>
    <w:lvl w:ilvl="3">
      <w:start w:val="1"/>
      <w:numFmt w:val="bullet"/>
      <w:lvlText w:val=""/>
      <w:lvlJc w:val="left"/>
      <w:pPr>
        <w:tabs>
          <w:tab w:val="num" w:pos="180"/>
        </w:tabs>
        <w:ind w:left="180" w:hanging="360"/>
      </w:pPr>
      <w:rPr>
        <w:rFonts w:ascii="Symbol" w:hAnsi="Symbol" w:cs="Symbol" w:hint="default"/>
      </w:rPr>
    </w:lvl>
    <w:lvl w:ilvl="4">
      <w:start w:val="1"/>
      <w:numFmt w:val="bullet"/>
      <w:lvlText w:val="o"/>
      <w:lvlJc w:val="left"/>
      <w:pPr>
        <w:tabs>
          <w:tab w:val="num" w:pos="900"/>
        </w:tabs>
        <w:ind w:left="900" w:hanging="360"/>
      </w:pPr>
      <w:rPr>
        <w:rFonts w:ascii="Courier New" w:hAnsi="Courier New" w:cs="Courier New" w:hint="default"/>
      </w:rPr>
    </w:lvl>
    <w:lvl w:ilvl="5">
      <w:start w:val="1"/>
      <w:numFmt w:val="bullet"/>
      <w:lvlText w:val=""/>
      <w:lvlJc w:val="left"/>
      <w:pPr>
        <w:tabs>
          <w:tab w:val="num" w:pos="1620"/>
        </w:tabs>
        <w:ind w:left="1620" w:hanging="360"/>
      </w:pPr>
      <w:rPr>
        <w:rFonts w:ascii="Wingdings" w:hAnsi="Wingdings" w:cs="Wingdings" w:hint="default"/>
      </w:rPr>
    </w:lvl>
    <w:lvl w:ilvl="6">
      <w:start w:val="1"/>
      <w:numFmt w:val="bullet"/>
      <w:lvlText w:val=""/>
      <w:lvlJc w:val="left"/>
      <w:pPr>
        <w:tabs>
          <w:tab w:val="num" w:pos="2340"/>
        </w:tabs>
        <w:ind w:left="2340" w:hanging="360"/>
      </w:pPr>
      <w:rPr>
        <w:rFonts w:ascii="Symbol" w:hAnsi="Symbol" w:cs="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cs="Wingdings" w:hint="default"/>
      </w:rPr>
    </w:lvl>
  </w:abstractNum>
  <w:abstractNum w:abstractNumId="13">
    <w:nsid w:val="3C9010C1"/>
    <w:multiLevelType w:val="hybridMultilevel"/>
    <w:tmpl w:val="95DEE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B38AAB0">
      <w:start w:val="1"/>
      <w:numFmt w:val="bullet"/>
      <w:lvlText w:val="o"/>
      <w:lvlJc w:val="left"/>
      <w:pPr>
        <w:ind w:left="2160" w:hanging="360"/>
      </w:pPr>
      <w:rPr>
        <w:rFonts w:ascii="Courier New" w:hAnsi="Courier New" w:cs="Courier New"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9867CA"/>
    <w:multiLevelType w:val="hybridMultilevel"/>
    <w:tmpl w:val="0CB0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9D1F28"/>
    <w:multiLevelType w:val="hybridMultilevel"/>
    <w:tmpl w:val="0F76892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16">
    <w:nsid w:val="5B5B05C1"/>
    <w:multiLevelType w:val="hybridMultilevel"/>
    <w:tmpl w:val="0BC4BB0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CD53457"/>
    <w:multiLevelType w:val="hybridMultilevel"/>
    <w:tmpl w:val="60FAB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E43D80"/>
    <w:multiLevelType w:val="hybridMultilevel"/>
    <w:tmpl w:val="06EAA79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7E5003"/>
    <w:multiLevelType w:val="hybridMultilevel"/>
    <w:tmpl w:val="C7488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180"/>
      </w:pPr>
      <w:rPr>
        <w:rFonts w:ascii="Wingdings" w:hAnsi="Wingding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7531D8F"/>
    <w:multiLevelType w:val="hybridMultilevel"/>
    <w:tmpl w:val="45FAE9B2"/>
    <w:lvl w:ilvl="0" w:tplc="04090001">
      <w:start w:val="1"/>
      <w:numFmt w:val="bullet"/>
      <w:lvlText w:val=""/>
      <w:lvlJc w:val="left"/>
      <w:pPr>
        <w:ind w:left="108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D6F0038"/>
    <w:multiLevelType w:val="hybridMultilevel"/>
    <w:tmpl w:val="433A7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0EE1F4B"/>
    <w:multiLevelType w:val="hybridMultilevel"/>
    <w:tmpl w:val="906CFF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B663E51"/>
    <w:multiLevelType w:val="hybridMultilevel"/>
    <w:tmpl w:val="581240D2"/>
    <w:lvl w:ilvl="0" w:tplc="1B8622EE">
      <w:start w:val="1"/>
      <w:numFmt w:val="bullet"/>
      <w:pStyle w:val="AutoNumBodyCharCharCharChar"/>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18"/>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0"/>
  </w:num>
  <w:num w:numId="17">
    <w:abstractNumId w:val="14"/>
  </w:num>
  <w:num w:numId="18">
    <w:abstractNumId w:val="17"/>
  </w:num>
  <w:num w:numId="19">
    <w:abstractNumId w:val="16"/>
  </w:num>
  <w:num w:numId="20">
    <w:abstractNumId w:val="19"/>
  </w:num>
  <w:num w:numId="21">
    <w:abstractNumId w:val="21"/>
  </w:num>
  <w:num w:numId="22">
    <w:abstractNumId w:val="23"/>
  </w:num>
  <w:num w:numId="23">
    <w:abstractNumId w:val="13"/>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rsids>
    <w:rsidRoot w:val="00D97BED"/>
    <w:rsid w:val="00000F08"/>
    <w:rsid w:val="00001311"/>
    <w:rsid w:val="00001380"/>
    <w:rsid w:val="00003FAC"/>
    <w:rsid w:val="000045C5"/>
    <w:rsid w:val="000051B8"/>
    <w:rsid w:val="00006CE5"/>
    <w:rsid w:val="00010042"/>
    <w:rsid w:val="00011270"/>
    <w:rsid w:val="0001251D"/>
    <w:rsid w:val="000133C4"/>
    <w:rsid w:val="000137A9"/>
    <w:rsid w:val="00014C14"/>
    <w:rsid w:val="000167A1"/>
    <w:rsid w:val="00017D99"/>
    <w:rsid w:val="00020B67"/>
    <w:rsid w:val="0002138A"/>
    <w:rsid w:val="00021457"/>
    <w:rsid w:val="00022C96"/>
    <w:rsid w:val="00024672"/>
    <w:rsid w:val="00026137"/>
    <w:rsid w:val="0002642B"/>
    <w:rsid w:val="0002692B"/>
    <w:rsid w:val="00026EE2"/>
    <w:rsid w:val="00026FA1"/>
    <w:rsid w:val="000275B7"/>
    <w:rsid w:val="0003006A"/>
    <w:rsid w:val="0003142F"/>
    <w:rsid w:val="000339D1"/>
    <w:rsid w:val="00034979"/>
    <w:rsid w:val="00035B4D"/>
    <w:rsid w:val="00037566"/>
    <w:rsid w:val="00037FCC"/>
    <w:rsid w:val="00044931"/>
    <w:rsid w:val="000502BC"/>
    <w:rsid w:val="00052601"/>
    <w:rsid w:val="00052F07"/>
    <w:rsid w:val="00053E88"/>
    <w:rsid w:val="00056EC9"/>
    <w:rsid w:val="000576E2"/>
    <w:rsid w:val="000579A1"/>
    <w:rsid w:val="000604C1"/>
    <w:rsid w:val="00060F01"/>
    <w:rsid w:val="000612FD"/>
    <w:rsid w:val="00062303"/>
    <w:rsid w:val="00063D8B"/>
    <w:rsid w:val="000641A2"/>
    <w:rsid w:val="00064289"/>
    <w:rsid w:val="000647DF"/>
    <w:rsid w:val="00067C4E"/>
    <w:rsid w:val="0007097D"/>
    <w:rsid w:val="00073FF0"/>
    <w:rsid w:val="000770F4"/>
    <w:rsid w:val="00077537"/>
    <w:rsid w:val="00077EA3"/>
    <w:rsid w:val="00080535"/>
    <w:rsid w:val="000817CE"/>
    <w:rsid w:val="000831F1"/>
    <w:rsid w:val="00084F13"/>
    <w:rsid w:val="000858D3"/>
    <w:rsid w:val="000867CF"/>
    <w:rsid w:val="0008721E"/>
    <w:rsid w:val="00087EAF"/>
    <w:rsid w:val="0009005F"/>
    <w:rsid w:val="00091B09"/>
    <w:rsid w:val="00091EF7"/>
    <w:rsid w:val="00093B5B"/>
    <w:rsid w:val="00093C59"/>
    <w:rsid w:val="000951CD"/>
    <w:rsid w:val="000978BB"/>
    <w:rsid w:val="000A059F"/>
    <w:rsid w:val="000A49D1"/>
    <w:rsid w:val="000A4BD9"/>
    <w:rsid w:val="000A5264"/>
    <w:rsid w:val="000A6377"/>
    <w:rsid w:val="000A7191"/>
    <w:rsid w:val="000B0A23"/>
    <w:rsid w:val="000B1623"/>
    <w:rsid w:val="000B2679"/>
    <w:rsid w:val="000B3F38"/>
    <w:rsid w:val="000B3F3A"/>
    <w:rsid w:val="000B5CDD"/>
    <w:rsid w:val="000B7A65"/>
    <w:rsid w:val="000C08C0"/>
    <w:rsid w:val="000C08CA"/>
    <w:rsid w:val="000C4959"/>
    <w:rsid w:val="000C54D3"/>
    <w:rsid w:val="000C597B"/>
    <w:rsid w:val="000C73A5"/>
    <w:rsid w:val="000D058F"/>
    <w:rsid w:val="000D3C05"/>
    <w:rsid w:val="000D49B6"/>
    <w:rsid w:val="000D5746"/>
    <w:rsid w:val="000D7282"/>
    <w:rsid w:val="000D733D"/>
    <w:rsid w:val="000D7701"/>
    <w:rsid w:val="000E4224"/>
    <w:rsid w:val="000E6DE0"/>
    <w:rsid w:val="000E7402"/>
    <w:rsid w:val="000F0F56"/>
    <w:rsid w:val="000F1107"/>
    <w:rsid w:val="000F1156"/>
    <w:rsid w:val="000F59EA"/>
    <w:rsid w:val="001004B6"/>
    <w:rsid w:val="00104615"/>
    <w:rsid w:val="00105EBF"/>
    <w:rsid w:val="0010676F"/>
    <w:rsid w:val="00107C02"/>
    <w:rsid w:val="00111679"/>
    <w:rsid w:val="001145A6"/>
    <w:rsid w:val="00115383"/>
    <w:rsid w:val="0011579F"/>
    <w:rsid w:val="00116594"/>
    <w:rsid w:val="00116686"/>
    <w:rsid w:val="00116A61"/>
    <w:rsid w:val="00120AE8"/>
    <w:rsid w:val="00120F8A"/>
    <w:rsid w:val="001218FB"/>
    <w:rsid w:val="001229D5"/>
    <w:rsid w:val="00124389"/>
    <w:rsid w:val="00124669"/>
    <w:rsid w:val="00125B0C"/>
    <w:rsid w:val="001264E5"/>
    <w:rsid w:val="00126E87"/>
    <w:rsid w:val="00127A42"/>
    <w:rsid w:val="001301B0"/>
    <w:rsid w:val="0013033E"/>
    <w:rsid w:val="001316F2"/>
    <w:rsid w:val="00131D77"/>
    <w:rsid w:val="001331E6"/>
    <w:rsid w:val="00133C14"/>
    <w:rsid w:val="001350A8"/>
    <w:rsid w:val="00135566"/>
    <w:rsid w:val="00135851"/>
    <w:rsid w:val="0013594A"/>
    <w:rsid w:val="00137ED4"/>
    <w:rsid w:val="00141071"/>
    <w:rsid w:val="00143AE5"/>
    <w:rsid w:val="00144108"/>
    <w:rsid w:val="00144D82"/>
    <w:rsid w:val="0015007D"/>
    <w:rsid w:val="00152B79"/>
    <w:rsid w:val="001533E1"/>
    <w:rsid w:val="00153BB5"/>
    <w:rsid w:val="00154BF2"/>
    <w:rsid w:val="0015671F"/>
    <w:rsid w:val="00160399"/>
    <w:rsid w:val="001604CE"/>
    <w:rsid w:val="0016090F"/>
    <w:rsid w:val="00160A98"/>
    <w:rsid w:val="0016195B"/>
    <w:rsid w:val="00161BB2"/>
    <w:rsid w:val="0016334B"/>
    <w:rsid w:val="00164FB3"/>
    <w:rsid w:val="001652DD"/>
    <w:rsid w:val="001653DD"/>
    <w:rsid w:val="0016683D"/>
    <w:rsid w:val="001701E5"/>
    <w:rsid w:val="001734C3"/>
    <w:rsid w:val="001759AC"/>
    <w:rsid w:val="001759CC"/>
    <w:rsid w:val="00176215"/>
    <w:rsid w:val="00176F45"/>
    <w:rsid w:val="00176F46"/>
    <w:rsid w:val="00181ADD"/>
    <w:rsid w:val="0018315F"/>
    <w:rsid w:val="00183A00"/>
    <w:rsid w:val="001854A6"/>
    <w:rsid w:val="001913B3"/>
    <w:rsid w:val="00193774"/>
    <w:rsid w:val="00194042"/>
    <w:rsid w:val="00194DD9"/>
    <w:rsid w:val="001A121A"/>
    <w:rsid w:val="001A1C62"/>
    <w:rsid w:val="001A29AC"/>
    <w:rsid w:val="001A354F"/>
    <w:rsid w:val="001A3907"/>
    <w:rsid w:val="001A506B"/>
    <w:rsid w:val="001A5D0F"/>
    <w:rsid w:val="001B0484"/>
    <w:rsid w:val="001B1CB3"/>
    <w:rsid w:val="001B286B"/>
    <w:rsid w:val="001B5FFD"/>
    <w:rsid w:val="001B707E"/>
    <w:rsid w:val="001C4E25"/>
    <w:rsid w:val="001C5028"/>
    <w:rsid w:val="001C547E"/>
    <w:rsid w:val="001D06B6"/>
    <w:rsid w:val="001D45E2"/>
    <w:rsid w:val="001D5443"/>
    <w:rsid w:val="001E379A"/>
    <w:rsid w:val="001E5A2D"/>
    <w:rsid w:val="001E709B"/>
    <w:rsid w:val="001E7630"/>
    <w:rsid w:val="001F0DB7"/>
    <w:rsid w:val="001F62D0"/>
    <w:rsid w:val="002005A9"/>
    <w:rsid w:val="00200EB7"/>
    <w:rsid w:val="00202386"/>
    <w:rsid w:val="00203ABB"/>
    <w:rsid w:val="002054DD"/>
    <w:rsid w:val="00205C76"/>
    <w:rsid w:val="002079BD"/>
    <w:rsid w:val="00210050"/>
    <w:rsid w:val="002128A6"/>
    <w:rsid w:val="00215FD3"/>
    <w:rsid w:val="00217819"/>
    <w:rsid w:val="00217A7B"/>
    <w:rsid w:val="002216C4"/>
    <w:rsid w:val="002225BA"/>
    <w:rsid w:val="00224D16"/>
    <w:rsid w:val="00230765"/>
    <w:rsid w:val="00230782"/>
    <w:rsid w:val="002307E4"/>
    <w:rsid w:val="00230B44"/>
    <w:rsid w:val="0023147E"/>
    <w:rsid w:val="0023233B"/>
    <w:rsid w:val="00232E26"/>
    <w:rsid w:val="00234B0D"/>
    <w:rsid w:val="00234E26"/>
    <w:rsid w:val="00235E1F"/>
    <w:rsid w:val="00236375"/>
    <w:rsid w:val="00237866"/>
    <w:rsid w:val="00237FBC"/>
    <w:rsid w:val="00242E2F"/>
    <w:rsid w:val="00243149"/>
    <w:rsid w:val="00250D66"/>
    <w:rsid w:val="00251A3C"/>
    <w:rsid w:val="00253521"/>
    <w:rsid w:val="00253D21"/>
    <w:rsid w:val="002557D9"/>
    <w:rsid w:val="00255D8C"/>
    <w:rsid w:val="00256405"/>
    <w:rsid w:val="002566EE"/>
    <w:rsid w:val="00256C4D"/>
    <w:rsid w:val="0026092C"/>
    <w:rsid w:val="00260BBA"/>
    <w:rsid w:val="00261A6D"/>
    <w:rsid w:val="002656B0"/>
    <w:rsid w:val="00265710"/>
    <w:rsid w:val="00265ABF"/>
    <w:rsid w:val="00265DEA"/>
    <w:rsid w:val="002723E4"/>
    <w:rsid w:val="002732BE"/>
    <w:rsid w:val="00274739"/>
    <w:rsid w:val="00274EAF"/>
    <w:rsid w:val="002755A6"/>
    <w:rsid w:val="00276792"/>
    <w:rsid w:val="00280E0E"/>
    <w:rsid w:val="0028408C"/>
    <w:rsid w:val="00284C4A"/>
    <w:rsid w:val="00284D42"/>
    <w:rsid w:val="00285A58"/>
    <w:rsid w:val="002865EA"/>
    <w:rsid w:val="00291CE6"/>
    <w:rsid w:val="002947F0"/>
    <w:rsid w:val="00294E60"/>
    <w:rsid w:val="00295B5F"/>
    <w:rsid w:val="002A1165"/>
    <w:rsid w:val="002A1E06"/>
    <w:rsid w:val="002A2104"/>
    <w:rsid w:val="002A371C"/>
    <w:rsid w:val="002A3BB1"/>
    <w:rsid w:val="002A4CD8"/>
    <w:rsid w:val="002A4F88"/>
    <w:rsid w:val="002B1E51"/>
    <w:rsid w:val="002B2D84"/>
    <w:rsid w:val="002B499C"/>
    <w:rsid w:val="002B505A"/>
    <w:rsid w:val="002B50A0"/>
    <w:rsid w:val="002B53CA"/>
    <w:rsid w:val="002B5650"/>
    <w:rsid w:val="002B79FC"/>
    <w:rsid w:val="002B7A77"/>
    <w:rsid w:val="002C2269"/>
    <w:rsid w:val="002C28E6"/>
    <w:rsid w:val="002C304C"/>
    <w:rsid w:val="002C46CE"/>
    <w:rsid w:val="002C4970"/>
    <w:rsid w:val="002C4EF6"/>
    <w:rsid w:val="002C53EC"/>
    <w:rsid w:val="002C7638"/>
    <w:rsid w:val="002D3F4F"/>
    <w:rsid w:val="002D420E"/>
    <w:rsid w:val="002D792E"/>
    <w:rsid w:val="002E0911"/>
    <w:rsid w:val="002E0ED6"/>
    <w:rsid w:val="002E152F"/>
    <w:rsid w:val="002E3322"/>
    <w:rsid w:val="002E3D2C"/>
    <w:rsid w:val="002E3DB1"/>
    <w:rsid w:val="002E55FC"/>
    <w:rsid w:val="002E5966"/>
    <w:rsid w:val="002E5A27"/>
    <w:rsid w:val="002E7D3D"/>
    <w:rsid w:val="002F022A"/>
    <w:rsid w:val="002F1479"/>
    <w:rsid w:val="002F1FF5"/>
    <w:rsid w:val="002F305D"/>
    <w:rsid w:val="002F3A67"/>
    <w:rsid w:val="002F3DF0"/>
    <w:rsid w:val="002F4B1C"/>
    <w:rsid w:val="002F668B"/>
    <w:rsid w:val="00301393"/>
    <w:rsid w:val="00302A23"/>
    <w:rsid w:val="00304887"/>
    <w:rsid w:val="00305CCF"/>
    <w:rsid w:val="0030634F"/>
    <w:rsid w:val="00307B8B"/>
    <w:rsid w:val="00311692"/>
    <w:rsid w:val="00313BFD"/>
    <w:rsid w:val="00314277"/>
    <w:rsid w:val="00315543"/>
    <w:rsid w:val="00317777"/>
    <w:rsid w:val="003177A3"/>
    <w:rsid w:val="003219E5"/>
    <w:rsid w:val="003228A3"/>
    <w:rsid w:val="003231D0"/>
    <w:rsid w:val="003256E7"/>
    <w:rsid w:val="003258BF"/>
    <w:rsid w:val="00325D6B"/>
    <w:rsid w:val="003267CD"/>
    <w:rsid w:val="00326A03"/>
    <w:rsid w:val="003314FB"/>
    <w:rsid w:val="00334533"/>
    <w:rsid w:val="0033456E"/>
    <w:rsid w:val="00337AF5"/>
    <w:rsid w:val="00340AAA"/>
    <w:rsid w:val="00340CAA"/>
    <w:rsid w:val="003414F4"/>
    <w:rsid w:val="00342C9A"/>
    <w:rsid w:val="00343793"/>
    <w:rsid w:val="0034432B"/>
    <w:rsid w:val="00344AB9"/>
    <w:rsid w:val="00346BBE"/>
    <w:rsid w:val="00350162"/>
    <w:rsid w:val="00352074"/>
    <w:rsid w:val="00355B1F"/>
    <w:rsid w:val="003608FF"/>
    <w:rsid w:val="003612FD"/>
    <w:rsid w:val="00363366"/>
    <w:rsid w:val="00363AC7"/>
    <w:rsid w:val="00363D50"/>
    <w:rsid w:val="003644A6"/>
    <w:rsid w:val="00367764"/>
    <w:rsid w:val="00373C60"/>
    <w:rsid w:val="00376287"/>
    <w:rsid w:val="00376FFA"/>
    <w:rsid w:val="0037737D"/>
    <w:rsid w:val="003779C9"/>
    <w:rsid w:val="00381C79"/>
    <w:rsid w:val="00384E71"/>
    <w:rsid w:val="00386B2E"/>
    <w:rsid w:val="00387CBA"/>
    <w:rsid w:val="003903DF"/>
    <w:rsid w:val="00390699"/>
    <w:rsid w:val="003916B2"/>
    <w:rsid w:val="00391E6A"/>
    <w:rsid w:val="0039333F"/>
    <w:rsid w:val="00393526"/>
    <w:rsid w:val="00394A03"/>
    <w:rsid w:val="00394F3B"/>
    <w:rsid w:val="003965CB"/>
    <w:rsid w:val="003971E5"/>
    <w:rsid w:val="00397B2F"/>
    <w:rsid w:val="003A006C"/>
    <w:rsid w:val="003A086F"/>
    <w:rsid w:val="003A10C4"/>
    <w:rsid w:val="003A1B53"/>
    <w:rsid w:val="003A1D86"/>
    <w:rsid w:val="003A215A"/>
    <w:rsid w:val="003A27ED"/>
    <w:rsid w:val="003A3A99"/>
    <w:rsid w:val="003A61A6"/>
    <w:rsid w:val="003A67F6"/>
    <w:rsid w:val="003B0C80"/>
    <w:rsid w:val="003B2249"/>
    <w:rsid w:val="003B253A"/>
    <w:rsid w:val="003B2B11"/>
    <w:rsid w:val="003B37C8"/>
    <w:rsid w:val="003B456E"/>
    <w:rsid w:val="003B49E3"/>
    <w:rsid w:val="003B54D9"/>
    <w:rsid w:val="003B558F"/>
    <w:rsid w:val="003C0B33"/>
    <w:rsid w:val="003C203D"/>
    <w:rsid w:val="003C2F98"/>
    <w:rsid w:val="003C2FB3"/>
    <w:rsid w:val="003C35E9"/>
    <w:rsid w:val="003C415D"/>
    <w:rsid w:val="003C4B10"/>
    <w:rsid w:val="003C4B4B"/>
    <w:rsid w:val="003C530C"/>
    <w:rsid w:val="003C5A24"/>
    <w:rsid w:val="003C5C40"/>
    <w:rsid w:val="003D0827"/>
    <w:rsid w:val="003D17E5"/>
    <w:rsid w:val="003D334B"/>
    <w:rsid w:val="003D3608"/>
    <w:rsid w:val="003D3AF1"/>
    <w:rsid w:val="003D7DF3"/>
    <w:rsid w:val="003E14B8"/>
    <w:rsid w:val="003E2005"/>
    <w:rsid w:val="003E259A"/>
    <w:rsid w:val="003E4535"/>
    <w:rsid w:val="003E4F6A"/>
    <w:rsid w:val="003E5A24"/>
    <w:rsid w:val="003F0219"/>
    <w:rsid w:val="003F03D4"/>
    <w:rsid w:val="003F101B"/>
    <w:rsid w:val="003F484E"/>
    <w:rsid w:val="003F5EF3"/>
    <w:rsid w:val="003F6192"/>
    <w:rsid w:val="004002A9"/>
    <w:rsid w:val="00400B2C"/>
    <w:rsid w:val="004057CE"/>
    <w:rsid w:val="00405B31"/>
    <w:rsid w:val="0040619F"/>
    <w:rsid w:val="004066BD"/>
    <w:rsid w:val="00410A71"/>
    <w:rsid w:val="004132EB"/>
    <w:rsid w:val="004148B3"/>
    <w:rsid w:val="00417DDE"/>
    <w:rsid w:val="0042103E"/>
    <w:rsid w:val="004213C1"/>
    <w:rsid w:val="00421F2E"/>
    <w:rsid w:val="00422C1E"/>
    <w:rsid w:val="00423399"/>
    <w:rsid w:val="004267A5"/>
    <w:rsid w:val="00427402"/>
    <w:rsid w:val="0043013D"/>
    <w:rsid w:val="00430148"/>
    <w:rsid w:val="00431206"/>
    <w:rsid w:val="004339D6"/>
    <w:rsid w:val="00433A9E"/>
    <w:rsid w:val="004352C6"/>
    <w:rsid w:val="0043593A"/>
    <w:rsid w:val="00437853"/>
    <w:rsid w:val="00442406"/>
    <w:rsid w:val="00443C88"/>
    <w:rsid w:val="0044464C"/>
    <w:rsid w:val="004475AA"/>
    <w:rsid w:val="00447AEF"/>
    <w:rsid w:val="00447D89"/>
    <w:rsid w:val="0045122B"/>
    <w:rsid w:val="0045149E"/>
    <w:rsid w:val="004525E7"/>
    <w:rsid w:val="00452712"/>
    <w:rsid w:val="00453A85"/>
    <w:rsid w:val="00456BE6"/>
    <w:rsid w:val="00456FEF"/>
    <w:rsid w:val="00457228"/>
    <w:rsid w:val="0046174B"/>
    <w:rsid w:val="0046281C"/>
    <w:rsid w:val="00465C11"/>
    <w:rsid w:val="00465C1D"/>
    <w:rsid w:val="004669FF"/>
    <w:rsid w:val="004678CF"/>
    <w:rsid w:val="004709EA"/>
    <w:rsid w:val="00471086"/>
    <w:rsid w:val="0047125C"/>
    <w:rsid w:val="0047309C"/>
    <w:rsid w:val="0047417A"/>
    <w:rsid w:val="004757CC"/>
    <w:rsid w:val="0048153F"/>
    <w:rsid w:val="00481E04"/>
    <w:rsid w:val="00482567"/>
    <w:rsid w:val="00483F0B"/>
    <w:rsid w:val="00484EBA"/>
    <w:rsid w:val="0048578C"/>
    <w:rsid w:val="0048613A"/>
    <w:rsid w:val="004903AE"/>
    <w:rsid w:val="00490A78"/>
    <w:rsid w:val="00491368"/>
    <w:rsid w:val="00491C17"/>
    <w:rsid w:val="00495C36"/>
    <w:rsid w:val="00495EBF"/>
    <w:rsid w:val="0049666E"/>
    <w:rsid w:val="00496954"/>
    <w:rsid w:val="004A058C"/>
    <w:rsid w:val="004A3CB0"/>
    <w:rsid w:val="004A698D"/>
    <w:rsid w:val="004A6CE2"/>
    <w:rsid w:val="004A7243"/>
    <w:rsid w:val="004A7748"/>
    <w:rsid w:val="004A7858"/>
    <w:rsid w:val="004B39F3"/>
    <w:rsid w:val="004B5C0B"/>
    <w:rsid w:val="004B6199"/>
    <w:rsid w:val="004B69CE"/>
    <w:rsid w:val="004B6F88"/>
    <w:rsid w:val="004B78BE"/>
    <w:rsid w:val="004B7B16"/>
    <w:rsid w:val="004B7D52"/>
    <w:rsid w:val="004C165A"/>
    <w:rsid w:val="004C29BF"/>
    <w:rsid w:val="004C60F9"/>
    <w:rsid w:val="004C6534"/>
    <w:rsid w:val="004C6866"/>
    <w:rsid w:val="004C719D"/>
    <w:rsid w:val="004C7731"/>
    <w:rsid w:val="004D012E"/>
    <w:rsid w:val="004D06B5"/>
    <w:rsid w:val="004D1BB8"/>
    <w:rsid w:val="004D3B8B"/>
    <w:rsid w:val="004D43E0"/>
    <w:rsid w:val="004D567A"/>
    <w:rsid w:val="004D60F2"/>
    <w:rsid w:val="004D70B8"/>
    <w:rsid w:val="004D747A"/>
    <w:rsid w:val="004D77EA"/>
    <w:rsid w:val="004E0857"/>
    <w:rsid w:val="004E21C4"/>
    <w:rsid w:val="004E2C77"/>
    <w:rsid w:val="004E370C"/>
    <w:rsid w:val="004E395C"/>
    <w:rsid w:val="004E5750"/>
    <w:rsid w:val="004E58B0"/>
    <w:rsid w:val="004E5B50"/>
    <w:rsid w:val="004F4847"/>
    <w:rsid w:val="004F5149"/>
    <w:rsid w:val="004F5259"/>
    <w:rsid w:val="004F74A6"/>
    <w:rsid w:val="004F78BB"/>
    <w:rsid w:val="004F7B30"/>
    <w:rsid w:val="00500C92"/>
    <w:rsid w:val="00503D92"/>
    <w:rsid w:val="00504BCC"/>
    <w:rsid w:val="00506F66"/>
    <w:rsid w:val="005073D7"/>
    <w:rsid w:val="00510835"/>
    <w:rsid w:val="00510E31"/>
    <w:rsid w:val="00512531"/>
    <w:rsid w:val="00512FCB"/>
    <w:rsid w:val="00513614"/>
    <w:rsid w:val="005148C8"/>
    <w:rsid w:val="00514B24"/>
    <w:rsid w:val="00516CE9"/>
    <w:rsid w:val="005246B9"/>
    <w:rsid w:val="0052484B"/>
    <w:rsid w:val="00525966"/>
    <w:rsid w:val="00526670"/>
    <w:rsid w:val="00527311"/>
    <w:rsid w:val="00527743"/>
    <w:rsid w:val="00527DAE"/>
    <w:rsid w:val="005308EA"/>
    <w:rsid w:val="00532885"/>
    <w:rsid w:val="00532974"/>
    <w:rsid w:val="00533548"/>
    <w:rsid w:val="00533E3D"/>
    <w:rsid w:val="005347AF"/>
    <w:rsid w:val="005359D3"/>
    <w:rsid w:val="005366FB"/>
    <w:rsid w:val="00536D87"/>
    <w:rsid w:val="00540FE6"/>
    <w:rsid w:val="00541C46"/>
    <w:rsid w:val="00544E2C"/>
    <w:rsid w:val="0055067B"/>
    <w:rsid w:val="005509A8"/>
    <w:rsid w:val="005509B1"/>
    <w:rsid w:val="0055139D"/>
    <w:rsid w:val="0055169C"/>
    <w:rsid w:val="0055194E"/>
    <w:rsid w:val="0055320C"/>
    <w:rsid w:val="0055385B"/>
    <w:rsid w:val="005558A3"/>
    <w:rsid w:val="0055671E"/>
    <w:rsid w:val="0055698B"/>
    <w:rsid w:val="00556BEE"/>
    <w:rsid w:val="0055785E"/>
    <w:rsid w:val="005578EC"/>
    <w:rsid w:val="00560640"/>
    <w:rsid w:val="0056145D"/>
    <w:rsid w:val="00561F65"/>
    <w:rsid w:val="0056317C"/>
    <w:rsid w:val="005637E9"/>
    <w:rsid w:val="00563F9E"/>
    <w:rsid w:val="00565489"/>
    <w:rsid w:val="005664BB"/>
    <w:rsid w:val="00572776"/>
    <w:rsid w:val="00574445"/>
    <w:rsid w:val="0057662D"/>
    <w:rsid w:val="00577B04"/>
    <w:rsid w:val="00577DE9"/>
    <w:rsid w:val="0058074B"/>
    <w:rsid w:val="005808C7"/>
    <w:rsid w:val="005841B2"/>
    <w:rsid w:val="005844BC"/>
    <w:rsid w:val="00584769"/>
    <w:rsid w:val="0058744F"/>
    <w:rsid w:val="00592FD6"/>
    <w:rsid w:val="005932AA"/>
    <w:rsid w:val="0059377C"/>
    <w:rsid w:val="0059424E"/>
    <w:rsid w:val="005943B2"/>
    <w:rsid w:val="00594E9E"/>
    <w:rsid w:val="00594F70"/>
    <w:rsid w:val="00597DA2"/>
    <w:rsid w:val="005A2288"/>
    <w:rsid w:val="005A246D"/>
    <w:rsid w:val="005A28D5"/>
    <w:rsid w:val="005A30BA"/>
    <w:rsid w:val="005A31DC"/>
    <w:rsid w:val="005A7126"/>
    <w:rsid w:val="005A723B"/>
    <w:rsid w:val="005A735C"/>
    <w:rsid w:val="005A7F30"/>
    <w:rsid w:val="005B35C0"/>
    <w:rsid w:val="005C02EF"/>
    <w:rsid w:val="005C394F"/>
    <w:rsid w:val="005C4463"/>
    <w:rsid w:val="005C597A"/>
    <w:rsid w:val="005C6B32"/>
    <w:rsid w:val="005C71E6"/>
    <w:rsid w:val="005D0960"/>
    <w:rsid w:val="005D3759"/>
    <w:rsid w:val="005D39D0"/>
    <w:rsid w:val="005D747F"/>
    <w:rsid w:val="005D769E"/>
    <w:rsid w:val="005E0C1C"/>
    <w:rsid w:val="005E26B4"/>
    <w:rsid w:val="005E297C"/>
    <w:rsid w:val="005E2BA9"/>
    <w:rsid w:val="005E33DD"/>
    <w:rsid w:val="005E3AC8"/>
    <w:rsid w:val="005E4259"/>
    <w:rsid w:val="005E4B68"/>
    <w:rsid w:val="005E5651"/>
    <w:rsid w:val="005E5B3A"/>
    <w:rsid w:val="005E6146"/>
    <w:rsid w:val="005E774C"/>
    <w:rsid w:val="005F0920"/>
    <w:rsid w:val="005F0A75"/>
    <w:rsid w:val="005F0DB9"/>
    <w:rsid w:val="005F0EED"/>
    <w:rsid w:val="005F1D7D"/>
    <w:rsid w:val="005F434A"/>
    <w:rsid w:val="005F4B42"/>
    <w:rsid w:val="006032DF"/>
    <w:rsid w:val="00606095"/>
    <w:rsid w:val="00606FB1"/>
    <w:rsid w:val="006121D6"/>
    <w:rsid w:val="00616C58"/>
    <w:rsid w:val="00617B34"/>
    <w:rsid w:val="00620424"/>
    <w:rsid w:val="00624B04"/>
    <w:rsid w:val="00625166"/>
    <w:rsid w:val="00625AA7"/>
    <w:rsid w:val="006314EA"/>
    <w:rsid w:val="00631808"/>
    <w:rsid w:val="00636412"/>
    <w:rsid w:val="006365E9"/>
    <w:rsid w:val="00640CF1"/>
    <w:rsid w:val="00640E35"/>
    <w:rsid w:val="00641C04"/>
    <w:rsid w:val="006429E3"/>
    <w:rsid w:val="00643255"/>
    <w:rsid w:val="00647491"/>
    <w:rsid w:val="006478BB"/>
    <w:rsid w:val="00650017"/>
    <w:rsid w:val="006514FE"/>
    <w:rsid w:val="006540AD"/>
    <w:rsid w:val="00654FA2"/>
    <w:rsid w:val="006553BE"/>
    <w:rsid w:val="00660C91"/>
    <w:rsid w:val="006654BC"/>
    <w:rsid w:val="006678F2"/>
    <w:rsid w:val="00670506"/>
    <w:rsid w:val="006732A9"/>
    <w:rsid w:val="00673621"/>
    <w:rsid w:val="00673684"/>
    <w:rsid w:val="00673AD8"/>
    <w:rsid w:val="006745B4"/>
    <w:rsid w:val="00674E05"/>
    <w:rsid w:val="00680AA6"/>
    <w:rsid w:val="00680F57"/>
    <w:rsid w:val="00683134"/>
    <w:rsid w:val="0068387B"/>
    <w:rsid w:val="006844B6"/>
    <w:rsid w:val="006849F8"/>
    <w:rsid w:val="00686194"/>
    <w:rsid w:val="00687845"/>
    <w:rsid w:val="00687C84"/>
    <w:rsid w:val="00690BCC"/>
    <w:rsid w:val="00691A81"/>
    <w:rsid w:val="00692517"/>
    <w:rsid w:val="00692AF5"/>
    <w:rsid w:val="006936A9"/>
    <w:rsid w:val="00694ACB"/>
    <w:rsid w:val="00697428"/>
    <w:rsid w:val="006A0F03"/>
    <w:rsid w:val="006A1776"/>
    <w:rsid w:val="006A1B5E"/>
    <w:rsid w:val="006A4324"/>
    <w:rsid w:val="006A5F0C"/>
    <w:rsid w:val="006B0BE6"/>
    <w:rsid w:val="006B3996"/>
    <w:rsid w:val="006B7462"/>
    <w:rsid w:val="006B77BF"/>
    <w:rsid w:val="006C2575"/>
    <w:rsid w:val="006C2815"/>
    <w:rsid w:val="006C4429"/>
    <w:rsid w:val="006C6C52"/>
    <w:rsid w:val="006C6DB0"/>
    <w:rsid w:val="006C7C7B"/>
    <w:rsid w:val="006C7D9D"/>
    <w:rsid w:val="006D03ED"/>
    <w:rsid w:val="006D13B7"/>
    <w:rsid w:val="006D46B6"/>
    <w:rsid w:val="006D5E03"/>
    <w:rsid w:val="006D64F6"/>
    <w:rsid w:val="006D79B7"/>
    <w:rsid w:val="006D7D82"/>
    <w:rsid w:val="006E0F94"/>
    <w:rsid w:val="006E1072"/>
    <w:rsid w:val="006E11CE"/>
    <w:rsid w:val="006E11DF"/>
    <w:rsid w:val="006E3893"/>
    <w:rsid w:val="006E7CDB"/>
    <w:rsid w:val="006F1A90"/>
    <w:rsid w:val="006F3BA2"/>
    <w:rsid w:val="006F45B1"/>
    <w:rsid w:val="006F6375"/>
    <w:rsid w:val="00700542"/>
    <w:rsid w:val="0070176F"/>
    <w:rsid w:val="007018A5"/>
    <w:rsid w:val="00702C78"/>
    <w:rsid w:val="00703667"/>
    <w:rsid w:val="007055AC"/>
    <w:rsid w:val="007061A1"/>
    <w:rsid w:val="00706D42"/>
    <w:rsid w:val="0071158C"/>
    <w:rsid w:val="00711D2F"/>
    <w:rsid w:val="007126D1"/>
    <w:rsid w:val="00712D5E"/>
    <w:rsid w:val="00717955"/>
    <w:rsid w:val="00732036"/>
    <w:rsid w:val="0073318E"/>
    <w:rsid w:val="00733862"/>
    <w:rsid w:val="0073467E"/>
    <w:rsid w:val="00734AE9"/>
    <w:rsid w:val="0073713D"/>
    <w:rsid w:val="007400E2"/>
    <w:rsid w:val="007411C6"/>
    <w:rsid w:val="007450F9"/>
    <w:rsid w:val="00745F85"/>
    <w:rsid w:val="007477E6"/>
    <w:rsid w:val="007502A6"/>
    <w:rsid w:val="00750948"/>
    <w:rsid w:val="007517BF"/>
    <w:rsid w:val="00751AC1"/>
    <w:rsid w:val="00757988"/>
    <w:rsid w:val="00757B70"/>
    <w:rsid w:val="007600D1"/>
    <w:rsid w:val="007611FB"/>
    <w:rsid w:val="00761FAB"/>
    <w:rsid w:val="00763769"/>
    <w:rsid w:val="00763E92"/>
    <w:rsid w:val="007650A7"/>
    <w:rsid w:val="00765784"/>
    <w:rsid w:val="00765AA4"/>
    <w:rsid w:val="00766B5A"/>
    <w:rsid w:val="00766E34"/>
    <w:rsid w:val="00766FDD"/>
    <w:rsid w:val="007679A0"/>
    <w:rsid w:val="00770000"/>
    <w:rsid w:val="007703C8"/>
    <w:rsid w:val="00770578"/>
    <w:rsid w:val="00770DA4"/>
    <w:rsid w:val="00770DBF"/>
    <w:rsid w:val="00772415"/>
    <w:rsid w:val="007734A5"/>
    <w:rsid w:val="007749AC"/>
    <w:rsid w:val="00774EAC"/>
    <w:rsid w:val="00775BD0"/>
    <w:rsid w:val="00775D27"/>
    <w:rsid w:val="00775D6B"/>
    <w:rsid w:val="007771F3"/>
    <w:rsid w:val="00777CF3"/>
    <w:rsid w:val="007804ED"/>
    <w:rsid w:val="007820AC"/>
    <w:rsid w:val="0078449D"/>
    <w:rsid w:val="00785C32"/>
    <w:rsid w:val="00787C84"/>
    <w:rsid w:val="007937E5"/>
    <w:rsid w:val="00793AA7"/>
    <w:rsid w:val="0079408F"/>
    <w:rsid w:val="007942E3"/>
    <w:rsid w:val="00794C81"/>
    <w:rsid w:val="0079683B"/>
    <w:rsid w:val="007A2DF9"/>
    <w:rsid w:val="007A369B"/>
    <w:rsid w:val="007A5319"/>
    <w:rsid w:val="007A7136"/>
    <w:rsid w:val="007A72E4"/>
    <w:rsid w:val="007A76E8"/>
    <w:rsid w:val="007A7CAC"/>
    <w:rsid w:val="007B046A"/>
    <w:rsid w:val="007B115C"/>
    <w:rsid w:val="007B3542"/>
    <w:rsid w:val="007B5CF8"/>
    <w:rsid w:val="007B62B9"/>
    <w:rsid w:val="007B6416"/>
    <w:rsid w:val="007B7B37"/>
    <w:rsid w:val="007C101E"/>
    <w:rsid w:val="007C1311"/>
    <w:rsid w:val="007C170A"/>
    <w:rsid w:val="007C1DBE"/>
    <w:rsid w:val="007C2E15"/>
    <w:rsid w:val="007C4ECC"/>
    <w:rsid w:val="007C612F"/>
    <w:rsid w:val="007C62B3"/>
    <w:rsid w:val="007C7ECA"/>
    <w:rsid w:val="007C7FF0"/>
    <w:rsid w:val="007D210E"/>
    <w:rsid w:val="007D488C"/>
    <w:rsid w:val="007D5379"/>
    <w:rsid w:val="007E4217"/>
    <w:rsid w:val="007E531B"/>
    <w:rsid w:val="007E6D72"/>
    <w:rsid w:val="007E73CD"/>
    <w:rsid w:val="007F2A00"/>
    <w:rsid w:val="007F6181"/>
    <w:rsid w:val="007F6FEE"/>
    <w:rsid w:val="007F7980"/>
    <w:rsid w:val="007F7BAB"/>
    <w:rsid w:val="0080061E"/>
    <w:rsid w:val="00800C10"/>
    <w:rsid w:val="008020CB"/>
    <w:rsid w:val="00802237"/>
    <w:rsid w:val="00802508"/>
    <w:rsid w:val="00802775"/>
    <w:rsid w:val="00802FDA"/>
    <w:rsid w:val="00804216"/>
    <w:rsid w:val="00804632"/>
    <w:rsid w:val="00804B9A"/>
    <w:rsid w:val="00804C22"/>
    <w:rsid w:val="00804D22"/>
    <w:rsid w:val="00807631"/>
    <w:rsid w:val="008077B3"/>
    <w:rsid w:val="0081012C"/>
    <w:rsid w:val="00810926"/>
    <w:rsid w:val="00810B3F"/>
    <w:rsid w:val="0081339B"/>
    <w:rsid w:val="00813C83"/>
    <w:rsid w:val="00815C53"/>
    <w:rsid w:val="008175B2"/>
    <w:rsid w:val="00817F63"/>
    <w:rsid w:val="0082029B"/>
    <w:rsid w:val="00820906"/>
    <w:rsid w:val="00821661"/>
    <w:rsid w:val="00821713"/>
    <w:rsid w:val="00823EDD"/>
    <w:rsid w:val="008254F9"/>
    <w:rsid w:val="008312C9"/>
    <w:rsid w:val="00831927"/>
    <w:rsid w:val="00831D77"/>
    <w:rsid w:val="00832E4D"/>
    <w:rsid w:val="00835215"/>
    <w:rsid w:val="00837DBA"/>
    <w:rsid w:val="00840FC4"/>
    <w:rsid w:val="00841928"/>
    <w:rsid w:val="0084452C"/>
    <w:rsid w:val="008449C3"/>
    <w:rsid w:val="0084710E"/>
    <w:rsid w:val="00847649"/>
    <w:rsid w:val="00850F50"/>
    <w:rsid w:val="00852047"/>
    <w:rsid w:val="008532B9"/>
    <w:rsid w:val="00856031"/>
    <w:rsid w:val="00856A2B"/>
    <w:rsid w:val="0085757D"/>
    <w:rsid w:val="00860056"/>
    <w:rsid w:val="0086165B"/>
    <w:rsid w:val="00861936"/>
    <w:rsid w:val="00862C4D"/>
    <w:rsid w:val="008631E9"/>
    <w:rsid w:val="00863375"/>
    <w:rsid w:val="0086386B"/>
    <w:rsid w:val="00863CBF"/>
    <w:rsid w:val="00863D08"/>
    <w:rsid w:val="00870704"/>
    <w:rsid w:val="00871FA5"/>
    <w:rsid w:val="008725AE"/>
    <w:rsid w:val="008747E5"/>
    <w:rsid w:val="00874A52"/>
    <w:rsid w:val="00877092"/>
    <w:rsid w:val="00880788"/>
    <w:rsid w:val="00881E49"/>
    <w:rsid w:val="008832A4"/>
    <w:rsid w:val="0088428E"/>
    <w:rsid w:val="00885F3E"/>
    <w:rsid w:val="00892FB6"/>
    <w:rsid w:val="008930F0"/>
    <w:rsid w:val="00893DD6"/>
    <w:rsid w:val="008942A5"/>
    <w:rsid w:val="00894F15"/>
    <w:rsid w:val="00895C40"/>
    <w:rsid w:val="00897166"/>
    <w:rsid w:val="008A101F"/>
    <w:rsid w:val="008A10EC"/>
    <w:rsid w:val="008A2F36"/>
    <w:rsid w:val="008A3161"/>
    <w:rsid w:val="008A344B"/>
    <w:rsid w:val="008A47C2"/>
    <w:rsid w:val="008A4ABF"/>
    <w:rsid w:val="008A6532"/>
    <w:rsid w:val="008B0EA6"/>
    <w:rsid w:val="008B2A52"/>
    <w:rsid w:val="008B2FB9"/>
    <w:rsid w:val="008B4FD1"/>
    <w:rsid w:val="008B5FF1"/>
    <w:rsid w:val="008B7847"/>
    <w:rsid w:val="008C259C"/>
    <w:rsid w:val="008C2BE2"/>
    <w:rsid w:val="008C3D02"/>
    <w:rsid w:val="008C423B"/>
    <w:rsid w:val="008C4E45"/>
    <w:rsid w:val="008D00BA"/>
    <w:rsid w:val="008D0409"/>
    <w:rsid w:val="008D4822"/>
    <w:rsid w:val="008D520E"/>
    <w:rsid w:val="008D5A0F"/>
    <w:rsid w:val="008D6874"/>
    <w:rsid w:val="008D72B2"/>
    <w:rsid w:val="008D72ED"/>
    <w:rsid w:val="008E3AA1"/>
    <w:rsid w:val="008E3BAC"/>
    <w:rsid w:val="008E41EB"/>
    <w:rsid w:val="008E5512"/>
    <w:rsid w:val="008E55E5"/>
    <w:rsid w:val="008E5EA0"/>
    <w:rsid w:val="008E72DC"/>
    <w:rsid w:val="008F031E"/>
    <w:rsid w:val="008F14E6"/>
    <w:rsid w:val="008F2C59"/>
    <w:rsid w:val="008F4183"/>
    <w:rsid w:val="008F5DB6"/>
    <w:rsid w:val="008F6BC1"/>
    <w:rsid w:val="0090047B"/>
    <w:rsid w:val="00902F83"/>
    <w:rsid w:val="0090339E"/>
    <w:rsid w:val="00904736"/>
    <w:rsid w:val="009051CF"/>
    <w:rsid w:val="00905B24"/>
    <w:rsid w:val="00907491"/>
    <w:rsid w:val="00907607"/>
    <w:rsid w:val="00907E46"/>
    <w:rsid w:val="00911C10"/>
    <w:rsid w:val="009120EF"/>
    <w:rsid w:val="009128D8"/>
    <w:rsid w:val="00912A14"/>
    <w:rsid w:val="00912B9F"/>
    <w:rsid w:val="00915190"/>
    <w:rsid w:val="00916400"/>
    <w:rsid w:val="00920952"/>
    <w:rsid w:val="0092139A"/>
    <w:rsid w:val="009233A8"/>
    <w:rsid w:val="00925E2B"/>
    <w:rsid w:val="00926312"/>
    <w:rsid w:val="00926798"/>
    <w:rsid w:val="009313DC"/>
    <w:rsid w:val="00932485"/>
    <w:rsid w:val="00932DAF"/>
    <w:rsid w:val="00935305"/>
    <w:rsid w:val="009377A9"/>
    <w:rsid w:val="0093789A"/>
    <w:rsid w:val="00937B03"/>
    <w:rsid w:val="00943B6D"/>
    <w:rsid w:val="00944C93"/>
    <w:rsid w:val="00944CF5"/>
    <w:rsid w:val="00945286"/>
    <w:rsid w:val="009475DC"/>
    <w:rsid w:val="00951B11"/>
    <w:rsid w:val="0095440D"/>
    <w:rsid w:val="00955E1E"/>
    <w:rsid w:val="00956570"/>
    <w:rsid w:val="00961CF4"/>
    <w:rsid w:val="009623C8"/>
    <w:rsid w:val="00962DF8"/>
    <w:rsid w:val="00963857"/>
    <w:rsid w:val="00967D90"/>
    <w:rsid w:val="00970CB5"/>
    <w:rsid w:val="00970DD8"/>
    <w:rsid w:val="009724DD"/>
    <w:rsid w:val="00976AF0"/>
    <w:rsid w:val="00977026"/>
    <w:rsid w:val="009772D3"/>
    <w:rsid w:val="00977736"/>
    <w:rsid w:val="009821FA"/>
    <w:rsid w:val="009844E5"/>
    <w:rsid w:val="009858AC"/>
    <w:rsid w:val="0098599D"/>
    <w:rsid w:val="00986136"/>
    <w:rsid w:val="00986BE1"/>
    <w:rsid w:val="009901BB"/>
    <w:rsid w:val="00991804"/>
    <w:rsid w:val="0099260A"/>
    <w:rsid w:val="00992E1E"/>
    <w:rsid w:val="00994706"/>
    <w:rsid w:val="009950C9"/>
    <w:rsid w:val="00995D74"/>
    <w:rsid w:val="009A03C0"/>
    <w:rsid w:val="009A045F"/>
    <w:rsid w:val="009A156C"/>
    <w:rsid w:val="009B03E6"/>
    <w:rsid w:val="009B212B"/>
    <w:rsid w:val="009B2B16"/>
    <w:rsid w:val="009B2D3A"/>
    <w:rsid w:val="009B47ED"/>
    <w:rsid w:val="009B4AB2"/>
    <w:rsid w:val="009B4DD6"/>
    <w:rsid w:val="009B60EC"/>
    <w:rsid w:val="009C0D8C"/>
    <w:rsid w:val="009C1C7E"/>
    <w:rsid w:val="009C4F0D"/>
    <w:rsid w:val="009C5D82"/>
    <w:rsid w:val="009C776C"/>
    <w:rsid w:val="009D0482"/>
    <w:rsid w:val="009D1226"/>
    <w:rsid w:val="009D3F2D"/>
    <w:rsid w:val="009D4141"/>
    <w:rsid w:val="009D42CE"/>
    <w:rsid w:val="009D4B6F"/>
    <w:rsid w:val="009D5718"/>
    <w:rsid w:val="009D67C2"/>
    <w:rsid w:val="009D7C9D"/>
    <w:rsid w:val="009E069D"/>
    <w:rsid w:val="009E1C9F"/>
    <w:rsid w:val="009E363C"/>
    <w:rsid w:val="009E39AB"/>
    <w:rsid w:val="009E3C8A"/>
    <w:rsid w:val="009E7254"/>
    <w:rsid w:val="009E78A8"/>
    <w:rsid w:val="009F32CA"/>
    <w:rsid w:val="009F3DF3"/>
    <w:rsid w:val="009F476E"/>
    <w:rsid w:val="009F7887"/>
    <w:rsid w:val="00A01B62"/>
    <w:rsid w:val="00A0239C"/>
    <w:rsid w:val="00A027B7"/>
    <w:rsid w:val="00A02D32"/>
    <w:rsid w:val="00A03F2D"/>
    <w:rsid w:val="00A1175C"/>
    <w:rsid w:val="00A12CCA"/>
    <w:rsid w:val="00A1546B"/>
    <w:rsid w:val="00A16394"/>
    <w:rsid w:val="00A20417"/>
    <w:rsid w:val="00A20D22"/>
    <w:rsid w:val="00A21D77"/>
    <w:rsid w:val="00A22758"/>
    <w:rsid w:val="00A22C3C"/>
    <w:rsid w:val="00A237DD"/>
    <w:rsid w:val="00A23E53"/>
    <w:rsid w:val="00A23FBE"/>
    <w:rsid w:val="00A251D9"/>
    <w:rsid w:val="00A26473"/>
    <w:rsid w:val="00A2653A"/>
    <w:rsid w:val="00A26F72"/>
    <w:rsid w:val="00A27F7A"/>
    <w:rsid w:val="00A30D03"/>
    <w:rsid w:val="00A31EA9"/>
    <w:rsid w:val="00A324A6"/>
    <w:rsid w:val="00A32DBA"/>
    <w:rsid w:val="00A34B4C"/>
    <w:rsid w:val="00A35139"/>
    <w:rsid w:val="00A36676"/>
    <w:rsid w:val="00A37A56"/>
    <w:rsid w:val="00A40C1E"/>
    <w:rsid w:val="00A411E7"/>
    <w:rsid w:val="00A41674"/>
    <w:rsid w:val="00A421E4"/>
    <w:rsid w:val="00A4343D"/>
    <w:rsid w:val="00A43565"/>
    <w:rsid w:val="00A459C8"/>
    <w:rsid w:val="00A46FCB"/>
    <w:rsid w:val="00A5051A"/>
    <w:rsid w:val="00A52837"/>
    <w:rsid w:val="00A52A6D"/>
    <w:rsid w:val="00A53BCB"/>
    <w:rsid w:val="00A56C31"/>
    <w:rsid w:val="00A60994"/>
    <w:rsid w:val="00A61AEB"/>
    <w:rsid w:val="00A61CBD"/>
    <w:rsid w:val="00A61F3A"/>
    <w:rsid w:val="00A63062"/>
    <w:rsid w:val="00A63914"/>
    <w:rsid w:val="00A63D5E"/>
    <w:rsid w:val="00A664D8"/>
    <w:rsid w:val="00A66893"/>
    <w:rsid w:val="00A66A80"/>
    <w:rsid w:val="00A67403"/>
    <w:rsid w:val="00A707D5"/>
    <w:rsid w:val="00A714BD"/>
    <w:rsid w:val="00A716B4"/>
    <w:rsid w:val="00A732B5"/>
    <w:rsid w:val="00A74111"/>
    <w:rsid w:val="00A75BA7"/>
    <w:rsid w:val="00A760E5"/>
    <w:rsid w:val="00A7769E"/>
    <w:rsid w:val="00A81375"/>
    <w:rsid w:val="00A8297D"/>
    <w:rsid w:val="00A82C6F"/>
    <w:rsid w:val="00A8445B"/>
    <w:rsid w:val="00A86F4D"/>
    <w:rsid w:val="00A905DF"/>
    <w:rsid w:val="00A912D3"/>
    <w:rsid w:val="00A913F6"/>
    <w:rsid w:val="00A92753"/>
    <w:rsid w:val="00AA0007"/>
    <w:rsid w:val="00AA0288"/>
    <w:rsid w:val="00AA0A75"/>
    <w:rsid w:val="00AA0C7E"/>
    <w:rsid w:val="00AA2961"/>
    <w:rsid w:val="00AA2D38"/>
    <w:rsid w:val="00AA3669"/>
    <w:rsid w:val="00AA63A0"/>
    <w:rsid w:val="00AA68F8"/>
    <w:rsid w:val="00AA6998"/>
    <w:rsid w:val="00AB31E7"/>
    <w:rsid w:val="00AB491C"/>
    <w:rsid w:val="00AB5550"/>
    <w:rsid w:val="00AB6D9E"/>
    <w:rsid w:val="00AB6F9C"/>
    <w:rsid w:val="00AC0172"/>
    <w:rsid w:val="00AC0C1F"/>
    <w:rsid w:val="00AC539F"/>
    <w:rsid w:val="00AC6AD2"/>
    <w:rsid w:val="00AD28DF"/>
    <w:rsid w:val="00AD318B"/>
    <w:rsid w:val="00AD4456"/>
    <w:rsid w:val="00AD5F6C"/>
    <w:rsid w:val="00AD60D4"/>
    <w:rsid w:val="00AD7783"/>
    <w:rsid w:val="00AD7F28"/>
    <w:rsid w:val="00AE0A50"/>
    <w:rsid w:val="00AE2EBC"/>
    <w:rsid w:val="00AE3C65"/>
    <w:rsid w:val="00AE7042"/>
    <w:rsid w:val="00AE731B"/>
    <w:rsid w:val="00AE73BA"/>
    <w:rsid w:val="00AF31BD"/>
    <w:rsid w:val="00AF506C"/>
    <w:rsid w:val="00AF6767"/>
    <w:rsid w:val="00AF7F61"/>
    <w:rsid w:val="00B02446"/>
    <w:rsid w:val="00B02B50"/>
    <w:rsid w:val="00B03466"/>
    <w:rsid w:val="00B0431B"/>
    <w:rsid w:val="00B044DD"/>
    <w:rsid w:val="00B04513"/>
    <w:rsid w:val="00B106B8"/>
    <w:rsid w:val="00B1110D"/>
    <w:rsid w:val="00B11DBE"/>
    <w:rsid w:val="00B130AF"/>
    <w:rsid w:val="00B14ED0"/>
    <w:rsid w:val="00B14FFC"/>
    <w:rsid w:val="00B16AC7"/>
    <w:rsid w:val="00B173E8"/>
    <w:rsid w:val="00B207D1"/>
    <w:rsid w:val="00B2422C"/>
    <w:rsid w:val="00B24680"/>
    <w:rsid w:val="00B24DB8"/>
    <w:rsid w:val="00B24EEF"/>
    <w:rsid w:val="00B256B7"/>
    <w:rsid w:val="00B300CC"/>
    <w:rsid w:val="00B3255D"/>
    <w:rsid w:val="00B32EBC"/>
    <w:rsid w:val="00B33A97"/>
    <w:rsid w:val="00B34D63"/>
    <w:rsid w:val="00B41287"/>
    <w:rsid w:val="00B41BC1"/>
    <w:rsid w:val="00B42F38"/>
    <w:rsid w:val="00B436B7"/>
    <w:rsid w:val="00B445A4"/>
    <w:rsid w:val="00B44EFB"/>
    <w:rsid w:val="00B467AA"/>
    <w:rsid w:val="00B47656"/>
    <w:rsid w:val="00B47B11"/>
    <w:rsid w:val="00B5048A"/>
    <w:rsid w:val="00B50A35"/>
    <w:rsid w:val="00B51095"/>
    <w:rsid w:val="00B5112C"/>
    <w:rsid w:val="00B51196"/>
    <w:rsid w:val="00B51987"/>
    <w:rsid w:val="00B51B40"/>
    <w:rsid w:val="00B52E58"/>
    <w:rsid w:val="00B53B35"/>
    <w:rsid w:val="00B53D05"/>
    <w:rsid w:val="00B543D0"/>
    <w:rsid w:val="00B56173"/>
    <w:rsid w:val="00B56D03"/>
    <w:rsid w:val="00B57DEE"/>
    <w:rsid w:val="00B61584"/>
    <w:rsid w:val="00B6217B"/>
    <w:rsid w:val="00B63B78"/>
    <w:rsid w:val="00B63C23"/>
    <w:rsid w:val="00B63FCE"/>
    <w:rsid w:val="00B658C9"/>
    <w:rsid w:val="00B66088"/>
    <w:rsid w:val="00B67461"/>
    <w:rsid w:val="00B677FE"/>
    <w:rsid w:val="00B71040"/>
    <w:rsid w:val="00B71610"/>
    <w:rsid w:val="00B7360E"/>
    <w:rsid w:val="00B74219"/>
    <w:rsid w:val="00B82211"/>
    <w:rsid w:val="00B83FE5"/>
    <w:rsid w:val="00B8571B"/>
    <w:rsid w:val="00B91138"/>
    <w:rsid w:val="00B94A26"/>
    <w:rsid w:val="00B955D8"/>
    <w:rsid w:val="00B96B8B"/>
    <w:rsid w:val="00B974CF"/>
    <w:rsid w:val="00BA00DF"/>
    <w:rsid w:val="00BA01C3"/>
    <w:rsid w:val="00BA0A1B"/>
    <w:rsid w:val="00BA189C"/>
    <w:rsid w:val="00BA2BF0"/>
    <w:rsid w:val="00BA3EDA"/>
    <w:rsid w:val="00BA4B9B"/>
    <w:rsid w:val="00BA572B"/>
    <w:rsid w:val="00BA5EDE"/>
    <w:rsid w:val="00BA625C"/>
    <w:rsid w:val="00BA6701"/>
    <w:rsid w:val="00BA6931"/>
    <w:rsid w:val="00BA6CAF"/>
    <w:rsid w:val="00BB0E0B"/>
    <w:rsid w:val="00BB10C3"/>
    <w:rsid w:val="00BB1360"/>
    <w:rsid w:val="00BB13C5"/>
    <w:rsid w:val="00BB1ADC"/>
    <w:rsid w:val="00BB22CE"/>
    <w:rsid w:val="00BB22E8"/>
    <w:rsid w:val="00BB4772"/>
    <w:rsid w:val="00BB49A2"/>
    <w:rsid w:val="00BB4AB0"/>
    <w:rsid w:val="00BB557D"/>
    <w:rsid w:val="00BB60DE"/>
    <w:rsid w:val="00BB7183"/>
    <w:rsid w:val="00BC0EA2"/>
    <w:rsid w:val="00BC3866"/>
    <w:rsid w:val="00BC53EC"/>
    <w:rsid w:val="00BC6638"/>
    <w:rsid w:val="00BD49BE"/>
    <w:rsid w:val="00BD5148"/>
    <w:rsid w:val="00BD6099"/>
    <w:rsid w:val="00BD655B"/>
    <w:rsid w:val="00BE0A63"/>
    <w:rsid w:val="00BE3BF6"/>
    <w:rsid w:val="00BE4BDA"/>
    <w:rsid w:val="00BE4FBF"/>
    <w:rsid w:val="00BE7F52"/>
    <w:rsid w:val="00BF20EE"/>
    <w:rsid w:val="00BF48BA"/>
    <w:rsid w:val="00BF52E0"/>
    <w:rsid w:val="00C00078"/>
    <w:rsid w:val="00C01748"/>
    <w:rsid w:val="00C01D31"/>
    <w:rsid w:val="00C03BF2"/>
    <w:rsid w:val="00C04239"/>
    <w:rsid w:val="00C06F43"/>
    <w:rsid w:val="00C11338"/>
    <w:rsid w:val="00C11806"/>
    <w:rsid w:val="00C11F1B"/>
    <w:rsid w:val="00C1268F"/>
    <w:rsid w:val="00C13E98"/>
    <w:rsid w:val="00C13FA0"/>
    <w:rsid w:val="00C153AD"/>
    <w:rsid w:val="00C212B3"/>
    <w:rsid w:val="00C2209D"/>
    <w:rsid w:val="00C24017"/>
    <w:rsid w:val="00C270DC"/>
    <w:rsid w:val="00C3080F"/>
    <w:rsid w:val="00C30A5E"/>
    <w:rsid w:val="00C31D22"/>
    <w:rsid w:val="00C32831"/>
    <w:rsid w:val="00C402C6"/>
    <w:rsid w:val="00C40B29"/>
    <w:rsid w:val="00C413C1"/>
    <w:rsid w:val="00C45A86"/>
    <w:rsid w:val="00C47713"/>
    <w:rsid w:val="00C50D82"/>
    <w:rsid w:val="00C51198"/>
    <w:rsid w:val="00C5329E"/>
    <w:rsid w:val="00C55511"/>
    <w:rsid w:val="00C56CCC"/>
    <w:rsid w:val="00C618F9"/>
    <w:rsid w:val="00C625E0"/>
    <w:rsid w:val="00C644EC"/>
    <w:rsid w:val="00C6499D"/>
    <w:rsid w:val="00C64E5B"/>
    <w:rsid w:val="00C67BF6"/>
    <w:rsid w:val="00C67CEF"/>
    <w:rsid w:val="00C701FC"/>
    <w:rsid w:val="00C72BA5"/>
    <w:rsid w:val="00C72D82"/>
    <w:rsid w:val="00C733B6"/>
    <w:rsid w:val="00C74C2F"/>
    <w:rsid w:val="00C74C72"/>
    <w:rsid w:val="00C76F0F"/>
    <w:rsid w:val="00C77AAF"/>
    <w:rsid w:val="00C8088A"/>
    <w:rsid w:val="00C82408"/>
    <w:rsid w:val="00C82BC4"/>
    <w:rsid w:val="00C835AF"/>
    <w:rsid w:val="00C86737"/>
    <w:rsid w:val="00C86C40"/>
    <w:rsid w:val="00C87562"/>
    <w:rsid w:val="00C87983"/>
    <w:rsid w:val="00C91D65"/>
    <w:rsid w:val="00C92AD3"/>
    <w:rsid w:val="00C949DA"/>
    <w:rsid w:val="00C95224"/>
    <w:rsid w:val="00C97527"/>
    <w:rsid w:val="00CA2852"/>
    <w:rsid w:val="00CA4180"/>
    <w:rsid w:val="00CA5A17"/>
    <w:rsid w:val="00CA5A37"/>
    <w:rsid w:val="00CA5D9A"/>
    <w:rsid w:val="00CA6660"/>
    <w:rsid w:val="00CA68D7"/>
    <w:rsid w:val="00CA6E5C"/>
    <w:rsid w:val="00CA72CC"/>
    <w:rsid w:val="00CA7697"/>
    <w:rsid w:val="00CA7BF0"/>
    <w:rsid w:val="00CA7DDE"/>
    <w:rsid w:val="00CB0136"/>
    <w:rsid w:val="00CB0B63"/>
    <w:rsid w:val="00CB1A31"/>
    <w:rsid w:val="00CB3005"/>
    <w:rsid w:val="00CB3AD9"/>
    <w:rsid w:val="00CB3E3A"/>
    <w:rsid w:val="00CB7218"/>
    <w:rsid w:val="00CC17B2"/>
    <w:rsid w:val="00CC2293"/>
    <w:rsid w:val="00CC2E90"/>
    <w:rsid w:val="00CC4057"/>
    <w:rsid w:val="00CC43E4"/>
    <w:rsid w:val="00CC649D"/>
    <w:rsid w:val="00CC68B5"/>
    <w:rsid w:val="00CD0CBE"/>
    <w:rsid w:val="00CD106E"/>
    <w:rsid w:val="00CD3750"/>
    <w:rsid w:val="00CD465F"/>
    <w:rsid w:val="00CD643F"/>
    <w:rsid w:val="00CD6A0F"/>
    <w:rsid w:val="00CD6C4E"/>
    <w:rsid w:val="00CD7390"/>
    <w:rsid w:val="00CE05F2"/>
    <w:rsid w:val="00CE25D8"/>
    <w:rsid w:val="00CF0C9D"/>
    <w:rsid w:val="00CF15B9"/>
    <w:rsid w:val="00CF1C9D"/>
    <w:rsid w:val="00CF38F2"/>
    <w:rsid w:val="00CF3B42"/>
    <w:rsid w:val="00CF46C0"/>
    <w:rsid w:val="00CF5A45"/>
    <w:rsid w:val="00CF74A7"/>
    <w:rsid w:val="00D02961"/>
    <w:rsid w:val="00D02B6F"/>
    <w:rsid w:val="00D03729"/>
    <w:rsid w:val="00D03BB7"/>
    <w:rsid w:val="00D05A75"/>
    <w:rsid w:val="00D07FE3"/>
    <w:rsid w:val="00D133A3"/>
    <w:rsid w:val="00D14107"/>
    <w:rsid w:val="00D14E95"/>
    <w:rsid w:val="00D16FE4"/>
    <w:rsid w:val="00D2064C"/>
    <w:rsid w:val="00D208EB"/>
    <w:rsid w:val="00D21B75"/>
    <w:rsid w:val="00D24A29"/>
    <w:rsid w:val="00D25832"/>
    <w:rsid w:val="00D27923"/>
    <w:rsid w:val="00D27E75"/>
    <w:rsid w:val="00D30E52"/>
    <w:rsid w:val="00D32104"/>
    <w:rsid w:val="00D3310F"/>
    <w:rsid w:val="00D37B3E"/>
    <w:rsid w:val="00D4018E"/>
    <w:rsid w:val="00D4104C"/>
    <w:rsid w:val="00D4119B"/>
    <w:rsid w:val="00D41D6C"/>
    <w:rsid w:val="00D42C78"/>
    <w:rsid w:val="00D43546"/>
    <w:rsid w:val="00D43D05"/>
    <w:rsid w:val="00D44127"/>
    <w:rsid w:val="00D448BA"/>
    <w:rsid w:val="00D451DA"/>
    <w:rsid w:val="00D47B7A"/>
    <w:rsid w:val="00D504A9"/>
    <w:rsid w:val="00D51362"/>
    <w:rsid w:val="00D51CCC"/>
    <w:rsid w:val="00D5297E"/>
    <w:rsid w:val="00D5553D"/>
    <w:rsid w:val="00D557FC"/>
    <w:rsid w:val="00D56F00"/>
    <w:rsid w:val="00D574DA"/>
    <w:rsid w:val="00D62F87"/>
    <w:rsid w:val="00D63653"/>
    <w:rsid w:val="00D63EF9"/>
    <w:rsid w:val="00D6420A"/>
    <w:rsid w:val="00D67D00"/>
    <w:rsid w:val="00D702CC"/>
    <w:rsid w:val="00D713CD"/>
    <w:rsid w:val="00D71638"/>
    <w:rsid w:val="00D71E76"/>
    <w:rsid w:val="00D72041"/>
    <w:rsid w:val="00D72953"/>
    <w:rsid w:val="00D7457C"/>
    <w:rsid w:val="00D752F3"/>
    <w:rsid w:val="00D778FA"/>
    <w:rsid w:val="00D8070E"/>
    <w:rsid w:val="00D82574"/>
    <w:rsid w:val="00D82925"/>
    <w:rsid w:val="00D83F6A"/>
    <w:rsid w:val="00D843FF"/>
    <w:rsid w:val="00D8463F"/>
    <w:rsid w:val="00D91DDF"/>
    <w:rsid w:val="00D92FAF"/>
    <w:rsid w:val="00D93DAA"/>
    <w:rsid w:val="00D9410B"/>
    <w:rsid w:val="00D96EEE"/>
    <w:rsid w:val="00D97BED"/>
    <w:rsid w:val="00DA258A"/>
    <w:rsid w:val="00DA2A37"/>
    <w:rsid w:val="00DA6741"/>
    <w:rsid w:val="00DA6907"/>
    <w:rsid w:val="00DA6FA6"/>
    <w:rsid w:val="00DA775C"/>
    <w:rsid w:val="00DB0E15"/>
    <w:rsid w:val="00DB2048"/>
    <w:rsid w:val="00DB4164"/>
    <w:rsid w:val="00DB4315"/>
    <w:rsid w:val="00DB748B"/>
    <w:rsid w:val="00DC15C6"/>
    <w:rsid w:val="00DC2811"/>
    <w:rsid w:val="00DC47F7"/>
    <w:rsid w:val="00DC73A6"/>
    <w:rsid w:val="00DD4B6D"/>
    <w:rsid w:val="00DD57D3"/>
    <w:rsid w:val="00DD58EC"/>
    <w:rsid w:val="00DD6DA3"/>
    <w:rsid w:val="00DD700A"/>
    <w:rsid w:val="00DD7766"/>
    <w:rsid w:val="00DE07A3"/>
    <w:rsid w:val="00DE0FB4"/>
    <w:rsid w:val="00DE24ED"/>
    <w:rsid w:val="00DE36D3"/>
    <w:rsid w:val="00DE3E47"/>
    <w:rsid w:val="00DE4D45"/>
    <w:rsid w:val="00DE55E5"/>
    <w:rsid w:val="00DE563A"/>
    <w:rsid w:val="00DE6FE5"/>
    <w:rsid w:val="00DE6FE8"/>
    <w:rsid w:val="00DE7422"/>
    <w:rsid w:val="00DE787A"/>
    <w:rsid w:val="00DE7BBA"/>
    <w:rsid w:val="00DF02A6"/>
    <w:rsid w:val="00DF093D"/>
    <w:rsid w:val="00DF2E5A"/>
    <w:rsid w:val="00DF2E8E"/>
    <w:rsid w:val="00DF52ED"/>
    <w:rsid w:val="00DF597C"/>
    <w:rsid w:val="00DF6519"/>
    <w:rsid w:val="00DF6BA6"/>
    <w:rsid w:val="00E017F5"/>
    <w:rsid w:val="00E01876"/>
    <w:rsid w:val="00E02CDB"/>
    <w:rsid w:val="00E0448E"/>
    <w:rsid w:val="00E05661"/>
    <w:rsid w:val="00E058F2"/>
    <w:rsid w:val="00E05A11"/>
    <w:rsid w:val="00E079D7"/>
    <w:rsid w:val="00E07A02"/>
    <w:rsid w:val="00E14669"/>
    <w:rsid w:val="00E14718"/>
    <w:rsid w:val="00E15D27"/>
    <w:rsid w:val="00E1702A"/>
    <w:rsid w:val="00E17B11"/>
    <w:rsid w:val="00E17F73"/>
    <w:rsid w:val="00E2420F"/>
    <w:rsid w:val="00E25ACF"/>
    <w:rsid w:val="00E25DDD"/>
    <w:rsid w:val="00E26CA7"/>
    <w:rsid w:val="00E277A1"/>
    <w:rsid w:val="00E306C6"/>
    <w:rsid w:val="00E30BA3"/>
    <w:rsid w:val="00E31F37"/>
    <w:rsid w:val="00E33A2D"/>
    <w:rsid w:val="00E344FF"/>
    <w:rsid w:val="00E35DD1"/>
    <w:rsid w:val="00E36237"/>
    <w:rsid w:val="00E3698C"/>
    <w:rsid w:val="00E40CD6"/>
    <w:rsid w:val="00E42E61"/>
    <w:rsid w:val="00E438ED"/>
    <w:rsid w:val="00E45B3E"/>
    <w:rsid w:val="00E501E3"/>
    <w:rsid w:val="00E51479"/>
    <w:rsid w:val="00E52122"/>
    <w:rsid w:val="00E5295D"/>
    <w:rsid w:val="00E52AB7"/>
    <w:rsid w:val="00E5384E"/>
    <w:rsid w:val="00E540C3"/>
    <w:rsid w:val="00E54E5D"/>
    <w:rsid w:val="00E56E50"/>
    <w:rsid w:val="00E60065"/>
    <w:rsid w:val="00E614C7"/>
    <w:rsid w:val="00E61CD0"/>
    <w:rsid w:val="00E61ED6"/>
    <w:rsid w:val="00E630D8"/>
    <w:rsid w:val="00E635C8"/>
    <w:rsid w:val="00E64404"/>
    <w:rsid w:val="00E6770F"/>
    <w:rsid w:val="00E708D8"/>
    <w:rsid w:val="00E710F7"/>
    <w:rsid w:val="00E730AB"/>
    <w:rsid w:val="00E73166"/>
    <w:rsid w:val="00E73A49"/>
    <w:rsid w:val="00E8036A"/>
    <w:rsid w:val="00E81627"/>
    <w:rsid w:val="00E81637"/>
    <w:rsid w:val="00E8228F"/>
    <w:rsid w:val="00E8297D"/>
    <w:rsid w:val="00E831FC"/>
    <w:rsid w:val="00E83BBF"/>
    <w:rsid w:val="00E86C54"/>
    <w:rsid w:val="00E876FB"/>
    <w:rsid w:val="00E91F03"/>
    <w:rsid w:val="00E92086"/>
    <w:rsid w:val="00E94E64"/>
    <w:rsid w:val="00E952A0"/>
    <w:rsid w:val="00E9732D"/>
    <w:rsid w:val="00E976AF"/>
    <w:rsid w:val="00EA1465"/>
    <w:rsid w:val="00EA2E44"/>
    <w:rsid w:val="00EA2F9C"/>
    <w:rsid w:val="00EA3474"/>
    <w:rsid w:val="00EA4AD0"/>
    <w:rsid w:val="00EA5C17"/>
    <w:rsid w:val="00EA65BC"/>
    <w:rsid w:val="00EA748C"/>
    <w:rsid w:val="00EB01C9"/>
    <w:rsid w:val="00EB04B7"/>
    <w:rsid w:val="00EB5DC7"/>
    <w:rsid w:val="00EB6E27"/>
    <w:rsid w:val="00EC13B0"/>
    <w:rsid w:val="00EC30A8"/>
    <w:rsid w:val="00EC3F55"/>
    <w:rsid w:val="00EC4808"/>
    <w:rsid w:val="00EC5F9B"/>
    <w:rsid w:val="00EC7685"/>
    <w:rsid w:val="00EC7D16"/>
    <w:rsid w:val="00ED0366"/>
    <w:rsid w:val="00ED3D08"/>
    <w:rsid w:val="00ED428D"/>
    <w:rsid w:val="00ED4B56"/>
    <w:rsid w:val="00ED4D4A"/>
    <w:rsid w:val="00ED64CB"/>
    <w:rsid w:val="00ED6ACC"/>
    <w:rsid w:val="00ED6D70"/>
    <w:rsid w:val="00EE09A7"/>
    <w:rsid w:val="00EE108C"/>
    <w:rsid w:val="00EE48F9"/>
    <w:rsid w:val="00EE49CD"/>
    <w:rsid w:val="00EE5A99"/>
    <w:rsid w:val="00EE62B3"/>
    <w:rsid w:val="00EE7852"/>
    <w:rsid w:val="00EF0A02"/>
    <w:rsid w:val="00EF0E3D"/>
    <w:rsid w:val="00EF1289"/>
    <w:rsid w:val="00EF16B1"/>
    <w:rsid w:val="00EF1B55"/>
    <w:rsid w:val="00EF2A46"/>
    <w:rsid w:val="00EF3DE7"/>
    <w:rsid w:val="00EF49E2"/>
    <w:rsid w:val="00EF6520"/>
    <w:rsid w:val="00EF72D0"/>
    <w:rsid w:val="00F002E6"/>
    <w:rsid w:val="00F004A3"/>
    <w:rsid w:val="00F0286D"/>
    <w:rsid w:val="00F03B32"/>
    <w:rsid w:val="00F04CA2"/>
    <w:rsid w:val="00F07420"/>
    <w:rsid w:val="00F11CF3"/>
    <w:rsid w:val="00F16EA2"/>
    <w:rsid w:val="00F17D66"/>
    <w:rsid w:val="00F2036E"/>
    <w:rsid w:val="00F20D28"/>
    <w:rsid w:val="00F2170E"/>
    <w:rsid w:val="00F21BD7"/>
    <w:rsid w:val="00F22D01"/>
    <w:rsid w:val="00F2335F"/>
    <w:rsid w:val="00F26584"/>
    <w:rsid w:val="00F30876"/>
    <w:rsid w:val="00F31004"/>
    <w:rsid w:val="00F311C6"/>
    <w:rsid w:val="00F31CCD"/>
    <w:rsid w:val="00F35316"/>
    <w:rsid w:val="00F3670B"/>
    <w:rsid w:val="00F367C2"/>
    <w:rsid w:val="00F3717E"/>
    <w:rsid w:val="00F3731B"/>
    <w:rsid w:val="00F37865"/>
    <w:rsid w:val="00F40183"/>
    <w:rsid w:val="00F407FD"/>
    <w:rsid w:val="00F41F48"/>
    <w:rsid w:val="00F42E9F"/>
    <w:rsid w:val="00F441A8"/>
    <w:rsid w:val="00F4543A"/>
    <w:rsid w:val="00F4615E"/>
    <w:rsid w:val="00F47466"/>
    <w:rsid w:val="00F5012F"/>
    <w:rsid w:val="00F5047E"/>
    <w:rsid w:val="00F509D2"/>
    <w:rsid w:val="00F52169"/>
    <w:rsid w:val="00F5250C"/>
    <w:rsid w:val="00F53CAD"/>
    <w:rsid w:val="00F55948"/>
    <w:rsid w:val="00F61834"/>
    <w:rsid w:val="00F66819"/>
    <w:rsid w:val="00F6759B"/>
    <w:rsid w:val="00F70898"/>
    <w:rsid w:val="00F70BAD"/>
    <w:rsid w:val="00F71EA6"/>
    <w:rsid w:val="00F750FC"/>
    <w:rsid w:val="00F7520C"/>
    <w:rsid w:val="00F75756"/>
    <w:rsid w:val="00F75B16"/>
    <w:rsid w:val="00F75D09"/>
    <w:rsid w:val="00F76544"/>
    <w:rsid w:val="00F80C68"/>
    <w:rsid w:val="00F80F9F"/>
    <w:rsid w:val="00F8295B"/>
    <w:rsid w:val="00F83D1F"/>
    <w:rsid w:val="00F8509C"/>
    <w:rsid w:val="00F854B9"/>
    <w:rsid w:val="00F86209"/>
    <w:rsid w:val="00F86DA4"/>
    <w:rsid w:val="00F90199"/>
    <w:rsid w:val="00F915E2"/>
    <w:rsid w:val="00F92D1A"/>
    <w:rsid w:val="00F93455"/>
    <w:rsid w:val="00F934C9"/>
    <w:rsid w:val="00F935EA"/>
    <w:rsid w:val="00F93F21"/>
    <w:rsid w:val="00F94B81"/>
    <w:rsid w:val="00F94E09"/>
    <w:rsid w:val="00F955D1"/>
    <w:rsid w:val="00F9738A"/>
    <w:rsid w:val="00F9793B"/>
    <w:rsid w:val="00FA04D7"/>
    <w:rsid w:val="00FA0BB6"/>
    <w:rsid w:val="00FA0C65"/>
    <w:rsid w:val="00FA13E5"/>
    <w:rsid w:val="00FA192E"/>
    <w:rsid w:val="00FA2383"/>
    <w:rsid w:val="00FA2FA7"/>
    <w:rsid w:val="00FA661F"/>
    <w:rsid w:val="00FA76CB"/>
    <w:rsid w:val="00FB203E"/>
    <w:rsid w:val="00FB27FA"/>
    <w:rsid w:val="00FB2FCD"/>
    <w:rsid w:val="00FC2733"/>
    <w:rsid w:val="00FC2D5B"/>
    <w:rsid w:val="00FC348B"/>
    <w:rsid w:val="00FC59ED"/>
    <w:rsid w:val="00FC68D8"/>
    <w:rsid w:val="00FD07CA"/>
    <w:rsid w:val="00FD38BC"/>
    <w:rsid w:val="00FD3EE9"/>
    <w:rsid w:val="00FD42EE"/>
    <w:rsid w:val="00FD69F1"/>
    <w:rsid w:val="00FD6BAD"/>
    <w:rsid w:val="00FD6BBF"/>
    <w:rsid w:val="00FD6EB5"/>
    <w:rsid w:val="00FE0246"/>
    <w:rsid w:val="00FE0D5C"/>
    <w:rsid w:val="00FE1824"/>
    <w:rsid w:val="00FE1CED"/>
    <w:rsid w:val="00FE30D8"/>
    <w:rsid w:val="00FE5D9F"/>
    <w:rsid w:val="00FE6484"/>
    <w:rsid w:val="00FE69CC"/>
    <w:rsid w:val="00FE74E3"/>
    <w:rsid w:val="00FF1DC9"/>
    <w:rsid w:val="00FF4D0C"/>
    <w:rsid w:val="00FF67A1"/>
    <w:rsid w:val="00FF747D"/>
    <w:rsid w:val="00FF7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nhideWhenUsed="0"/>
    <w:lsdException w:name="footer" w:unhideWhenUsed="0"/>
    <w:lsdException w:name="caption" w:uiPriority="35" w:qFormat="1"/>
    <w:lsdException w:name="footnote reference" w:uiPriority="0" w:unhideWhenUsed="0"/>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46"/>
    <w:pPr>
      <w:jc w:val="both"/>
    </w:pPr>
    <w:rPr>
      <w:sz w:val="24"/>
      <w:szCs w:val="24"/>
    </w:rPr>
  </w:style>
  <w:style w:type="paragraph" w:styleId="Heading1">
    <w:name w:val="heading 1"/>
    <w:basedOn w:val="Normal"/>
    <w:next w:val="Normal"/>
    <w:link w:val="Heading1Char"/>
    <w:uiPriority w:val="99"/>
    <w:qFormat/>
    <w:rsid w:val="000D5746"/>
    <w:pPr>
      <w:spacing w:line="480" w:lineRule="auto"/>
      <w:jc w:val="center"/>
      <w:outlineLvl w:val="0"/>
    </w:pPr>
    <w:rPr>
      <w:rFonts w:ascii="Times New Roman Bold" w:hAnsi="Times New Roman Bold"/>
      <w:b/>
      <w:bCs/>
      <w:cap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D5746"/>
    <w:rPr>
      <w:rFonts w:ascii="Times New Roman Bold" w:hAnsi="Times New Roman Bold"/>
      <w:b/>
      <w:bCs/>
      <w:cap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uiPriority w:val="99"/>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683134"/>
    <w:rPr>
      <w:sz w:val="16"/>
      <w:szCs w:val="16"/>
    </w:rPr>
  </w:style>
  <w:style w:type="paragraph" w:styleId="CommentText">
    <w:name w:val="annotation text"/>
    <w:basedOn w:val="Normal"/>
    <w:link w:val="CommentTextChar"/>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uiPriority w:val="99"/>
    <w:rsid w:val="00683134"/>
    <w:pPr>
      <w:tabs>
        <w:tab w:val="center" w:pos="4320"/>
        <w:tab w:val="right" w:pos="8640"/>
      </w:tabs>
    </w:pPr>
  </w:style>
  <w:style w:type="character" w:customStyle="1" w:styleId="FooterChar">
    <w:name w:val="Footer Char"/>
    <w:basedOn w:val="DefaultParagraphFont"/>
    <w:link w:val="Footer"/>
    <w:uiPriority w:val="99"/>
    <w:semiHidden/>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semiHidden/>
    <w:rsid w:val="004366D3"/>
    <w:rPr>
      <w:sz w:val="20"/>
      <w:szCs w:val="20"/>
    </w:rPr>
  </w:style>
  <w:style w:type="character" w:styleId="FootnoteReference">
    <w:name w:val="footnote reference"/>
    <w:basedOn w:val="DefaultParagraphFon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99"/>
    <w:rsid w:val="00B044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uiPriority w:val="34"/>
    <w:qFormat/>
    <w:rsid w:val="00077537"/>
    <w:pPr>
      <w:ind w:left="720"/>
      <w:contextualSpacing/>
    </w:pPr>
  </w:style>
  <w:style w:type="paragraph" w:styleId="TOCHeading">
    <w:name w:val="TOC Heading"/>
    <w:basedOn w:val="Heading1"/>
    <w:next w:val="Normal"/>
    <w:uiPriority w:val="39"/>
    <w:semiHidden/>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8175B2"/>
    <w:pPr>
      <w:suppressLineNumbers/>
      <w:tabs>
        <w:tab w:val="right" w:leader="dot" w:pos="8990"/>
      </w:tabs>
      <w:spacing w:line="360" w:lineRule="auto"/>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 w:type="paragraph" w:styleId="NoSpacing">
    <w:name w:val="No Spacing"/>
    <w:uiPriority w:val="1"/>
    <w:qFormat/>
    <w:rsid w:val="0016683D"/>
    <w:rPr>
      <w:rFonts w:asciiTheme="minorHAnsi" w:eastAsiaTheme="minorEastAsia" w:hAnsiTheme="minorHAnsi" w:cstheme="minorBidi"/>
    </w:rPr>
  </w:style>
  <w:style w:type="paragraph" w:customStyle="1" w:styleId="AutoNumBodyCharCharCharChar">
    <w:name w:val="AutoNum Body Char Char Char Char"/>
    <w:basedOn w:val="Normal"/>
    <w:link w:val="AutoNumBodyCharCharCharCharChar"/>
    <w:autoRedefine/>
    <w:qFormat/>
    <w:rsid w:val="00871FA5"/>
    <w:pPr>
      <w:keepLines/>
      <w:widowControl w:val="0"/>
      <w:numPr>
        <w:numId w:val="22"/>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sid w:val="00871FA5"/>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nhideWhenUsed="0"/>
    <w:lsdException w:name="footer" w:unhideWhenUsed="0"/>
    <w:lsdException w:name="caption" w:uiPriority="35" w:qFormat="1"/>
    <w:lsdException w:name="footnote reference" w:uiPriority="0" w:unhideWhenUsed="0"/>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46"/>
    <w:pPr>
      <w:jc w:val="both"/>
    </w:pPr>
    <w:rPr>
      <w:sz w:val="24"/>
      <w:szCs w:val="24"/>
    </w:rPr>
  </w:style>
  <w:style w:type="paragraph" w:styleId="Heading1">
    <w:name w:val="heading 1"/>
    <w:basedOn w:val="Normal"/>
    <w:next w:val="Normal"/>
    <w:link w:val="Heading1Char"/>
    <w:uiPriority w:val="99"/>
    <w:qFormat/>
    <w:rsid w:val="000D5746"/>
    <w:pPr>
      <w:spacing w:line="480" w:lineRule="auto"/>
      <w:jc w:val="center"/>
      <w:outlineLvl w:val="0"/>
    </w:pPr>
    <w:rPr>
      <w:rFonts w:ascii="Times New Roman Bold" w:hAnsi="Times New Roman Bold"/>
      <w:b/>
      <w:bCs/>
      <w:cap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D5746"/>
    <w:rPr>
      <w:rFonts w:ascii="Times New Roman Bold" w:hAnsi="Times New Roman Bold"/>
      <w:b/>
      <w:bCs/>
      <w:cap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uiPriority w:val="99"/>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683134"/>
    <w:rPr>
      <w:sz w:val="16"/>
      <w:szCs w:val="16"/>
    </w:rPr>
  </w:style>
  <w:style w:type="paragraph" w:styleId="CommentText">
    <w:name w:val="annotation text"/>
    <w:basedOn w:val="Normal"/>
    <w:link w:val="CommentTextChar"/>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uiPriority w:val="99"/>
    <w:rsid w:val="00683134"/>
    <w:pPr>
      <w:tabs>
        <w:tab w:val="center" w:pos="4320"/>
        <w:tab w:val="right" w:pos="8640"/>
      </w:tabs>
    </w:pPr>
  </w:style>
  <w:style w:type="character" w:customStyle="1" w:styleId="FooterChar">
    <w:name w:val="Footer Char"/>
    <w:basedOn w:val="DefaultParagraphFont"/>
    <w:link w:val="Footer"/>
    <w:uiPriority w:val="99"/>
    <w:semiHidden/>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semiHidden/>
    <w:rsid w:val="004366D3"/>
    <w:rPr>
      <w:sz w:val="20"/>
      <w:szCs w:val="20"/>
    </w:rPr>
  </w:style>
  <w:style w:type="character" w:styleId="FootnoteReference">
    <w:name w:val="footnote reference"/>
    <w:basedOn w:val="DefaultParagraphFon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99"/>
    <w:rsid w:val="00B044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uiPriority w:val="34"/>
    <w:qFormat/>
    <w:rsid w:val="00077537"/>
    <w:pPr>
      <w:ind w:left="720"/>
      <w:contextualSpacing/>
    </w:pPr>
  </w:style>
  <w:style w:type="paragraph" w:styleId="TOCHeading">
    <w:name w:val="TOC Heading"/>
    <w:basedOn w:val="Heading1"/>
    <w:next w:val="Normal"/>
    <w:uiPriority w:val="39"/>
    <w:semiHidden/>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8175B2"/>
    <w:pPr>
      <w:suppressLineNumbers/>
      <w:tabs>
        <w:tab w:val="right" w:leader="dot" w:pos="8990"/>
      </w:tabs>
      <w:spacing w:line="360" w:lineRule="auto"/>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 w:type="paragraph" w:styleId="NoSpacing">
    <w:name w:val="No Spacing"/>
    <w:uiPriority w:val="1"/>
    <w:qFormat/>
    <w:rsid w:val="0016683D"/>
    <w:rPr>
      <w:rFonts w:asciiTheme="minorHAnsi" w:eastAsiaTheme="minorEastAsia" w:hAnsiTheme="minorHAnsi" w:cstheme="minorBidi"/>
    </w:rPr>
  </w:style>
  <w:style w:type="paragraph" w:customStyle="1" w:styleId="AutoNumBodyCharCharCharChar">
    <w:name w:val="AutoNum Body Char Char Char Char"/>
    <w:basedOn w:val="Normal"/>
    <w:link w:val="AutoNumBodyCharCharCharCharChar"/>
    <w:autoRedefine/>
    <w:qFormat/>
    <w:rsid w:val="00871FA5"/>
    <w:pPr>
      <w:keepLines/>
      <w:widowControl w:val="0"/>
      <w:numPr>
        <w:numId w:val="22"/>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sid w:val="00871FA5"/>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54227574">
      <w:bodyDiv w:val="1"/>
      <w:marLeft w:val="0"/>
      <w:marRight w:val="0"/>
      <w:marTop w:val="0"/>
      <w:marBottom w:val="0"/>
      <w:divBdr>
        <w:top w:val="none" w:sz="0" w:space="0" w:color="auto"/>
        <w:left w:val="none" w:sz="0" w:space="0" w:color="auto"/>
        <w:bottom w:val="none" w:sz="0" w:space="0" w:color="auto"/>
        <w:right w:val="none" w:sz="0" w:space="0" w:color="auto"/>
      </w:divBdr>
    </w:div>
    <w:div w:id="1514144330">
      <w:bodyDiv w:val="1"/>
      <w:marLeft w:val="0"/>
      <w:marRight w:val="0"/>
      <w:marTop w:val="0"/>
      <w:marBottom w:val="0"/>
      <w:divBdr>
        <w:top w:val="none" w:sz="0" w:space="0" w:color="auto"/>
        <w:left w:val="none" w:sz="0" w:space="0" w:color="auto"/>
        <w:bottom w:val="none" w:sz="0" w:space="0" w:color="auto"/>
        <w:right w:val="none" w:sz="0" w:space="0" w:color="auto"/>
      </w:divBdr>
    </w:div>
    <w:div w:id="2098548532">
      <w:marLeft w:val="0"/>
      <w:marRight w:val="0"/>
      <w:marTop w:val="0"/>
      <w:marBottom w:val="0"/>
      <w:divBdr>
        <w:top w:val="none" w:sz="0" w:space="0" w:color="auto"/>
        <w:left w:val="none" w:sz="0" w:space="0" w:color="auto"/>
        <w:bottom w:val="none" w:sz="0" w:space="0" w:color="auto"/>
        <w:right w:val="none" w:sz="0" w:space="0" w:color="auto"/>
      </w:divBdr>
    </w:div>
    <w:div w:id="2098548533">
      <w:marLeft w:val="0"/>
      <w:marRight w:val="0"/>
      <w:marTop w:val="0"/>
      <w:marBottom w:val="0"/>
      <w:divBdr>
        <w:top w:val="none" w:sz="0" w:space="0" w:color="auto"/>
        <w:left w:val="none" w:sz="0" w:space="0" w:color="auto"/>
        <w:bottom w:val="none" w:sz="0" w:space="0" w:color="auto"/>
        <w:right w:val="none" w:sz="0" w:space="0" w:color="auto"/>
      </w:divBdr>
      <w:divsChild>
        <w:div w:id="2098548531">
          <w:marLeft w:val="0"/>
          <w:marRight w:val="0"/>
          <w:marTop w:val="0"/>
          <w:marBottom w:val="0"/>
          <w:divBdr>
            <w:top w:val="none" w:sz="0" w:space="0" w:color="auto"/>
            <w:left w:val="none" w:sz="0" w:space="0" w:color="auto"/>
            <w:bottom w:val="none" w:sz="0" w:space="0" w:color="auto"/>
            <w:right w:val="none" w:sz="0" w:space="0" w:color="auto"/>
          </w:divBdr>
        </w:div>
      </w:divsChild>
    </w:div>
    <w:div w:id="2098548534">
      <w:marLeft w:val="0"/>
      <w:marRight w:val="0"/>
      <w:marTop w:val="0"/>
      <w:marBottom w:val="0"/>
      <w:divBdr>
        <w:top w:val="none" w:sz="0" w:space="0" w:color="auto"/>
        <w:left w:val="none" w:sz="0" w:space="0" w:color="auto"/>
        <w:bottom w:val="none" w:sz="0" w:space="0" w:color="auto"/>
        <w:right w:val="none" w:sz="0" w:space="0" w:color="auto"/>
      </w:divBdr>
    </w:div>
    <w:div w:id="2098548535">
      <w:marLeft w:val="0"/>
      <w:marRight w:val="0"/>
      <w:marTop w:val="0"/>
      <w:marBottom w:val="0"/>
      <w:divBdr>
        <w:top w:val="none" w:sz="0" w:space="0" w:color="auto"/>
        <w:left w:val="none" w:sz="0" w:space="0" w:color="auto"/>
        <w:bottom w:val="none" w:sz="0" w:space="0" w:color="auto"/>
        <w:right w:val="none" w:sz="0" w:space="0" w:color="auto"/>
      </w:divBdr>
      <w:divsChild>
        <w:div w:id="2098548530">
          <w:marLeft w:val="0"/>
          <w:marRight w:val="0"/>
          <w:marTop w:val="0"/>
          <w:marBottom w:val="0"/>
          <w:divBdr>
            <w:top w:val="none" w:sz="0" w:space="0" w:color="auto"/>
            <w:left w:val="none" w:sz="0" w:space="0" w:color="auto"/>
            <w:bottom w:val="none" w:sz="0" w:space="0" w:color="auto"/>
            <w:right w:val="none" w:sz="0" w:space="0" w:color="auto"/>
          </w:divBdr>
        </w:div>
      </w:divsChild>
    </w:div>
    <w:div w:id="2098548536">
      <w:marLeft w:val="0"/>
      <w:marRight w:val="0"/>
      <w:marTop w:val="0"/>
      <w:marBottom w:val="0"/>
      <w:divBdr>
        <w:top w:val="none" w:sz="0" w:space="0" w:color="auto"/>
        <w:left w:val="none" w:sz="0" w:space="0" w:color="auto"/>
        <w:bottom w:val="none" w:sz="0" w:space="0" w:color="auto"/>
        <w:right w:val="none" w:sz="0" w:space="0" w:color="auto"/>
      </w:divBdr>
    </w:div>
    <w:div w:id="2098548537">
      <w:marLeft w:val="0"/>
      <w:marRight w:val="0"/>
      <w:marTop w:val="0"/>
      <w:marBottom w:val="0"/>
      <w:divBdr>
        <w:top w:val="none" w:sz="0" w:space="0" w:color="auto"/>
        <w:left w:val="none" w:sz="0" w:space="0" w:color="auto"/>
        <w:bottom w:val="none" w:sz="0" w:space="0" w:color="auto"/>
        <w:right w:val="none" w:sz="0" w:space="0" w:color="auto"/>
      </w:divBdr>
    </w:div>
    <w:div w:id="2098548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D1BAB-63DE-45E6-8061-9B1D82FB06BF}"/>
</file>

<file path=customXml/itemProps2.xml><?xml version="1.0" encoding="utf-8"?>
<ds:datastoreItem xmlns:ds="http://schemas.openxmlformats.org/officeDocument/2006/customXml" ds:itemID="{486F0CF3-AA54-4443-9D91-CD143055D297}"/>
</file>

<file path=customXml/itemProps3.xml><?xml version="1.0" encoding="utf-8"?>
<ds:datastoreItem xmlns:ds="http://schemas.openxmlformats.org/officeDocument/2006/customXml" ds:itemID="{EEA9DDD5-8E21-4535-8F90-C3AA9CE8081C}"/>
</file>

<file path=customXml/itemProps4.xml><?xml version="1.0" encoding="utf-8"?>
<ds:datastoreItem xmlns:ds="http://schemas.openxmlformats.org/officeDocument/2006/customXml" ds:itemID="{B9EEDACD-84EA-4A50-8687-C6A59012D7BC}"/>
</file>

<file path=docProps/app.xml><?xml version="1.0" encoding="utf-8"?>
<Properties xmlns="http://schemas.openxmlformats.org/officeDocument/2006/extended-properties" xmlns:vt="http://schemas.openxmlformats.org/officeDocument/2006/docPropsVTypes">
  <Template>Normal.dotm</Template>
  <TotalTime>0</TotalTime>
  <Pages>19</Pages>
  <Words>3853</Words>
  <Characters>21940</Characters>
  <Application>Microsoft Office Word</Application>
  <DocSecurity>0</DocSecurity>
  <Lines>182</Lines>
  <Paragraphs>51</Paragraphs>
  <ScaleCrop>false</ScaleCrop>
  <Company/>
  <LinksUpToDate>false</LinksUpToDate>
  <CharactersWithSpaces>25742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2013-07-31T19:30:00Z</dcterms:created>
  <dcterms:modified xsi:type="dcterms:W3CDTF">2013-07-31T19:30:00Z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