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3.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2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CB2F" w14:textId="77777777" w:rsidR="00286887" w:rsidRDefault="00286887" w:rsidP="00B87363">
      <w:pPr>
        <w:spacing w:line="480" w:lineRule="auto"/>
        <w:rPr>
          <w:rFonts w:ascii="Times New Roman" w:hAnsi="Times New Roman" w:cs="Times New Roman"/>
          <w:sz w:val="24"/>
          <w:szCs w:val="24"/>
        </w:rPr>
      </w:pPr>
      <w:bookmarkStart w:id="0" w:name="_GoBack"/>
      <w:bookmarkEnd w:id="0"/>
    </w:p>
    <w:p w14:paraId="2451CB30" w14:textId="77777777" w:rsidR="00286887" w:rsidRDefault="00286887" w:rsidP="00B87363">
      <w:pPr>
        <w:spacing w:line="480" w:lineRule="auto"/>
        <w:rPr>
          <w:rFonts w:ascii="Times New Roman" w:hAnsi="Times New Roman" w:cs="Times New Roman"/>
          <w:sz w:val="24"/>
          <w:szCs w:val="24"/>
        </w:rPr>
      </w:pPr>
    </w:p>
    <w:sdt>
      <w:sdtPr>
        <w:rPr>
          <w:rFonts w:ascii="Times New Roman" w:hAnsi="Times New Roman" w:cs="Times New Roman"/>
          <w:sz w:val="24"/>
          <w:szCs w:val="24"/>
        </w:rPr>
        <w:id w:val="18798928"/>
        <w:docPartObj>
          <w:docPartGallery w:val="Cover Pages"/>
          <w:docPartUnique/>
        </w:docPartObj>
      </w:sdtPr>
      <w:sdtEndPr/>
      <w:sdtContent>
        <w:p w14:paraId="2451CB31" w14:textId="77777777" w:rsidR="00B87363" w:rsidRPr="007716B1" w:rsidRDefault="00D317F6" w:rsidP="00B87363">
          <w:pPr>
            <w:spacing w:line="480" w:lineRule="auto"/>
            <w:rPr>
              <w:rFonts w:ascii="Times New Roman" w:hAnsi="Times New Roman" w:cs="Times New Roman"/>
              <w:sz w:val="24"/>
              <w:szCs w:val="24"/>
            </w:rPr>
          </w:pPr>
          <w:r>
            <w:rPr>
              <w:noProof/>
            </w:rPr>
            <w:drawing>
              <wp:inline distT="0" distB="0" distL="0" distR="0" wp14:anchorId="2451CFCD" wp14:editId="2451CFCE">
                <wp:extent cx="1843234" cy="1894938"/>
                <wp:effectExtent l="57150" t="57150" r="100330" b="863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843234" cy="1894938"/>
                        </a:xfrm>
                        <a:prstGeom prst="ellipse">
                          <a:avLst/>
                        </a:prstGeom>
                        <a:ln w="57150">
                          <a:solidFill>
                            <a:srgbClr val="0070C0"/>
                          </a:solidFill>
                          <a:miter lim="800000"/>
                          <a:headEnd/>
                          <a:tailEnd/>
                        </a:ln>
                        <a:effectLst>
                          <a:outerShdw dist="35921" dir="2700000" algn="ctr" rotWithShape="0">
                            <a:srgbClr val="EEECE1"/>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2451CB32" w14:textId="77777777" w:rsidR="00B87363" w:rsidRPr="007716B1" w:rsidRDefault="00CF426C" w:rsidP="00B8736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51CFCF" wp14:editId="2451CFD0">
                    <wp:simplePos x="0" y="0"/>
                    <wp:positionH relativeFrom="column">
                      <wp:posOffset>2250440</wp:posOffset>
                    </wp:positionH>
                    <wp:positionV relativeFrom="paragraph">
                      <wp:posOffset>8255</wp:posOffset>
                    </wp:positionV>
                    <wp:extent cx="3619500" cy="3004185"/>
                    <wp:effectExtent l="0" t="0" r="0" b="5715"/>
                    <wp:wrapSquare wrapText="bothSides"/>
                    <wp:docPr id="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00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1D043" w14:textId="77777777" w:rsidR="00740B23" w:rsidRDefault="00740B23" w:rsidP="00B87363">
                                <w:pPr>
                                  <w:rPr>
                                    <w:rFonts w:ascii="Times New Roman" w:hAnsi="Times New Roman" w:cs="Times New Roman"/>
                                    <w:sz w:val="44"/>
                                  </w:rPr>
                                </w:pPr>
                                <w:r>
                                  <w:rPr>
                                    <w:rFonts w:ascii="Times New Roman" w:hAnsi="Times New Roman" w:cs="Times New Roman"/>
                                    <w:sz w:val="44"/>
                                  </w:rPr>
                                  <w:t>Washington Annual Report on Conservation Acquisition</w:t>
                                </w:r>
                                <w:r w:rsidRPr="001258E5">
                                  <w:rPr>
                                    <w:rFonts w:ascii="Times New Roman" w:hAnsi="Times New Roman" w:cs="Times New Roman"/>
                                    <w:sz w:val="44"/>
                                  </w:rPr>
                                  <w:t xml:space="preserve"> </w:t>
                                </w:r>
                              </w:p>
                              <w:p w14:paraId="2451D044" w14:textId="77777777" w:rsidR="00740B23" w:rsidRPr="00A0345E" w:rsidRDefault="00740B23" w:rsidP="00B87363">
                                <w:pPr>
                                  <w:rPr>
                                    <w:rFonts w:ascii="Times New Roman" w:hAnsi="Times New Roman" w:cs="Times New Roman"/>
                                    <w:sz w:val="32"/>
                                    <w:szCs w:val="32"/>
                                  </w:rPr>
                                </w:pPr>
                              </w:p>
                              <w:p w14:paraId="2451D045" w14:textId="77777777" w:rsidR="00740B23" w:rsidRPr="001258E5" w:rsidRDefault="00740B23" w:rsidP="00B87363">
                                <w:pPr>
                                  <w:rPr>
                                    <w:rFonts w:ascii="Times New Roman" w:hAnsi="Times New Roman" w:cs="Times New Roman"/>
                                    <w:sz w:val="32"/>
                                  </w:rPr>
                                </w:pPr>
                              </w:p>
                              <w:p w14:paraId="2451D046" w14:textId="77777777" w:rsidR="00740B23" w:rsidRPr="001258E5" w:rsidRDefault="00740B23" w:rsidP="00B87363">
                                <w:pPr>
                                  <w:rPr>
                                    <w:rFonts w:ascii="Times New Roman" w:hAnsi="Times New Roman" w:cs="Times New Roman"/>
                                    <w:sz w:val="32"/>
                                  </w:rPr>
                                </w:pPr>
                                <w:r w:rsidRPr="001258E5">
                                  <w:rPr>
                                    <w:rFonts w:ascii="Times New Roman" w:hAnsi="Times New Roman" w:cs="Times New Roman"/>
                                    <w:sz w:val="32"/>
                                  </w:rPr>
                                  <w:t>January 1, 20</w:t>
                                </w:r>
                                <w:r>
                                  <w:rPr>
                                    <w:rFonts w:ascii="Times New Roman" w:hAnsi="Times New Roman" w:cs="Times New Roman"/>
                                    <w:sz w:val="32"/>
                                  </w:rPr>
                                  <w:t>15</w:t>
                                </w:r>
                                <w:r w:rsidRPr="001258E5">
                                  <w:rPr>
                                    <w:rFonts w:ascii="Times New Roman" w:hAnsi="Times New Roman" w:cs="Times New Roman"/>
                                    <w:sz w:val="32"/>
                                  </w:rPr>
                                  <w:t xml:space="preserve"> – December 31, 20</w:t>
                                </w:r>
                                <w:r>
                                  <w:rPr>
                                    <w:rFonts w:ascii="Times New Roman" w:hAnsi="Times New Roman" w:cs="Times New Roman"/>
                                    <w:sz w:val="32"/>
                                  </w:rPr>
                                  <w:t>15</w:t>
                                </w:r>
                              </w:p>
                              <w:p w14:paraId="2451D047" w14:textId="77777777" w:rsidR="00740B23" w:rsidRPr="001258E5" w:rsidRDefault="00740B23" w:rsidP="00B87363">
                                <w:pPr>
                                  <w:rPr>
                                    <w:rFonts w:ascii="Times New Roman" w:hAnsi="Times New Roman" w:cs="Times New Roman"/>
                                    <w:sz w:val="32"/>
                                  </w:rPr>
                                </w:pPr>
                              </w:p>
                              <w:p w14:paraId="2451D048" w14:textId="77777777" w:rsidR="00740B23" w:rsidRPr="001258E5" w:rsidRDefault="00740B23" w:rsidP="00B87363">
                                <w:pPr>
                                  <w:rPr>
                                    <w:rFonts w:ascii="Times New Roman" w:hAnsi="Times New Roman" w:cs="Times New Roman"/>
                                    <w:sz w:val="32"/>
                                  </w:rPr>
                                </w:pPr>
                              </w:p>
                              <w:p w14:paraId="2451D049" w14:textId="77777777" w:rsidR="00740B23" w:rsidRPr="001258E5" w:rsidRDefault="00740B23" w:rsidP="00B87363">
                                <w:pPr>
                                  <w:rPr>
                                    <w:rFonts w:ascii="Times New Roman" w:hAnsi="Times New Roman" w:cs="Times New Roman"/>
                                    <w:sz w:val="32"/>
                                  </w:rPr>
                                </w:pPr>
                                <w:r>
                                  <w:rPr>
                                    <w:rFonts w:ascii="Times New Roman" w:hAnsi="Times New Roman" w:cs="Times New Roman"/>
                                    <w:sz w:val="32"/>
                                  </w:rPr>
                                  <w:t>Issued June 1, 2016</w:t>
                                </w:r>
                              </w:p>
                              <w:p w14:paraId="2451D04A" w14:textId="77777777" w:rsidR="00740B23" w:rsidRDefault="00740B23" w:rsidP="00B87363">
                                <w:pPr>
                                  <w:rPr>
                                    <w:sz w:val="32"/>
                                  </w:rPr>
                                </w:pPr>
                              </w:p>
                              <w:p w14:paraId="2451D04B" w14:textId="77777777" w:rsidR="00740B23" w:rsidRDefault="00740B23" w:rsidP="00B87363">
                                <w:pPr>
                                  <w:rPr>
                                    <w:sz w:val="32"/>
                                  </w:rPr>
                                </w:pPr>
                              </w:p>
                              <w:p w14:paraId="2451D04C" w14:textId="77777777" w:rsidR="00740B23" w:rsidRDefault="00740B23" w:rsidP="00B87363">
                                <w:pPr>
                                  <w:rPr>
                                    <w:sz w:val="32"/>
                                  </w:rPr>
                                </w:pPr>
                              </w:p>
                              <w:p w14:paraId="2451D04D" w14:textId="77777777" w:rsidR="00740B23" w:rsidRDefault="00740B23" w:rsidP="00B87363">
                                <w:pPr>
                                  <w:rPr>
                                    <w:sz w:val="32"/>
                                  </w:rPr>
                                </w:pPr>
                              </w:p>
                              <w:p w14:paraId="2451D04E" w14:textId="77777777" w:rsidR="00740B23" w:rsidRDefault="00740B23" w:rsidP="00B87363">
                                <w:pPr>
                                  <w:rPr>
                                    <w:sz w:val="32"/>
                                  </w:rPr>
                                </w:pPr>
                              </w:p>
                              <w:p w14:paraId="2451D04F" w14:textId="77777777" w:rsidR="00740B23" w:rsidRDefault="00740B23" w:rsidP="00B87363">
                                <w:pPr>
                                  <w:rPr>
                                    <w:sz w:val="32"/>
                                  </w:rPr>
                                </w:pPr>
                              </w:p>
                              <w:p w14:paraId="2451D050" w14:textId="77777777" w:rsidR="00740B23" w:rsidRPr="00DF22B3" w:rsidRDefault="00740B23" w:rsidP="00B87363">
                                <w:pPr>
                                  <w:rPr>
                                    <w:sz w:val="32"/>
                                  </w:rPr>
                                </w:pPr>
                                <w:r w:rsidRPr="00B7451B">
                                  <w:rPr>
                                    <w:rFonts w:ascii="GillSans" w:hAnsi="GillSans"/>
                                    <w:b/>
                                    <w:color w:val="000000"/>
                                    <w:sz w:val="96"/>
                                    <w:szCs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1CFCF" id="_x0000_t202" coordsize="21600,21600" o:spt="202" path="m,l,21600r21600,l21600,xe">
                    <v:stroke joinstyle="miter"/>
                    <v:path gradientshapeok="t" o:connecttype="rect"/>
                  </v:shapetype>
                  <v:shape id="Text Box 2" o:spid="_x0000_s1026" type="#_x0000_t202" style="position:absolute;margin-left:177.2pt;margin-top:.65pt;width:285pt;height:2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" stroked="f">
                    <v:textbox>
                      <w:txbxContent>
                        <w:p w14:paraId="2451D043" w14:textId="77777777" w:rsidR="00740B23" w:rsidRDefault="00740B23" w:rsidP="00B87363">
                          <w:pPr>
                            <w:rPr>
                              <w:rFonts w:ascii="Times New Roman" w:hAnsi="Times New Roman" w:cs="Times New Roman"/>
                              <w:sz w:val="44"/>
                            </w:rPr>
                          </w:pPr>
                          <w:r>
                            <w:rPr>
                              <w:rFonts w:ascii="Times New Roman" w:hAnsi="Times New Roman" w:cs="Times New Roman"/>
                              <w:sz w:val="44"/>
                            </w:rPr>
                            <w:t>Washington Annual Report on Conservation Acquisition</w:t>
                          </w:r>
                          <w:r w:rsidRPr="001258E5">
                            <w:rPr>
                              <w:rFonts w:ascii="Times New Roman" w:hAnsi="Times New Roman" w:cs="Times New Roman"/>
                              <w:sz w:val="44"/>
                            </w:rPr>
                            <w:t xml:space="preserve"> </w:t>
                          </w:r>
                        </w:p>
                        <w:p w14:paraId="2451D044" w14:textId="77777777" w:rsidR="00740B23" w:rsidRPr="00A0345E" w:rsidRDefault="00740B23" w:rsidP="00B87363">
                          <w:pPr>
                            <w:rPr>
                              <w:rFonts w:ascii="Times New Roman" w:hAnsi="Times New Roman" w:cs="Times New Roman"/>
                              <w:sz w:val="32"/>
                              <w:szCs w:val="32"/>
                            </w:rPr>
                          </w:pPr>
                        </w:p>
                        <w:p w14:paraId="2451D045" w14:textId="77777777" w:rsidR="00740B23" w:rsidRPr="001258E5" w:rsidRDefault="00740B23" w:rsidP="00B87363">
                          <w:pPr>
                            <w:rPr>
                              <w:rFonts w:ascii="Times New Roman" w:hAnsi="Times New Roman" w:cs="Times New Roman"/>
                              <w:sz w:val="32"/>
                            </w:rPr>
                          </w:pPr>
                        </w:p>
                        <w:p w14:paraId="2451D046" w14:textId="77777777" w:rsidR="00740B23" w:rsidRPr="001258E5" w:rsidRDefault="00740B23" w:rsidP="00B87363">
                          <w:pPr>
                            <w:rPr>
                              <w:rFonts w:ascii="Times New Roman" w:hAnsi="Times New Roman" w:cs="Times New Roman"/>
                              <w:sz w:val="32"/>
                            </w:rPr>
                          </w:pPr>
                          <w:r w:rsidRPr="001258E5">
                            <w:rPr>
                              <w:rFonts w:ascii="Times New Roman" w:hAnsi="Times New Roman" w:cs="Times New Roman"/>
                              <w:sz w:val="32"/>
                            </w:rPr>
                            <w:t>January 1, 20</w:t>
                          </w:r>
                          <w:r>
                            <w:rPr>
                              <w:rFonts w:ascii="Times New Roman" w:hAnsi="Times New Roman" w:cs="Times New Roman"/>
                              <w:sz w:val="32"/>
                            </w:rPr>
                            <w:t>15</w:t>
                          </w:r>
                          <w:r w:rsidRPr="001258E5">
                            <w:rPr>
                              <w:rFonts w:ascii="Times New Roman" w:hAnsi="Times New Roman" w:cs="Times New Roman"/>
                              <w:sz w:val="32"/>
                            </w:rPr>
                            <w:t xml:space="preserve"> – December 31, 20</w:t>
                          </w:r>
                          <w:r>
                            <w:rPr>
                              <w:rFonts w:ascii="Times New Roman" w:hAnsi="Times New Roman" w:cs="Times New Roman"/>
                              <w:sz w:val="32"/>
                            </w:rPr>
                            <w:t>15</w:t>
                          </w:r>
                        </w:p>
                        <w:p w14:paraId="2451D047" w14:textId="77777777" w:rsidR="00740B23" w:rsidRPr="001258E5" w:rsidRDefault="00740B23" w:rsidP="00B87363">
                          <w:pPr>
                            <w:rPr>
                              <w:rFonts w:ascii="Times New Roman" w:hAnsi="Times New Roman" w:cs="Times New Roman"/>
                              <w:sz w:val="32"/>
                            </w:rPr>
                          </w:pPr>
                        </w:p>
                        <w:p w14:paraId="2451D048" w14:textId="77777777" w:rsidR="00740B23" w:rsidRPr="001258E5" w:rsidRDefault="00740B23" w:rsidP="00B87363">
                          <w:pPr>
                            <w:rPr>
                              <w:rFonts w:ascii="Times New Roman" w:hAnsi="Times New Roman" w:cs="Times New Roman"/>
                              <w:sz w:val="32"/>
                            </w:rPr>
                          </w:pPr>
                        </w:p>
                        <w:p w14:paraId="2451D049" w14:textId="77777777" w:rsidR="00740B23" w:rsidRPr="001258E5" w:rsidRDefault="00740B23" w:rsidP="00B87363">
                          <w:pPr>
                            <w:rPr>
                              <w:rFonts w:ascii="Times New Roman" w:hAnsi="Times New Roman" w:cs="Times New Roman"/>
                              <w:sz w:val="32"/>
                            </w:rPr>
                          </w:pPr>
                          <w:r>
                            <w:rPr>
                              <w:rFonts w:ascii="Times New Roman" w:hAnsi="Times New Roman" w:cs="Times New Roman"/>
                              <w:sz w:val="32"/>
                            </w:rPr>
                            <w:t>Issued June 1, 2016</w:t>
                          </w:r>
                        </w:p>
                        <w:p w14:paraId="2451D04A" w14:textId="77777777" w:rsidR="00740B23" w:rsidRDefault="00740B23" w:rsidP="00B87363">
                          <w:pPr>
                            <w:rPr>
                              <w:sz w:val="32"/>
                            </w:rPr>
                          </w:pPr>
                        </w:p>
                        <w:p w14:paraId="2451D04B" w14:textId="77777777" w:rsidR="00740B23" w:rsidRDefault="00740B23" w:rsidP="00B87363">
                          <w:pPr>
                            <w:rPr>
                              <w:sz w:val="32"/>
                            </w:rPr>
                          </w:pPr>
                        </w:p>
                        <w:p w14:paraId="2451D04C" w14:textId="77777777" w:rsidR="00740B23" w:rsidRDefault="00740B23" w:rsidP="00B87363">
                          <w:pPr>
                            <w:rPr>
                              <w:sz w:val="32"/>
                            </w:rPr>
                          </w:pPr>
                        </w:p>
                        <w:p w14:paraId="2451D04D" w14:textId="77777777" w:rsidR="00740B23" w:rsidRDefault="00740B23" w:rsidP="00B87363">
                          <w:pPr>
                            <w:rPr>
                              <w:sz w:val="32"/>
                            </w:rPr>
                          </w:pPr>
                        </w:p>
                        <w:p w14:paraId="2451D04E" w14:textId="77777777" w:rsidR="00740B23" w:rsidRDefault="00740B23" w:rsidP="00B87363">
                          <w:pPr>
                            <w:rPr>
                              <w:sz w:val="32"/>
                            </w:rPr>
                          </w:pPr>
                        </w:p>
                        <w:p w14:paraId="2451D04F" w14:textId="77777777" w:rsidR="00740B23" w:rsidRDefault="00740B23" w:rsidP="00B87363">
                          <w:pPr>
                            <w:rPr>
                              <w:sz w:val="32"/>
                            </w:rPr>
                          </w:pPr>
                        </w:p>
                        <w:p w14:paraId="2451D050" w14:textId="77777777" w:rsidR="00740B23" w:rsidRPr="00DF22B3" w:rsidRDefault="00740B23" w:rsidP="00B87363">
                          <w:pPr>
                            <w:rPr>
                              <w:sz w:val="32"/>
                            </w:rPr>
                          </w:pPr>
                          <w:r w:rsidRPr="00B7451B">
                            <w:rPr>
                              <w:rFonts w:ascii="GillSans" w:hAnsi="GillSans"/>
                              <w:b/>
                              <w:color w:val="000000"/>
                              <w:sz w:val="96"/>
                              <w:szCs w:val="96"/>
                            </w:rPr>
                            <w:t xml:space="preserve"> </w:t>
                          </w:r>
                        </w:p>
                      </w:txbxContent>
                    </v:textbox>
                    <w10:wrap type="square"/>
                  </v:shape>
                </w:pict>
              </mc:Fallback>
            </mc:AlternateContent>
          </w:r>
        </w:p>
        <w:p w14:paraId="2451CB33" w14:textId="77777777" w:rsidR="00B87363" w:rsidRPr="007716B1" w:rsidRDefault="00D317F6" w:rsidP="00B87363">
          <w:pPr>
            <w:spacing w:line="480" w:lineRule="auto"/>
            <w:rPr>
              <w:rFonts w:ascii="Times New Roman" w:hAnsi="Times New Roman" w:cs="Times New Roman"/>
              <w:sz w:val="24"/>
              <w:szCs w:val="24"/>
            </w:rPr>
          </w:pPr>
          <w:r>
            <w:rPr>
              <w:noProof/>
            </w:rPr>
            <w:drawing>
              <wp:inline distT="0" distB="0" distL="0" distR="0" wp14:anchorId="2451CFD1" wp14:editId="2451CFD2">
                <wp:extent cx="1837427" cy="1837427"/>
                <wp:effectExtent l="152400" t="95250" r="86995" b="144145"/>
                <wp:docPr id="5" name="Picture 5" descr="http://www.scientificamerican.com/sciam/cache/file/E45A713C-B81B-46B3-BEDA007B8DBCD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ntificamerican.com/sciam/cache/file/E45A713C-B81B-46B3-BEDA007B8DBCD07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7435" cy="1837435"/>
                        </a:xfrm>
                        <a:prstGeom prst="ellipse">
                          <a:avLst/>
                        </a:prstGeom>
                        <a:ln w="57150">
                          <a:solidFill>
                            <a:srgbClr val="1F497D">
                              <a:lumMod val="60000"/>
                              <a:lumOff val="40000"/>
                            </a:srgbClr>
                          </a:solidFill>
                        </a:ln>
                        <a:effectLst>
                          <a:outerShdw blurRad="50800" dist="38100" dir="8100000" algn="tr" rotWithShape="0">
                            <a:prstClr val="black">
                              <a:alpha val="40000"/>
                            </a:prstClr>
                          </a:outerShdw>
                        </a:effectLst>
                      </pic:spPr>
                    </pic:pic>
                  </a:graphicData>
                </a:graphic>
              </wp:inline>
            </w:drawing>
          </w:r>
        </w:p>
        <w:p w14:paraId="2451CB34" w14:textId="77777777" w:rsidR="00B87363" w:rsidRPr="007716B1" w:rsidRDefault="00B87363" w:rsidP="00B87363">
          <w:pPr>
            <w:spacing w:line="480" w:lineRule="auto"/>
            <w:rPr>
              <w:rFonts w:ascii="Times New Roman" w:hAnsi="Times New Roman" w:cs="Times New Roman"/>
              <w:sz w:val="24"/>
              <w:szCs w:val="24"/>
            </w:rPr>
          </w:pPr>
        </w:p>
        <w:p w14:paraId="2451CB35" w14:textId="77777777" w:rsidR="00B87363" w:rsidRPr="007716B1" w:rsidRDefault="00B87363" w:rsidP="00B87363">
          <w:pPr>
            <w:spacing w:line="480" w:lineRule="auto"/>
            <w:rPr>
              <w:rFonts w:ascii="Times New Roman" w:hAnsi="Times New Roman" w:cs="Times New Roman"/>
              <w:sz w:val="24"/>
              <w:szCs w:val="24"/>
            </w:rPr>
          </w:pPr>
          <w:r w:rsidRPr="007716B1">
            <w:rPr>
              <w:rFonts w:ascii="Times New Roman" w:hAnsi="Times New Roman" w:cs="Times New Roman"/>
              <w:noProof/>
              <w:sz w:val="24"/>
              <w:szCs w:val="24"/>
            </w:rPr>
            <w:drawing>
              <wp:inline distT="0" distB="0" distL="0" distR="0" wp14:anchorId="2451CFD3" wp14:editId="2451CFD4">
                <wp:extent cx="1880244" cy="1749287"/>
                <wp:effectExtent l="152400" t="95250" r="100965" b="156210"/>
                <wp:docPr id="1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13" cstate="print"/>
                        <a:stretch>
                          <a:fillRect/>
                        </a:stretch>
                      </pic:blipFill>
                      <pic:spPr bwMode="auto">
                        <a:xfrm>
                          <a:off x="0" y="0"/>
                          <a:ext cx="1883664" cy="1752469"/>
                        </a:xfrm>
                        <a:prstGeom prst="ellipse">
                          <a:avLst/>
                        </a:prstGeom>
                        <a:ln w="57150">
                          <a:solidFill>
                            <a:schemeClr val="tx2">
                              <a:lumMod val="60000"/>
                              <a:lumOff val="40000"/>
                            </a:schemeClr>
                          </a:solidFill>
                        </a:ln>
                        <a:effectLst>
                          <a:outerShdw blurRad="50800" dist="38100" dir="8100000" algn="tr" rotWithShape="0">
                            <a:prstClr val="black">
                              <a:alpha val="40000"/>
                            </a:prstClr>
                          </a:outerShdw>
                        </a:effectLst>
                      </pic:spPr>
                    </pic:pic>
                  </a:graphicData>
                </a:graphic>
              </wp:inline>
            </w:drawing>
          </w:r>
        </w:p>
        <w:p w14:paraId="2451CB36" w14:textId="77777777" w:rsidR="00B87363" w:rsidRPr="007716B1" w:rsidRDefault="00057006" w:rsidP="00B87363">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5280" behindDoc="1" locked="0" layoutInCell="1" allowOverlap="1" wp14:anchorId="2451CFD5" wp14:editId="2451CFD6">
                <wp:simplePos x="0" y="0"/>
                <wp:positionH relativeFrom="column">
                  <wp:posOffset>2372360</wp:posOffset>
                </wp:positionH>
                <wp:positionV relativeFrom="paragraph">
                  <wp:posOffset>259715</wp:posOffset>
                </wp:positionV>
                <wp:extent cx="3431540" cy="588010"/>
                <wp:effectExtent l="19050" t="0" r="0" b="0"/>
                <wp:wrapTight wrapText="bothSides">
                  <wp:wrapPolygon edited="0">
                    <wp:start x="-120" y="0"/>
                    <wp:lineTo x="-120" y="20994"/>
                    <wp:lineTo x="21584" y="20994"/>
                    <wp:lineTo x="21584" y="0"/>
                    <wp:lineTo x="-120" y="0"/>
                  </wp:wrapPolygon>
                </wp:wrapTight>
                <wp:docPr id="3" name="Picture 7" descr="http://idoc.pacificorp.us/content/dam/intranet/image/cn/in_the_news/cccc/logos/PacificPowe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oc.pacificorp.us/content/dam/intranet/image/cn/in_the_news/cccc/logos/PacificPower-new-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1540" cy="588010"/>
                        </a:xfrm>
                        <a:prstGeom prst="rect">
                          <a:avLst/>
                        </a:prstGeom>
                        <a:noFill/>
                        <a:ln>
                          <a:noFill/>
                        </a:ln>
                      </pic:spPr>
                    </pic:pic>
                  </a:graphicData>
                </a:graphic>
              </wp:anchor>
            </w:drawing>
          </w:r>
        </w:p>
        <w:p w14:paraId="2451CB37" w14:textId="77777777" w:rsidR="00B87363" w:rsidRPr="007716B1" w:rsidRDefault="00B87363" w:rsidP="00B87363">
          <w:pPr>
            <w:spacing w:line="480" w:lineRule="auto"/>
            <w:rPr>
              <w:rFonts w:ascii="Times New Roman" w:hAnsi="Times New Roman" w:cs="Times New Roman"/>
              <w:sz w:val="24"/>
              <w:szCs w:val="24"/>
            </w:rPr>
          </w:pPr>
        </w:p>
        <w:p w14:paraId="2451CB38" w14:textId="77777777" w:rsidR="00D72487" w:rsidRDefault="00D72487">
          <w:pPr>
            <w:rPr>
              <w:rFonts w:ascii="Times New Roman" w:hAnsi="Times New Roman" w:cs="Times New Roman"/>
              <w:sz w:val="24"/>
              <w:szCs w:val="24"/>
            </w:rPr>
          </w:pPr>
        </w:p>
        <w:p w14:paraId="2451CB39" w14:textId="77777777" w:rsidR="00B87363" w:rsidRPr="007716B1" w:rsidRDefault="00EB6872">
          <w:pPr>
            <w:rPr>
              <w:rFonts w:ascii="Times New Roman" w:hAnsi="Times New Roman" w:cs="Times New Roman"/>
              <w:sz w:val="24"/>
              <w:szCs w:val="24"/>
            </w:rPr>
          </w:pPr>
        </w:p>
      </w:sdtContent>
    </w:sdt>
    <w:p w14:paraId="2451CB3A" w14:textId="77777777" w:rsidR="00B87363" w:rsidRPr="007716B1" w:rsidRDefault="00D713F9" w:rsidP="00D713F9">
      <w:pPr>
        <w:jc w:val="center"/>
        <w:rPr>
          <w:rFonts w:ascii="Times New Roman" w:hAnsi="Times New Roman" w:cs="Times New Roman"/>
          <w:sz w:val="24"/>
          <w:szCs w:val="24"/>
        </w:rPr>
        <w:sectPr w:rsidR="00B87363" w:rsidRPr="007716B1" w:rsidSect="00B214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57" w:gutter="0"/>
          <w:cols w:space="720"/>
          <w:titlePg/>
          <w:docGrid w:linePitch="360"/>
        </w:sectPr>
      </w:pPr>
      <w:r>
        <w:rPr>
          <w:rFonts w:ascii="Times New Roman" w:hAnsi="Times New Roman" w:cs="Times New Roman"/>
          <w:sz w:val="24"/>
          <w:szCs w:val="24"/>
        </w:rPr>
        <w:t xml:space="preserve">(This page intentionally left blank) </w:t>
      </w:r>
    </w:p>
    <w:sdt>
      <w:sdtPr>
        <w:rPr>
          <w:rFonts w:asciiTheme="minorHAnsi" w:eastAsiaTheme="minorHAnsi" w:hAnsiTheme="minorHAnsi" w:cs="Times New Roman"/>
          <w:b w:val="0"/>
          <w:bCs w:val="0"/>
          <w:color w:val="auto"/>
          <w:sz w:val="22"/>
          <w:szCs w:val="22"/>
        </w:rPr>
        <w:id w:val="611549423"/>
        <w:docPartObj>
          <w:docPartGallery w:val="Table of Contents"/>
          <w:docPartUnique/>
        </w:docPartObj>
      </w:sdtPr>
      <w:sdtEndPr>
        <w:rPr>
          <w:rFonts w:ascii="Times New Roman" w:hAnsi="Times New Roman"/>
        </w:rPr>
      </w:sdtEndPr>
      <w:sdtContent>
        <w:p w14:paraId="2451CB3B" w14:textId="77777777" w:rsidR="00324A45" w:rsidRPr="006F432A" w:rsidRDefault="00324A45">
          <w:pPr>
            <w:pStyle w:val="TOCHeading"/>
            <w:rPr>
              <w:rFonts w:cs="Times New Roman"/>
            </w:rPr>
          </w:pPr>
          <w:r w:rsidRPr="006F432A">
            <w:rPr>
              <w:rFonts w:cs="Times New Roman"/>
            </w:rPr>
            <w:t>Table of Contents</w:t>
          </w:r>
        </w:p>
        <w:p w14:paraId="2451CB3C" w14:textId="77777777" w:rsidR="00324A45" w:rsidRPr="006F432A" w:rsidRDefault="00324A45" w:rsidP="00324A45">
          <w:pPr>
            <w:rPr>
              <w:rFonts w:ascii="Times New Roman" w:hAnsi="Times New Roman" w:cs="Times New Roman"/>
            </w:rPr>
          </w:pPr>
        </w:p>
        <w:p w14:paraId="2451CB3D" w14:textId="77777777" w:rsidR="00CC6966" w:rsidRPr="006F432A" w:rsidRDefault="00DC16B9">
          <w:pPr>
            <w:pStyle w:val="TOC1"/>
            <w:tabs>
              <w:tab w:val="right" w:leader="dot" w:pos="9350"/>
            </w:tabs>
            <w:rPr>
              <w:rFonts w:ascii="Times New Roman" w:eastAsiaTheme="minorEastAsia" w:hAnsi="Times New Roman" w:cs="Times New Roman"/>
              <w:noProof/>
            </w:rPr>
          </w:pPr>
          <w:r w:rsidRPr="006F432A">
            <w:rPr>
              <w:rFonts w:ascii="Times New Roman" w:hAnsi="Times New Roman" w:cs="Times New Roman"/>
            </w:rPr>
            <w:fldChar w:fldCharType="begin"/>
          </w:r>
          <w:r w:rsidR="00324A45" w:rsidRPr="006F432A">
            <w:rPr>
              <w:rFonts w:ascii="Times New Roman" w:hAnsi="Times New Roman" w:cs="Times New Roman"/>
            </w:rPr>
            <w:instrText xml:space="preserve"> TOC \o "1-3" \h \z \u </w:instrText>
          </w:r>
          <w:r w:rsidRPr="006F432A">
            <w:rPr>
              <w:rFonts w:ascii="Times New Roman" w:hAnsi="Times New Roman" w:cs="Times New Roman"/>
            </w:rPr>
            <w:fldChar w:fldCharType="separate"/>
          </w:r>
          <w:hyperlink w:anchor="_Toc449510467" w:history="1">
            <w:r w:rsidR="00CC6966" w:rsidRPr="006F432A">
              <w:rPr>
                <w:rStyle w:val="Hyperlink"/>
                <w:rFonts w:ascii="Times New Roman" w:hAnsi="Times New Roman" w:cs="Times New Roman"/>
                <w:noProof/>
              </w:rPr>
              <w:t>List of Abbreviations and Acronyms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_Toc449510467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4</w:t>
            </w:r>
            <w:r w:rsidR="00CC6966" w:rsidRPr="006F432A">
              <w:rPr>
                <w:rFonts w:ascii="Times New Roman" w:hAnsi="Times New Roman" w:cs="Times New Roman"/>
                <w:noProof/>
                <w:webHidden/>
              </w:rPr>
              <w:fldChar w:fldCharType="end"/>
            </w:r>
          </w:hyperlink>
        </w:p>
        <w:p w14:paraId="2451CB3E"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68" w:history="1">
            <w:r w:rsidR="00CC6966" w:rsidRPr="006F432A">
              <w:rPr>
                <w:rStyle w:val="Hyperlink"/>
                <w:rFonts w:ascii="Times New Roman" w:hAnsi="Times New Roman" w:cs="Times New Roman"/>
                <w:noProof/>
              </w:rPr>
              <w:t>Executive Summary</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_Toc449510468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5</w:t>
            </w:r>
            <w:r w:rsidR="00CC6966" w:rsidRPr="006F432A">
              <w:rPr>
                <w:rFonts w:ascii="Times New Roman" w:hAnsi="Times New Roman" w:cs="Times New Roman"/>
                <w:noProof/>
                <w:webHidden/>
              </w:rPr>
              <w:fldChar w:fldCharType="end"/>
            </w:r>
          </w:hyperlink>
        </w:p>
        <w:p w14:paraId="2451CB3F"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69" w:history="1">
            <w:r w:rsidR="00CC6966" w:rsidRPr="006F432A">
              <w:rPr>
                <w:rStyle w:val="Hyperlink"/>
                <w:rFonts w:ascii="Times New Roman" w:hAnsi="Times New Roman" w:cs="Times New Roman"/>
                <w:noProof/>
              </w:rPr>
              <w:t>Regulatory Activities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_Toc449510469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8</w:t>
            </w:r>
            <w:r w:rsidR="00CC6966" w:rsidRPr="006F432A">
              <w:rPr>
                <w:rFonts w:ascii="Times New Roman" w:hAnsi="Times New Roman" w:cs="Times New Roman"/>
                <w:noProof/>
                <w:webHidden/>
              </w:rPr>
              <w:fldChar w:fldCharType="end"/>
            </w:r>
          </w:hyperlink>
        </w:p>
        <w:p w14:paraId="2451CB40"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70" w:history="1">
            <w:r w:rsidR="00CC6966" w:rsidRPr="006F432A">
              <w:rPr>
                <w:rStyle w:val="Hyperlink"/>
                <w:rFonts w:ascii="Times New Roman" w:hAnsi="Times New Roman" w:cs="Times New Roman"/>
                <w:noProof/>
              </w:rPr>
              <w:t>DSM Expenditures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_Toc449510470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11</w:t>
            </w:r>
            <w:r w:rsidR="00CC6966" w:rsidRPr="006F432A">
              <w:rPr>
                <w:rFonts w:ascii="Times New Roman" w:hAnsi="Times New Roman" w:cs="Times New Roman"/>
                <w:noProof/>
                <w:webHidden/>
              </w:rPr>
              <w:fldChar w:fldCharType="end"/>
            </w:r>
          </w:hyperlink>
        </w:p>
        <w:p w14:paraId="2451CB41"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72" w:history="1">
            <w:r w:rsidR="00CC6966" w:rsidRPr="006F432A">
              <w:rPr>
                <w:rStyle w:val="Hyperlink"/>
                <w:rFonts w:ascii="Times New Roman" w:hAnsi="Times New Roman" w:cs="Times New Roman"/>
                <w:noProof/>
              </w:rPr>
              <w:t>Planning Process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_Toc449510472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13</w:t>
            </w:r>
            <w:r w:rsidR="00CC6966" w:rsidRPr="006F432A">
              <w:rPr>
                <w:rFonts w:ascii="Times New Roman" w:hAnsi="Times New Roman" w:cs="Times New Roman"/>
                <w:noProof/>
                <w:webHidden/>
              </w:rPr>
              <w:fldChar w:fldCharType="end"/>
            </w:r>
          </w:hyperlink>
        </w:p>
        <w:p w14:paraId="2451CB42"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75" w:history="1">
            <w:r w:rsidR="00CC6966" w:rsidRPr="006F432A">
              <w:rPr>
                <w:rStyle w:val="Hyperlink"/>
                <w:rFonts w:ascii="Times New Roman" w:hAnsi="Times New Roman" w:cs="Times New Roman"/>
                <w:noProof/>
              </w:rPr>
              <w:t>Energy Efficiency Programs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_Toc449510475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16</w:t>
            </w:r>
            <w:r w:rsidR="00CC6966" w:rsidRPr="006F432A">
              <w:rPr>
                <w:rFonts w:ascii="Times New Roman" w:hAnsi="Times New Roman" w:cs="Times New Roman"/>
                <w:noProof/>
                <w:webHidden/>
              </w:rPr>
              <w:fldChar w:fldCharType="end"/>
            </w:r>
          </w:hyperlink>
        </w:p>
        <w:p w14:paraId="2451CB43"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476" w:history="1">
            <w:r w:rsidR="00CC6966" w:rsidRPr="006F432A">
              <w:rPr>
                <w:rStyle w:val="Hyperlink"/>
                <w:rFonts w:ascii="Times New Roman" w:hAnsi="Times New Roman" w:cs="Times New Roman"/>
                <w:noProof/>
              </w:rPr>
              <w:t>Residential Programs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_Toc449510476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19</w:t>
            </w:r>
            <w:r w:rsidR="00CC6966" w:rsidRPr="006F432A">
              <w:rPr>
                <w:rFonts w:ascii="Times New Roman" w:hAnsi="Times New Roman" w:cs="Times New Roman"/>
                <w:noProof/>
                <w:webHidden/>
              </w:rPr>
              <w:fldChar w:fldCharType="end"/>
            </w:r>
          </w:hyperlink>
        </w:p>
        <w:p w14:paraId="2451CB44" w14:textId="77777777" w:rsidR="00CC6966" w:rsidRPr="006F432A" w:rsidRDefault="00EB6872">
          <w:pPr>
            <w:pStyle w:val="TOC2"/>
            <w:tabs>
              <w:tab w:val="right" w:leader="dot" w:pos="9350"/>
            </w:tabs>
            <w:rPr>
              <w:rFonts w:ascii="Times New Roman" w:eastAsiaTheme="minorEastAsia" w:hAnsi="Times New Roman" w:cs="Times New Roman"/>
              <w:i/>
              <w:noProof/>
            </w:rPr>
          </w:pPr>
          <w:hyperlink w:anchor="_Toc449510478" w:history="1">
            <w:r w:rsidR="00CC6966" w:rsidRPr="006F432A">
              <w:rPr>
                <w:rStyle w:val="Hyperlink"/>
                <w:rFonts w:ascii="Times New Roman" w:hAnsi="Times New Roman" w:cs="Times New Roman"/>
                <w:i/>
                <w:noProof/>
              </w:rPr>
              <w:t>Home Energy Savings</w:t>
            </w:r>
            <w:r w:rsidR="00CC6966" w:rsidRPr="006F432A">
              <w:rPr>
                <w:rFonts w:ascii="Times New Roman" w:hAnsi="Times New Roman" w:cs="Times New Roman"/>
                <w:i/>
                <w:noProof/>
                <w:webHidden/>
              </w:rPr>
              <w:tab/>
            </w:r>
            <w:r w:rsidR="00CC6966" w:rsidRPr="006F432A">
              <w:rPr>
                <w:rFonts w:ascii="Times New Roman" w:hAnsi="Times New Roman" w:cs="Times New Roman"/>
                <w:i/>
                <w:noProof/>
                <w:webHidden/>
              </w:rPr>
              <w:fldChar w:fldCharType="begin"/>
            </w:r>
            <w:r w:rsidR="00CC6966" w:rsidRPr="006F432A">
              <w:rPr>
                <w:rFonts w:ascii="Times New Roman" w:hAnsi="Times New Roman" w:cs="Times New Roman"/>
                <w:i/>
                <w:noProof/>
                <w:webHidden/>
              </w:rPr>
              <w:instrText xml:space="preserve"> PAGEREF _Toc449510478 \h </w:instrText>
            </w:r>
            <w:r w:rsidR="00CC6966" w:rsidRPr="006F432A">
              <w:rPr>
                <w:rFonts w:ascii="Times New Roman" w:hAnsi="Times New Roman" w:cs="Times New Roman"/>
                <w:i/>
                <w:noProof/>
                <w:webHidden/>
              </w:rPr>
            </w:r>
            <w:r w:rsidR="00CC6966" w:rsidRPr="006F432A">
              <w:rPr>
                <w:rFonts w:ascii="Times New Roman" w:hAnsi="Times New Roman" w:cs="Times New Roman"/>
                <w:i/>
                <w:noProof/>
                <w:webHidden/>
              </w:rPr>
              <w:fldChar w:fldCharType="separate"/>
            </w:r>
            <w:r w:rsidR="00C57B04">
              <w:rPr>
                <w:rFonts w:ascii="Times New Roman" w:hAnsi="Times New Roman" w:cs="Times New Roman"/>
                <w:i/>
                <w:noProof/>
                <w:webHidden/>
              </w:rPr>
              <w:t>20</w:t>
            </w:r>
            <w:r w:rsidR="00CC6966" w:rsidRPr="006F432A">
              <w:rPr>
                <w:rFonts w:ascii="Times New Roman" w:hAnsi="Times New Roman" w:cs="Times New Roman"/>
                <w:i/>
                <w:noProof/>
                <w:webHidden/>
              </w:rPr>
              <w:fldChar w:fldCharType="end"/>
            </w:r>
          </w:hyperlink>
        </w:p>
        <w:p w14:paraId="2451CB45" w14:textId="77777777" w:rsidR="00CC6966" w:rsidRPr="006F432A" w:rsidRDefault="00EB6872">
          <w:pPr>
            <w:pStyle w:val="TOC2"/>
            <w:tabs>
              <w:tab w:val="right" w:leader="dot" w:pos="9350"/>
            </w:tabs>
            <w:rPr>
              <w:rFonts w:ascii="Times New Roman" w:eastAsiaTheme="minorEastAsia" w:hAnsi="Times New Roman" w:cs="Times New Roman"/>
              <w:i/>
              <w:noProof/>
            </w:rPr>
          </w:pPr>
          <w:hyperlink w:anchor="_Toc449510485" w:history="1">
            <w:r w:rsidR="00CC6966" w:rsidRPr="006F432A">
              <w:rPr>
                <w:rStyle w:val="Hyperlink"/>
                <w:rFonts w:ascii="Times New Roman" w:hAnsi="Times New Roman" w:cs="Times New Roman"/>
                <w:i/>
                <w:noProof/>
              </w:rPr>
              <w:t>Home Energy Reports</w:t>
            </w:r>
            <w:r w:rsidR="00CC6966" w:rsidRPr="006F432A">
              <w:rPr>
                <w:rFonts w:ascii="Times New Roman" w:hAnsi="Times New Roman" w:cs="Times New Roman"/>
                <w:i/>
                <w:noProof/>
                <w:webHidden/>
              </w:rPr>
              <w:tab/>
            </w:r>
            <w:r w:rsidR="00CC6966" w:rsidRPr="006F432A">
              <w:rPr>
                <w:rFonts w:ascii="Times New Roman" w:hAnsi="Times New Roman" w:cs="Times New Roman"/>
                <w:i/>
                <w:noProof/>
                <w:webHidden/>
              </w:rPr>
              <w:fldChar w:fldCharType="begin"/>
            </w:r>
            <w:r w:rsidR="00CC6966" w:rsidRPr="006F432A">
              <w:rPr>
                <w:rFonts w:ascii="Times New Roman" w:hAnsi="Times New Roman" w:cs="Times New Roman"/>
                <w:i/>
                <w:noProof/>
                <w:webHidden/>
              </w:rPr>
              <w:instrText xml:space="preserve"> PAGEREF _Toc449510485 \h </w:instrText>
            </w:r>
            <w:r w:rsidR="00CC6966" w:rsidRPr="006F432A">
              <w:rPr>
                <w:rFonts w:ascii="Times New Roman" w:hAnsi="Times New Roman" w:cs="Times New Roman"/>
                <w:i/>
                <w:noProof/>
                <w:webHidden/>
              </w:rPr>
            </w:r>
            <w:r w:rsidR="00CC6966" w:rsidRPr="006F432A">
              <w:rPr>
                <w:rFonts w:ascii="Times New Roman" w:hAnsi="Times New Roman" w:cs="Times New Roman"/>
                <w:i/>
                <w:noProof/>
                <w:webHidden/>
              </w:rPr>
              <w:fldChar w:fldCharType="separate"/>
            </w:r>
            <w:r w:rsidR="00C57B04">
              <w:rPr>
                <w:rFonts w:ascii="Times New Roman" w:hAnsi="Times New Roman" w:cs="Times New Roman"/>
                <w:i/>
                <w:noProof/>
                <w:webHidden/>
              </w:rPr>
              <w:t>22</w:t>
            </w:r>
            <w:r w:rsidR="00CC6966" w:rsidRPr="006F432A">
              <w:rPr>
                <w:rFonts w:ascii="Times New Roman" w:hAnsi="Times New Roman" w:cs="Times New Roman"/>
                <w:i/>
                <w:noProof/>
                <w:webHidden/>
              </w:rPr>
              <w:fldChar w:fldCharType="end"/>
            </w:r>
          </w:hyperlink>
        </w:p>
        <w:p w14:paraId="2451CB46" w14:textId="77777777" w:rsidR="00CC6966" w:rsidRPr="006F432A" w:rsidRDefault="00EB6872">
          <w:pPr>
            <w:pStyle w:val="TOC2"/>
            <w:tabs>
              <w:tab w:val="right" w:leader="dot" w:pos="9350"/>
            </w:tabs>
            <w:rPr>
              <w:rFonts w:ascii="Times New Roman" w:eastAsiaTheme="minorEastAsia" w:hAnsi="Times New Roman" w:cs="Times New Roman"/>
              <w:i/>
              <w:noProof/>
            </w:rPr>
          </w:pPr>
          <w:hyperlink w:anchor="_Toc449510489" w:history="1">
            <w:r w:rsidR="00CC6966" w:rsidRPr="006F432A">
              <w:rPr>
                <w:rStyle w:val="Hyperlink"/>
                <w:rFonts w:ascii="Times New Roman" w:hAnsi="Times New Roman" w:cs="Times New Roman"/>
                <w:i/>
                <w:noProof/>
              </w:rPr>
              <w:t>Refrigerator Recycling</w:t>
            </w:r>
            <w:r w:rsidR="00CC6966" w:rsidRPr="006F432A">
              <w:rPr>
                <w:rFonts w:ascii="Times New Roman" w:hAnsi="Times New Roman" w:cs="Times New Roman"/>
                <w:i/>
                <w:noProof/>
                <w:webHidden/>
              </w:rPr>
              <w:tab/>
            </w:r>
            <w:r w:rsidR="00CC6966" w:rsidRPr="006F432A">
              <w:rPr>
                <w:rFonts w:ascii="Times New Roman" w:hAnsi="Times New Roman" w:cs="Times New Roman"/>
                <w:i/>
                <w:noProof/>
                <w:webHidden/>
              </w:rPr>
              <w:fldChar w:fldCharType="begin"/>
            </w:r>
            <w:r w:rsidR="00CC6966" w:rsidRPr="006F432A">
              <w:rPr>
                <w:rFonts w:ascii="Times New Roman" w:hAnsi="Times New Roman" w:cs="Times New Roman"/>
                <w:i/>
                <w:noProof/>
                <w:webHidden/>
              </w:rPr>
              <w:instrText xml:space="preserve"> PAGEREF _Toc449510489 \h </w:instrText>
            </w:r>
            <w:r w:rsidR="00CC6966" w:rsidRPr="006F432A">
              <w:rPr>
                <w:rFonts w:ascii="Times New Roman" w:hAnsi="Times New Roman" w:cs="Times New Roman"/>
                <w:i/>
                <w:noProof/>
                <w:webHidden/>
              </w:rPr>
            </w:r>
            <w:r w:rsidR="00CC6966" w:rsidRPr="006F432A">
              <w:rPr>
                <w:rFonts w:ascii="Times New Roman" w:hAnsi="Times New Roman" w:cs="Times New Roman"/>
                <w:i/>
                <w:noProof/>
                <w:webHidden/>
              </w:rPr>
              <w:fldChar w:fldCharType="separate"/>
            </w:r>
            <w:r w:rsidR="00C57B04">
              <w:rPr>
                <w:rFonts w:ascii="Times New Roman" w:hAnsi="Times New Roman" w:cs="Times New Roman"/>
                <w:i/>
                <w:noProof/>
                <w:webHidden/>
              </w:rPr>
              <w:t>25</w:t>
            </w:r>
            <w:r w:rsidR="00CC6966" w:rsidRPr="006F432A">
              <w:rPr>
                <w:rFonts w:ascii="Times New Roman" w:hAnsi="Times New Roman" w:cs="Times New Roman"/>
                <w:i/>
                <w:noProof/>
                <w:webHidden/>
              </w:rPr>
              <w:fldChar w:fldCharType="end"/>
            </w:r>
          </w:hyperlink>
        </w:p>
        <w:p w14:paraId="2451CB47" w14:textId="77777777" w:rsidR="00CC6966" w:rsidRPr="006F432A" w:rsidRDefault="00EB6872">
          <w:pPr>
            <w:pStyle w:val="TOC2"/>
            <w:tabs>
              <w:tab w:val="right" w:leader="dot" w:pos="9350"/>
            </w:tabs>
            <w:rPr>
              <w:rFonts w:ascii="Times New Roman" w:eastAsiaTheme="minorEastAsia" w:hAnsi="Times New Roman" w:cs="Times New Roman"/>
              <w:i/>
              <w:noProof/>
            </w:rPr>
          </w:pPr>
          <w:hyperlink w:anchor="_Toc449510495" w:history="1">
            <w:r w:rsidR="00CC6966" w:rsidRPr="006F432A">
              <w:rPr>
                <w:rStyle w:val="Hyperlink"/>
                <w:rFonts w:ascii="Times New Roman" w:hAnsi="Times New Roman" w:cs="Times New Roman"/>
                <w:i/>
                <w:noProof/>
              </w:rPr>
              <w:t>Low Income Weatherization</w:t>
            </w:r>
            <w:r w:rsidR="00CC6966" w:rsidRPr="006F432A">
              <w:rPr>
                <w:rFonts w:ascii="Times New Roman" w:hAnsi="Times New Roman" w:cs="Times New Roman"/>
                <w:i/>
                <w:noProof/>
                <w:webHidden/>
              </w:rPr>
              <w:tab/>
            </w:r>
            <w:r w:rsidR="00CC6966" w:rsidRPr="006F432A">
              <w:rPr>
                <w:rFonts w:ascii="Times New Roman" w:hAnsi="Times New Roman" w:cs="Times New Roman"/>
                <w:i/>
                <w:noProof/>
                <w:webHidden/>
              </w:rPr>
              <w:fldChar w:fldCharType="begin"/>
            </w:r>
            <w:r w:rsidR="00CC6966" w:rsidRPr="006F432A">
              <w:rPr>
                <w:rFonts w:ascii="Times New Roman" w:hAnsi="Times New Roman" w:cs="Times New Roman"/>
                <w:i/>
                <w:noProof/>
                <w:webHidden/>
              </w:rPr>
              <w:instrText xml:space="preserve"> PAGEREF _Toc449510495 \h </w:instrText>
            </w:r>
            <w:r w:rsidR="00CC6966" w:rsidRPr="006F432A">
              <w:rPr>
                <w:rFonts w:ascii="Times New Roman" w:hAnsi="Times New Roman" w:cs="Times New Roman"/>
                <w:i/>
                <w:noProof/>
                <w:webHidden/>
              </w:rPr>
            </w:r>
            <w:r w:rsidR="00CC6966" w:rsidRPr="006F432A">
              <w:rPr>
                <w:rFonts w:ascii="Times New Roman" w:hAnsi="Times New Roman" w:cs="Times New Roman"/>
                <w:i/>
                <w:noProof/>
                <w:webHidden/>
              </w:rPr>
              <w:fldChar w:fldCharType="separate"/>
            </w:r>
            <w:r w:rsidR="00C57B04">
              <w:rPr>
                <w:rFonts w:ascii="Times New Roman" w:hAnsi="Times New Roman" w:cs="Times New Roman"/>
                <w:i/>
                <w:noProof/>
                <w:webHidden/>
              </w:rPr>
              <w:t>28</w:t>
            </w:r>
            <w:r w:rsidR="00CC6966" w:rsidRPr="006F432A">
              <w:rPr>
                <w:rFonts w:ascii="Times New Roman" w:hAnsi="Times New Roman" w:cs="Times New Roman"/>
                <w:i/>
                <w:noProof/>
                <w:webHidden/>
              </w:rPr>
              <w:fldChar w:fldCharType="end"/>
            </w:r>
          </w:hyperlink>
        </w:p>
        <w:p w14:paraId="2451CB48" w14:textId="77777777" w:rsidR="00CC6966" w:rsidRPr="006F432A" w:rsidRDefault="00EB6872">
          <w:pPr>
            <w:pStyle w:val="TOC2"/>
            <w:tabs>
              <w:tab w:val="right" w:leader="dot" w:pos="9350"/>
            </w:tabs>
            <w:rPr>
              <w:rFonts w:ascii="Times New Roman" w:eastAsiaTheme="minorEastAsia" w:hAnsi="Times New Roman" w:cs="Times New Roman"/>
              <w:i/>
              <w:noProof/>
            </w:rPr>
          </w:pPr>
          <w:hyperlink w:anchor="_Toc449510499" w:history="1">
            <w:r w:rsidR="00CC6966" w:rsidRPr="006F432A">
              <w:rPr>
                <w:rStyle w:val="Hyperlink"/>
                <w:rFonts w:ascii="Times New Roman" w:hAnsi="Times New Roman" w:cs="Times New Roman"/>
                <w:i/>
                <w:noProof/>
              </w:rPr>
              <w:t>Northwest Energy Efficiency Alliance</w:t>
            </w:r>
            <w:r w:rsidR="00CC6966" w:rsidRPr="006F432A">
              <w:rPr>
                <w:rFonts w:ascii="Times New Roman" w:hAnsi="Times New Roman" w:cs="Times New Roman"/>
                <w:i/>
                <w:noProof/>
                <w:webHidden/>
              </w:rPr>
              <w:tab/>
            </w:r>
            <w:r w:rsidR="00CC6966" w:rsidRPr="006F432A">
              <w:rPr>
                <w:rFonts w:ascii="Times New Roman" w:hAnsi="Times New Roman" w:cs="Times New Roman"/>
                <w:i/>
                <w:noProof/>
                <w:webHidden/>
              </w:rPr>
              <w:fldChar w:fldCharType="begin"/>
            </w:r>
            <w:r w:rsidR="00CC6966" w:rsidRPr="006F432A">
              <w:rPr>
                <w:rFonts w:ascii="Times New Roman" w:hAnsi="Times New Roman" w:cs="Times New Roman"/>
                <w:i/>
                <w:noProof/>
                <w:webHidden/>
              </w:rPr>
              <w:instrText xml:space="preserve"> PAGEREF _Toc449510499 \h </w:instrText>
            </w:r>
            <w:r w:rsidR="00CC6966" w:rsidRPr="006F432A">
              <w:rPr>
                <w:rFonts w:ascii="Times New Roman" w:hAnsi="Times New Roman" w:cs="Times New Roman"/>
                <w:i/>
                <w:noProof/>
                <w:webHidden/>
              </w:rPr>
            </w:r>
            <w:r w:rsidR="00CC6966" w:rsidRPr="006F432A">
              <w:rPr>
                <w:rFonts w:ascii="Times New Roman" w:hAnsi="Times New Roman" w:cs="Times New Roman"/>
                <w:i/>
                <w:noProof/>
                <w:webHidden/>
              </w:rPr>
              <w:fldChar w:fldCharType="separate"/>
            </w:r>
            <w:r w:rsidR="00C57B04">
              <w:rPr>
                <w:rFonts w:ascii="Times New Roman" w:hAnsi="Times New Roman" w:cs="Times New Roman"/>
                <w:i/>
                <w:noProof/>
                <w:webHidden/>
              </w:rPr>
              <w:t>30</w:t>
            </w:r>
            <w:r w:rsidR="00CC6966" w:rsidRPr="006F432A">
              <w:rPr>
                <w:rFonts w:ascii="Times New Roman" w:hAnsi="Times New Roman" w:cs="Times New Roman"/>
                <w:i/>
                <w:noProof/>
                <w:webHidden/>
              </w:rPr>
              <w:fldChar w:fldCharType="end"/>
            </w:r>
          </w:hyperlink>
        </w:p>
        <w:p w14:paraId="2451CB49"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501" w:history="1">
            <w:r w:rsidR="00CC6966" w:rsidRPr="006F432A">
              <w:rPr>
                <w:rStyle w:val="Hyperlink"/>
                <w:rFonts w:ascii="Times New Roman" w:hAnsi="Times New Roman" w:cs="Times New Roman"/>
                <w:noProof/>
              </w:rPr>
              <w:t>Non-Residential Energy Efficiency</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_Toc449510501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31</w:t>
            </w:r>
            <w:r w:rsidR="00CC6966" w:rsidRPr="006F432A">
              <w:rPr>
                <w:rFonts w:ascii="Times New Roman" w:hAnsi="Times New Roman" w:cs="Times New Roman"/>
                <w:noProof/>
                <w:webHidden/>
              </w:rPr>
              <w:fldChar w:fldCharType="end"/>
            </w:r>
          </w:hyperlink>
        </w:p>
        <w:p w14:paraId="2451CB4A"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508" w:history="1">
            <w:r w:rsidR="00CC6966" w:rsidRPr="006F432A">
              <w:rPr>
                <w:rStyle w:val="Hyperlink"/>
                <w:rFonts w:ascii="Times New Roman" w:hAnsi="Times New Roman" w:cs="Times New Roman"/>
                <w:noProof/>
              </w:rPr>
              <w:t>Communications, Outreach and Education</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_Toc449510508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37</w:t>
            </w:r>
            <w:r w:rsidR="00CC6966" w:rsidRPr="006F432A">
              <w:rPr>
                <w:rFonts w:ascii="Times New Roman" w:hAnsi="Times New Roman" w:cs="Times New Roman"/>
                <w:noProof/>
                <w:webHidden/>
              </w:rPr>
              <w:fldChar w:fldCharType="end"/>
            </w:r>
          </w:hyperlink>
        </w:p>
        <w:p w14:paraId="2451CB4B" w14:textId="77777777" w:rsidR="00CC6966" w:rsidRPr="006F432A" w:rsidRDefault="00EB6872">
          <w:pPr>
            <w:pStyle w:val="TOC1"/>
            <w:tabs>
              <w:tab w:val="right" w:leader="dot" w:pos="9350"/>
            </w:tabs>
            <w:rPr>
              <w:rFonts w:ascii="Times New Roman" w:eastAsiaTheme="minorEastAsia" w:hAnsi="Times New Roman" w:cs="Times New Roman"/>
              <w:noProof/>
            </w:rPr>
          </w:pPr>
          <w:hyperlink w:anchor="_Toc449510520" w:history="1">
            <w:r w:rsidR="00CC6966" w:rsidRPr="006F432A">
              <w:rPr>
                <w:rStyle w:val="Hyperlink"/>
                <w:rFonts w:ascii="Times New Roman" w:hAnsi="Times New Roman" w:cs="Times New Roman"/>
                <w:noProof/>
              </w:rPr>
              <w:t>Evaluations</w:t>
            </w:r>
            <w:r w:rsidR="00CC6966" w:rsidRPr="006F432A">
              <w:rPr>
                <w:rFonts w:ascii="Times New Roman" w:hAnsi="Times New Roman" w:cs="Times New Roman"/>
                <w:noProof/>
                <w:webHidden/>
              </w:rPr>
              <w:tab/>
            </w:r>
            <w:r w:rsidR="00CC6966" w:rsidRPr="006F432A">
              <w:rPr>
                <w:rFonts w:ascii="Times New Roman" w:hAnsi="Times New Roman" w:cs="Times New Roman"/>
                <w:noProof/>
                <w:webHidden/>
              </w:rPr>
              <w:fldChar w:fldCharType="begin"/>
            </w:r>
            <w:r w:rsidR="00CC6966" w:rsidRPr="006F432A">
              <w:rPr>
                <w:rFonts w:ascii="Times New Roman" w:hAnsi="Times New Roman" w:cs="Times New Roman"/>
                <w:noProof/>
                <w:webHidden/>
              </w:rPr>
              <w:instrText xml:space="preserve"> PAGEREF _Toc449510520 \h </w:instrText>
            </w:r>
            <w:r w:rsidR="00CC6966" w:rsidRPr="006F432A">
              <w:rPr>
                <w:rFonts w:ascii="Times New Roman" w:hAnsi="Times New Roman" w:cs="Times New Roman"/>
                <w:noProof/>
                <w:webHidden/>
              </w:rPr>
            </w:r>
            <w:r w:rsidR="00CC6966" w:rsidRPr="006F432A">
              <w:rPr>
                <w:rFonts w:ascii="Times New Roman" w:hAnsi="Times New Roman" w:cs="Times New Roman"/>
                <w:noProof/>
                <w:webHidden/>
              </w:rPr>
              <w:fldChar w:fldCharType="separate"/>
            </w:r>
            <w:r w:rsidR="00C57B04">
              <w:rPr>
                <w:rFonts w:ascii="Times New Roman" w:hAnsi="Times New Roman" w:cs="Times New Roman"/>
                <w:noProof/>
                <w:webHidden/>
              </w:rPr>
              <w:t>42</w:t>
            </w:r>
            <w:r w:rsidR="00CC6966" w:rsidRPr="006F432A">
              <w:rPr>
                <w:rFonts w:ascii="Times New Roman" w:hAnsi="Times New Roman" w:cs="Times New Roman"/>
                <w:noProof/>
                <w:webHidden/>
              </w:rPr>
              <w:fldChar w:fldCharType="end"/>
            </w:r>
          </w:hyperlink>
        </w:p>
        <w:p w14:paraId="2451CB4C" w14:textId="77777777" w:rsidR="00324A45" w:rsidRPr="00007D31" w:rsidRDefault="00DC16B9">
          <w:pPr>
            <w:rPr>
              <w:rFonts w:ascii="Times New Roman" w:hAnsi="Times New Roman" w:cs="Times New Roman"/>
            </w:rPr>
          </w:pPr>
          <w:r w:rsidRPr="006F432A">
            <w:rPr>
              <w:rFonts w:ascii="Times New Roman" w:hAnsi="Times New Roman" w:cs="Times New Roman"/>
            </w:rPr>
            <w:fldChar w:fldCharType="end"/>
          </w:r>
        </w:p>
      </w:sdtContent>
    </w:sdt>
    <w:p w14:paraId="2451CB4D" w14:textId="77777777" w:rsidR="00E339DF" w:rsidRPr="00A02C77" w:rsidRDefault="00E339DF" w:rsidP="00B87363">
      <w:pPr>
        <w:rPr>
          <w:rFonts w:ascii="Times New Roman" w:hAnsi="Times New Roman" w:cs="Times New Roman"/>
          <w:sz w:val="24"/>
          <w:szCs w:val="24"/>
        </w:rPr>
        <w:sectPr w:rsidR="00E339DF" w:rsidRPr="00A02C77" w:rsidSect="00873B1D">
          <w:headerReference w:type="even" r:id="rId21"/>
          <w:headerReference w:type="default" r:id="rId22"/>
          <w:headerReference w:type="first" r:id="rId23"/>
          <w:footerReference w:type="first" r:id="rId24"/>
          <w:pgSz w:w="12240" w:h="15840"/>
          <w:pgMar w:top="1440" w:right="1440" w:bottom="1440" w:left="1440" w:header="720" w:footer="720" w:gutter="0"/>
          <w:pgNumType w:start="3"/>
          <w:cols w:space="720"/>
          <w:titlePg/>
          <w:docGrid w:linePitch="360"/>
        </w:sectPr>
      </w:pPr>
    </w:p>
    <w:p w14:paraId="2451CB4E" w14:textId="77777777" w:rsidR="00377B37" w:rsidRPr="007716B1" w:rsidRDefault="00377B37" w:rsidP="00A607A2">
      <w:pPr>
        <w:pStyle w:val="Heading1"/>
        <w:rPr>
          <w:b w:val="0"/>
        </w:rPr>
      </w:pPr>
      <w:bookmarkStart w:id="1" w:name="_Toc449510467"/>
      <w:r w:rsidRPr="007716B1">
        <w:lastRenderedPageBreak/>
        <w:t xml:space="preserve">List of Abbreviations and </w:t>
      </w:r>
      <w:r w:rsidRPr="00CE0B1A">
        <w:rPr>
          <w:szCs w:val="24"/>
        </w:rPr>
        <w:t>Acronyms</w:t>
      </w:r>
      <w:bookmarkEnd w:id="1"/>
    </w:p>
    <w:p w14:paraId="2451CB4F" w14:textId="77777777" w:rsidR="00377B37" w:rsidRPr="007716B1" w:rsidRDefault="00377B37" w:rsidP="00377B37">
      <w:pPr>
        <w:rPr>
          <w:rFonts w:ascii="Times New Roman" w:hAnsi="Times New Roman" w:cs="Times New Roman"/>
          <w:b/>
          <w:smallCaps/>
          <w:color w:val="548DD4" w:themeColor="text2" w:themeTint="99"/>
          <w:sz w:val="24"/>
          <w:szCs w:val="24"/>
        </w:rPr>
      </w:pPr>
    </w:p>
    <w:p w14:paraId="2451CB50" w14:textId="77777777" w:rsidR="008E4FB9" w:rsidRPr="007716B1" w:rsidRDefault="00FB7384">
      <w:pPr>
        <w:spacing w:line="360" w:lineRule="auto"/>
        <w:rPr>
          <w:rFonts w:ascii="Times New Roman" w:hAnsi="Times New Roman" w:cs="Times New Roman"/>
          <w:sz w:val="24"/>
          <w:szCs w:val="24"/>
        </w:rPr>
      </w:pPr>
      <w:r w:rsidRPr="007716B1">
        <w:rPr>
          <w:rFonts w:ascii="Times New Roman" w:hAnsi="Times New Roman" w:cs="Times New Roman"/>
          <w:sz w:val="24"/>
          <w:szCs w:val="24"/>
        </w:rPr>
        <w:t>CFL</w:t>
      </w:r>
      <w:r w:rsidRPr="007716B1">
        <w:rPr>
          <w:rFonts w:ascii="Times New Roman" w:hAnsi="Times New Roman" w:cs="Times New Roman"/>
          <w:sz w:val="24"/>
          <w:szCs w:val="24"/>
        </w:rPr>
        <w:tab/>
      </w:r>
      <w:r w:rsidRPr="007716B1">
        <w:rPr>
          <w:rFonts w:ascii="Times New Roman" w:hAnsi="Times New Roman" w:cs="Times New Roman"/>
          <w:sz w:val="24"/>
          <w:szCs w:val="24"/>
        </w:rPr>
        <w:tab/>
      </w:r>
      <w:r w:rsidRPr="007716B1">
        <w:rPr>
          <w:rFonts w:ascii="Times New Roman" w:hAnsi="Times New Roman" w:cs="Times New Roman"/>
          <w:sz w:val="24"/>
          <w:szCs w:val="24"/>
        </w:rPr>
        <w:tab/>
        <w:t>Compact Fluorescent Light</w:t>
      </w:r>
      <w:r w:rsidR="000C21A1">
        <w:rPr>
          <w:rFonts w:ascii="Times New Roman" w:hAnsi="Times New Roman" w:cs="Times New Roman"/>
          <w:sz w:val="24"/>
          <w:szCs w:val="24"/>
        </w:rPr>
        <w:t>ing</w:t>
      </w:r>
      <w:r w:rsidRPr="007716B1">
        <w:rPr>
          <w:rFonts w:ascii="Times New Roman" w:hAnsi="Times New Roman" w:cs="Times New Roman"/>
          <w:sz w:val="24"/>
          <w:szCs w:val="24"/>
        </w:rPr>
        <w:t xml:space="preserve"> </w:t>
      </w:r>
    </w:p>
    <w:p w14:paraId="2451CB51" w14:textId="77777777" w:rsidR="0090562D" w:rsidRPr="007716B1" w:rsidRDefault="00377B37">
      <w:pPr>
        <w:spacing w:line="360" w:lineRule="auto"/>
        <w:rPr>
          <w:rFonts w:ascii="Times New Roman" w:hAnsi="Times New Roman" w:cs="Times New Roman"/>
          <w:sz w:val="24"/>
          <w:szCs w:val="24"/>
        </w:rPr>
      </w:pPr>
      <w:r w:rsidRPr="007716B1">
        <w:rPr>
          <w:rFonts w:ascii="Times New Roman" w:hAnsi="Times New Roman" w:cs="Times New Roman"/>
          <w:sz w:val="24"/>
          <w:szCs w:val="24"/>
        </w:rPr>
        <w:t>DSM</w:t>
      </w:r>
      <w:r w:rsidRPr="007716B1">
        <w:rPr>
          <w:rFonts w:ascii="Times New Roman" w:hAnsi="Times New Roman" w:cs="Times New Roman"/>
          <w:sz w:val="24"/>
          <w:szCs w:val="24"/>
        </w:rPr>
        <w:tab/>
      </w:r>
      <w:r w:rsidRPr="007716B1">
        <w:rPr>
          <w:rFonts w:ascii="Times New Roman" w:hAnsi="Times New Roman" w:cs="Times New Roman"/>
          <w:sz w:val="24"/>
          <w:szCs w:val="24"/>
        </w:rPr>
        <w:tab/>
      </w:r>
      <w:r w:rsidRPr="007716B1">
        <w:rPr>
          <w:rFonts w:ascii="Times New Roman" w:hAnsi="Times New Roman" w:cs="Times New Roman"/>
          <w:sz w:val="24"/>
          <w:szCs w:val="24"/>
        </w:rPr>
        <w:tab/>
        <w:t>Demand-</w:t>
      </w:r>
      <w:r w:rsidR="00540E42">
        <w:rPr>
          <w:rFonts w:ascii="Times New Roman" w:hAnsi="Times New Roman" w:cs="Times New Roman"/>
          <w:sz w:val="24"/>
          <w:szCs w:val="24"/>
        </w:rPr>
        <w:t>s</w:t>
      </w:r>
      <w:r w:rsidRPr="007716B1">
        <w:rPr>
          <w:rFonts w:ascii="Times New Roman" w:hAnsi="Times New Roman" w:cs="Times New Roman"/>
          <w:sz w:val="24"/>
          <w:szCs w:val="24"/>
        </w:rPr>
        <w:t>ide Management</w:t>
      </w:r>
    </w:p>
    <w:p w14:paraId="2451CB52" w14:textId="77777777" w:rsidR="00DD42D3" w:rsidRPr="007716B1" w:rsidRDefault="008E1548">
      <w:pPr>
        <w:spacing w:line="360" w:lineRule="auto"/>
        <w:rPr>
          <w:rFonts w:ascii="Times New Roman" w:hAnsi="Times New Roman" w:cs="Times New Roman"/>
          <w:sz w:val="24"/>
          <w:szCs w:val="24"/>
        </w:rPr>
      </w:pPr>
      <w:r>
        <w:rPr>
          <w:rFonts w:ascii="Times New Roman" w:hAnsi="Times New Roman" w:cs="Times New Roman"/>
          <w:sz w:val="24"/>
          <w:szCs w:val="24"/>
        </w:rPr>
        <w:t>Schedule 191</w:t>
      </w:r>
      <w:r w:rsidR="00FB7384" w:rsidRPr="007716B1">
        <w:rPr>
          <w:rFonts w:ascii="Times New Roman" w:hAnsi="Times New Roman" w:cs="Times New Roman"/>
          <w:sz w:val="24"/>
          <w:szCs w:val="24"/>
        </w:rPr>
        <w:tab/>
      </w:r>
      <w:r w:rsidR="00253D75">
        <w:rPr>
          <w:rFonts w:ascii="Times New Roman" w:hAnsi="Times New Roman" w:cs="Times New Roman"/>
          <w:sz w:val="24"/>
          <w:szCs w:val="24"/>
        </w:rPr>
        <w:tab/>
      </w:r>
      <w:r w:rsidR="00FB7384" w:rsidRPr="007716B1">
        <w:rPr>
          <w:rFonts w:ascii="Times New Roman" w:hAnsi="Times New Roman" w:cs="Times New Roman"/>
          <w:sz w:val="24"/>
          <w:szCs w:val="24"/>
        </w:rPr>
        <w:t xml:space="preserve">Schedule 191 </w:t>
      </w:r>
      <w:r w:rsidR="00DA6705">
        <w:rPr>
          <w:rFonts w:ascii="Times New Roman" w:hAnsi="Times New Roman" w:cs="Times New Roman"/>
          <w:sz w:val="24"/>
          <w:szCs w:val="24"/>
        </w:rPr>
        <w:t>System Benefits Charge Adjustment</w:t>
      </w:r>
    </w:p>
    <w:p w14:paraId="2451CB53" w14:textId="77777777" w:rsidR="00DD42D3" w:rsidRDefault="00377B37">
      <w:pPr>
        <w:spacing w:line="360" w:lineRule="auto"/>
        <w:rPr>
          <w:rFonts w:ascii="Times New Roman" w:hAnsi="Times New Roman" w:cs="Times New Roman"/>
          <w:sz w:val="24"/>
          <w:szCs w:val="24"/>
        </w:rPr>
      </w:pPr>
      <w:r w:rsidRPr="007716B1">
        <w:rPr>
          <w:rFonts w:ascii="Times New Roman" w:hAnsi="Times New Roman" w:cs="Times New Roman"/>
          <w:sz w:val="24"/>
          <w:szCs w:val="24"/>
        </w:rPr>
        <w:t>EM&amp;V</w:t>
      </w:r>
      <w:r w:rsidRPr="007716B1">
        <w:rPr>
          <w:rFonts w:ascii="Times New Roman" w:hAnsi="Times New Roman" w:cs="Times New Roman"/>
          <w:sz w:val="24"/>
          <w:szCs w:val="24"/>
        </w:rPr>
        <w:tab/>
      </w:r>
      <w:r w:rsidRPr="007716B1">
        <w:rPr>
          <w:rFonts w:ascii="Times New Roman" w:hAnsi="Times New Roman" w:cs="Times New Roman"/>
          <w:sz w:val="24"/>
          <w:szCs w:val="24"/>
        </w:rPr>
        <w:tab/>
        <w:t>Evaluation, Measurement &amp; Verification</w:t>
      </w:r>
    </w:p>
    <w:p w14:paraId="2451CB54" w14:textId="77777777" w:rsidR="004426D5" w:rsidRPr="007716B1" w:rsidRDefault="004426D5">
      <w:pPr>
        <w:spacing w:line="360" w:lineRule="auto"/>
        <w:rPr>
          <w:rFonts w:ascii="Times New Roman" w:hAnsi="Times New Roman" w:cs="Times New Roman"/>
          <w:sz w:val="24"/>
          <w:szCs w:val="24"/>
        </w:rPr>
      </w:pPr>
      <w:r>
        <w:rPr>
          <w:rFonts w:ascii="Times New Roman" w:hAnsi="Times New Roman" w:cs="Times New Roman"/>
          <w:sz w:val="24"/>
          <w:szCs w:val="24"/>
        </w:rPr>
        <w:t>GWh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6C11">
        <w:rPr>
          <w:rFonts w:ascii="Times New Roman" w:hAnsi="Times New Roman" w:cs="Times New Roman"/>
          <w:sz w:val="24"/>
          <w:szCs w:val="24"/>
        </w:rPr>
        <w:t>Gigawatt-hour</w:t>
      </w:r>
      <w:r w:rsidR="00911894">
        <w:rPr>
          <w:rFonts w:ascii="Times New Roman" w:hAnsi="Times New Roman" w:cs="Times New Roman"/>
          <w:sz w:val="24"/>
          <w:szCs w:val="24"/>
        </w:rPr>
        <w:t>(s)</w:t>
      </w:r>
    </w:p>
    <w:p w14:paraId="2451CB55" w14:textId="77777777" w:rsidR="00DD42D3" w:rsidRPr="007716B1" w:rsidRDefault="00660E12">
      <w:pPr>
        <w:spacing w:line="360" w:lineRule="auto"/>
        <w:rPr>
          <w:rFonts w:ascii="Times New Roman" w:hAnsi="Times New Roman" w:cs="Times New Roman"/>
          <w:sz w:val="24"/>
          <w:szCs w:val="24"/>
        </w:rPr>
      </w:pPr>
      <w:r>
        <w:rPr>
          <w:rFonts w:ascii="Times New Roman" w:hAnsi="Times New Roman" w:cs="Times New Roman"/>
          <w:sz w:val="24"/>
          <w:szCs w:val="24"/>
        </w:rPr>
        <w:t>HVAC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Heating, Ventilation and Air C</w:t>
      </w:r>
      <w:r w:rsidR="00FB7384" w:rsidRPr="007716B1">
        <w:rPr>
          <w:rFonts w:ascii="Times New Roman" w:hAnsi="Times New Roman" w:cs="Times New Roman"/>
          <w:sz w:val="24"/>
          <w:szCs w:val="24"/>
        </w:rPr>
        <w:t>onditioning</w:t>
      </w:r>
    </w:p>
    <w:p w14:paraId="2451CB56" w14:textId="77777777" w:rsidR="00DD42D3" w:rsidRPr="007716B1" w:rsidRDefault="00377B37">
      <w:pPr>
        <w:spacing w:line="360" w:lineRule="auto"/>
        <w:rPr>
          <w:rFonts w:ascii="Times New Roman" w:hAnsi="Times New Roman" w:cs="Times New Roman"/>
          <w:sz w:val="24"/>
          <w:szCs w:val="24"/>
        </w:rPr>
      </w:pPr>
      <w:r w:rsidRPr="007716B1">
        <w:rPr>
          <w:rFonts w:ascii="Times New Roman" w:hAnsi="Times New Roman" w:cs="Times New Roman"/>
          <w:sz w:val="24"/>
          <w:szCs w:val="24"/>
        </w:rPr>
        <w:t>IRP</w:t>
      </w:r>
      <w:r w:rsidRPr="007716B1">
        <w:rPr>
          <w:rFonts w:ascii="Times New Roman" w:hAnsi="Times New Roman" w:cs="Times New Roman"/>
          <w:sz w:val="24"/>
          <w:szCs w:val="24"/>
        </w:rPr>
        <w:tab/>
      </w:r>
      <w:r w:rsidRPr="007716B1">
        <w:rPr>
          <w:rFonts w:ascii="Times New Roman" w:hAnsi="Times New Roman" w:cs="Times New Roman"/>
          <w:sz w:val="24"/>
          <w:szCs w:val="24"/>
        </w:rPr>
        <w:tab/>
      </w:r>
      <w:r w:rsidRPr="007716B1">
        <w:rPr>
          <w:rFonts w:ascii="Times New Roman" w:hAnsi="Times New Roman" w:cs="Times New Roman"/>
          <w:sz w:val="24"/>
          <w:szCs w:val="24"/>
        </w:rPr>
        <w:tab/>
        <w:t>Integrated Resource Plan</w:t>
      </w:r>
    </w:p>
    <w:p w14:paraId="2451CB57" w14:textId="77777777" w:rsidR="00DD42D3" w:rsidRDefault="00377B37">
      <w:pPr>
        <w:spacing w:line="360" w:lineRule="auto"/>
        <w:rPr>
          <w:rFonts w:ascii="Times New Roman" w:hAnsi="Times New Roman" w:cs="Times New Roman"/>
          <w:sz w:val="24"/>
          <w:szCs w:val="24"/>
        </w:rPr>
      </w:pPr>
      <w:r w:rsidRPr="007716B1">
        <w:rPr>
          <w:rFonts w:ascii="Times New Roman" w:hAnsi="Times New Roman" w:cs="Times New Roman"/>
          <w:sz w:val="24"/>
          <w:szCs w:val="24"/>
        </w:rPr>
        <w:t>kWh</w:t>
      </w:r>
      <w:r w:rsidRPr="007716B1">
        <w:rPr>
          <w:rFonts w:ascii="Times New Roman" w:hAnsi="Times New Roman" w:cs="Times New Roman"/>
          <w:sz w:val="24"/>
          <w:szCs w:val="24"/>
        </w:rPr>
        <w:tab/>
      </w:r>
      <w:r w:rsidRPr="007716B1">
        <w:rPr>
          <w:rFonts w:ascii="Times New Roman" w:hAnsi="Times New Roman" w:cs="Times New Roman"/>
          <w:sz w:val="24"/>
          <w:szCs w:val="24"/>
        </w:rPr>
        <w:tab/>
      </w:r>
      <w:r w:rsidRPr="007716B1">
        <w:rPr>
          <w:rFonts w:ascii="Times New Roman" w:hAnsi="Times New Roman" w:cs="Times New Roman"/>
          <w:sz w:val="24"/>
          <w:szCs w:val="24"/>
        </w:rPr>
        <w:tab/>
        <w:t>Kilowatt</w:t>
      </w:r>
      <w:r w:rsidR="00540E42">
        <w:rPr>
          <w:rFonts w:ascii="Times New Roman" w:hAnsi="Times New Roman" w:cs="Times New Roman"/>
          <w:sz w:val="24"/>
          <w:szCs w:val="24"/>
        </w:rPr>
        <w:t>-</w:t>
      </w:r>
      <w:r w:rsidRPr="007716B1">
        <w:rPr>
          <w:rFonts w:ascii="Times New Roman" w:hAnsi="Times New Roman" w:cs="Times New Roman"/>
          <w:sz w:val="24"/>
          <w:szCs w:val="24"/>
        </w:rPr>
        <w:t>hour</w:t>
      </w:r>
    </w:p>
    <w:p w14:paraId="2451CB58" w14:textId="77777777" w:rsidR="0000747E" w:rsidRDefault="00E626B3">
      <w:pPr>
        <w:spacing w:line="360" w:lineRule="auto"/>
        <w:rPr>
          <w:rFonts w:ascii="Times New Roman" w:hAnsi="Times New Roman" w:cs="Times New Roman"/>
          <w:sz w:val="24"/>
          <w:szCs w:val="24"/>
        </w:rPr>
      </w:pPr>
      <w:r>
        <w:rPr>
          <w:rFonts w:ascii="Times New Roman" w:hAnsi="Times New Roman" w:cs="Times New Roman"/>
          <w:sz w:val="24"/>
          <w:szCs w:val="24"/>
        </w:rPr>
        <w:t>LED</w:t>
      </w:r>
      <w:r w:rsidR="0000747E">
        <w:rPr>
          <w:rFonts w:ascii="Times New Roman" w:hAnsi="Times New Roman" w:cs="Times New Roman"/>
          <w:sz w:val="24"/>
          <w:szCs w:val="24"/>
        </w:rPr>
        <w:tab/>
      </w:r>
      <w:r w:rsidR="0000747E">
        <w:rPr>
          <w:rFonts w:ascii="Times New Roman" w:hAnsi="Times New Roman" w:cs="Times New Roman"/>
          <w:sz w:val="24"/>
          <w:szCs w:val="24"/>
        </w:rPr>
        <w:tab/>
      </w:r>
      <w:r w:rsidR="0000747E">
        <w:rPr>
          <w:rFonts w:ascii="Times New Roman" w:hAnsi="Times New Roman" w:cs="Times New Roman"/>
          <w:sz w:val="24"/>
          <w:szCs w:val="24"/>
        </w:rPr>
        <w:tab/>
        <w:t>Light-emitting Diode</w:t>
      </w:r>
      <w:r w:rsidR="008E4FB9">
        <w:rPr>
          <w:rFonts w:ascii="Times New Roman" w:hAnsi="Times New Roman" w:cs="Times New Roman"/>
          <w:sz w:val="24"/>
          <w:szCs w:val="24"/>
        </w:rPr>
        <w:t xml:space="preserve"> </w:t>
      </w:r>
    </w:p>
    <w:p w14:paraId="2451CB59" w14:textId="77777777" w:rsidR="00B55504" w:rsidRPr="007716B1" w:rsidRDefault="00B55504">
      <w:pPr>
        <w:spacing w:line="360" w:lineRule="auto"/>
        <w:rPr>
          <w:rFonts w:ascii="Times New Roman" w:hAnsi="Times New Roman" w:cs="Times New Roman"/>
          <w:sz w:val="24"/>
          <w:szCs w:val="24"/>
        </w:rPr>
      </w:pPr>
      <w:r>
        <w:rPr>
          <w:rFonts w:ascii="Times New Roman" w:hAnsi="Times New Roman" w:cs="Times New Roman"/>
          <w:sz w:val="24"/>
          <w:szCs w:val="24"/>
        </w:rPr>
        <w:t>MWh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Megawatt-hour</w:t>
      </w:r>
    </w:p>
    <w:p w14:paraId="2451CB5A" w14:textId="77777777" w:rsidR="00FE7018" w:rsidRDefault="00FE7018">
      <w:pPr>
        <w:spacing w:line="360" w:lineRule="auto"/>
        <w:rPr>
          <w:rFonts w:ascii="Times New Roman" w:hAnsi="Times New Roman" w:cs="Times New Roman"/>
          <w:sz w:val="24"/>
          <w:szCs w:val="24"/>
        </w:rPr>
      </w:pPr>
      <w:r>
        <w:rPr>
          <w:rFonts w:ascii="Times New Roman" w:hAnsi="Times New Roman" w:cs="Times New Roman"/>
          <w:sz w:val="24"/>
          <w:szCs w:val="24"/>
        </w:rPr>
        <w:t>NEEA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Northwest Energy Efficiency Alliance</w:t>
      </w:r>
    </w:p>
    <w:p w14:paraId="2451CB5B" w14:textId="77777777" w:rsidR="00FA6C11" w:rsidRDefault="00FA6C11">
      <w:pPr>
        <w:spacing w:line="360" w:lineRule="auto"/>
        <w:rPr>
          <w:rFonts w:ascii="Times New Roman" w:hAnsi="Times New Roman" w:cs="Times New Roman"/>
          <w:sz w:val="24"/>
          <w:szCs w:val="24"/>
        </w:rPr>
      </w:pPr>
      <w:r>
        <w:rPr>
          <w:rFonts w:ascii="Times New Roman" w:hAnsi="Times New Roman" w:cs="Times New Roman"/>
          <w:sz w:val="24"/>
          <w:szCs w:val="24"/>
        </w:rPr>
        <w:t>NEF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 Energy Foundation</w:t>
      </w:r>
    </w:p>
    <w:p w14:paraId="2451CB5C" w14:textId="77777777" w:rsidR="00DD42D3" w:rsidRPr="007716B1" w:rsidRDefault="00377B37">
      <w:pPr>
        <w:spacing w:line="360" w:lineRule="auto"/>
        <w:rPr>
          <w:rFonts w:ascii="Times New Roman" w:hAnsi="Times New Roman" w:cs="Times New Roman"/>
          <w:sz w:val="24"/>
          <w:szCs w:val="24"/>
        </w:rPr>
      </w:pPr>
      <w:r w:rsidRPr="007716B1">
        <w:rPr>
          <w:rFonts w:ascii="Times New Roman" w:hAnsi="Times New Roman" w:cs="Times New Roman"/>
          <w:sz w:val="24"/>
          <w:szCs w:val="24"/>
        </w:rPr>
        <w:t>NTG</w:t>
      </w:r>
      <w:r w:rsidRPr="007716B1">
        <w:rPr>
          <w:rFonts w:ascii="Times New Roman" w:hAnsi="Times New Roman" w:cs="Times New Roman"/>
          <w:sz w:val="24"/>
          <w:szCs w:val="24"/>
        </w:rPr>
        <w:tab/>
      </w:r>
      <w:r w:rsidRPr="007716B1">
        <w:rPr>
          <w:rFonts w:ascii="Times New Roman" w:hAnsi="Times New Roman" w:cs="Times New Roman"/>
          <w:sz w:val="24"/>
          <w:szCs w:val="24"/>
        </w:rPr>
        <w:tab/>
      </w:r>
      <w:r w:rsidRPr="007716B1">
        <w:rPr>
          <w:rFonts w:ascii="Times New Roman" w:hAnsi="Times New Roman" w:cs="Times New Roman"/>
          <w:sz w:val="24"/>
          <w:szCs w:val="24"/>
        </w:rPr>
        <w:tab/>
        <w:t>Net</w:t>
      </w:r>
      <w:r w:rsidR="00FB7384" w:rsidRPr="007716B1">
        <w:rPr>
          <w:rFonts w:ascii="Times New Roman" w:hAnsi="Times New Roman" w:cs="Times New Roman"/>
          <w:sz w:val="24"/>
          <w:szCs w:val="24"/>
        </w:rPr>
        <w:t>-</w:t>
      </w:r>
      <w:r w:rsidRPr="007716B1">
        <w:rPr>
          <w:rFonts w:ascii="Times New Roman" w:hAnsi="Times New Roman" w:cs="Times New Roman"/>
          <w:sz w:val="24"/>
          <w:szCs w:val="24"/>
        </w:rPr>
        <w:t>to</w:t>
      </w:r>
      <w:r w:rsidR="00FB7384" w:rsidRPr="007716B1">
        <w:rPr>
          <w:rFonts w:ascii="Times New Roman" w:hAnsi="Times New Roman" w:cs="Times New Roman"/>
          <w:sz w:val="24"/>
          <w:szCs w:val="24"/>
        </w:rPr>
        <w:t>-</w:t>
      </w:r>
      <w:r w:rsidRPr="007716B1">
        <w:rPr>
          <w:rFonts w:ascii="Times New Roman" w:hAnsi="Times New Roman" w:cs="Times New Roman"/>
          <w:sz w:val="24"/>
          <w:szCs w:val="24"/>
        </w:rPr>
        <w:t xml:space="preserve">Gross </w:t>
      </w:r>
    </w:p>
    <w:p w14:paraId="2451CB5D" w14:textId="77777777" w:rsidR="00DD42D3" w:rsidRPr="007716B1" w:rsidRDefault="00377B37">
      <w:pPr>
        <w:spacing w:line="360" w:lineRule="auto"/>
        <w:rPr>
          <w:rFonts w:ascii="Times New Roman" w:hAnsi="Times New Roman" w:cs="Times New Roman"/>
          <w:sz w:val="24"/>
          <w:szCs w:val="24"/>
        </w:rPr>
      </w:pPr>
      <w:r w:rsidRPr="00660E12">
        <w:rPr>
          <w:rFonts w:ascii="Times New Roman" w:hAnsi="Times New Roman" w:cs="Times New Roman"/>
          <w:sz w:val="24"/>
          <w:szCs w:val="24"/>
        </w:rPr>
        <w:t>PCT</w:t>
      </w:r>
      <w:r w:rsidRPr="00660E12">
        <w:rPr>
          <w:rFonts w:ascii="Times New Roman" w:hAnsi="Times New Roman" w:cs="Times New Roman"/>
          <w:sz w:val="24"/>
          <w:szCs w:val="24"/>
        </w:rPr>
        <w:tab/>
      </w:r>
      <w:r w:rsidRPr="00660E12">
        <w:rPr>
          <w:rFonts w:ascii="Times New Roman" w:hAnsi="Times New Roman" w:cs="Times New Roman"/>
          <w:sz w:val="24"/>
          <w:szCs w:val="24"/>
        </w:rPr>
        <w:tab/>
      </w:r>
      <w:r w:rsidRPr="00660E12">
        <w:rPr>
          <w:rFonts w:ascii="Times New Roman" w:hAnsi="Times New Roman" w:cs="Times New Roman"/>
          <w:sz w:val="24"/>
          <w:szCs w:val="24"/>
        </w:rPr>
        <w:tab/>
        <w:t>Participant Cost Test</w:t>
      </w:r>
    </w:p>
    <w:p w14:paraId="2451CB5E" w14:textId="77777777" w:rsidR="00DA6705" w:rsidRDefault="006F0A09">
      <w:pPr>
        <w:spacing w:line="360" w:lineRule="auto"/>
        <w:rPr>
          <w:rFonts w:ascii="Times New Roman" w:hAnsi="Times New Roman" w:cs="Times New Roman"/>
          <w:sz w:val="24"/>
          <w:szCs w:val="24"/>
        </w:rPr>
      </w:pPr>
      <w:r>
        <w:rPr>
          <w:rFonts w:ascii="Times New Roman" w:hAnsi="Times New Roman" w:cs="Times New Roman"/>
          <w:sz w:val="24"/>
          <w:szCs w:val="24"/>
        </w:rPr>
        <w:t>PTRC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PacifiC</w:t>
      </w:r>
      <w:r w:rsidR="00DA6705">
        <w:rPr>
          <w:rFonts w:ascii="Times New Roman" w:hAnsi="Times New Roman" w:cs="Times New Roman"/>
          <w:sz w:val="24"/>
          <w:szCs w:val="24"/>
        </w:rPr>
        <w:t>orp Total Resource Cost test</w:t>
      </w:r>
    </w:p>
    <w:p w14:paraId="2451CB5F" w14:textId="77777777" w:rsidR="00DD42D3" w:rsidRPr="007716B1" w:rsidRDefault="00377B37">
      <w:pPr>
        <w:spacing w:line="360" w:lineRule="auto"/>
        <w:rPr>
          <w:rFonts w:ascii="Times New Roman" w:hAnsi="Times New Roman" w:cs="Times New Roman"/>
          <w:sz w:val="24"/>
          <w:szCs w:val="24"/>
        </w:rPr>
      </w:pPr>
      <w:r w:rsidRPr="00660E12">
        <w:rPr>
          <w:rFonts w:ascii="Times New Roman" w:hAnsi="Times New Roman" w:cs="Times New Roman"/>
          <w:sz w:val="24"/>
          <w:szCs w:val="24"/>
        </w:rPr>
        <w:t>RIM</w:t>
      </w:r>
      <w:r w:rsidRPr="00660E12">
        <w:rPr>
          <w:rFonts w:ascii="Times New Roman" w:hAnsi="Times New Roman" w:cs="Times New Roman"/>
          <w:sz w:val="24"/>
          <w:szCs w:val="24"/>
        </w:rPr>
        <w:tab/>
      </w:r>
      <w:r w:rsidRPr="00660E12">
        <w:rPr>
          <w:rFonts w:ascii="Times New Roman" w:hAnsi="Times New Roman" w:cs="Times New Roman"/>
          <w:sz w:val="24"/>
          <w:szCs w:val="24"/>
        </w:rPr>
        <w:tab/>
      </w:r>
      <w:r w:rsidRPr="00660E12">
        <w:rPr>
          <w:rFonts w:ascii="Times New Roman" w:hAnsi="Times New Roman" w:cs="Times New Roman"/>
          <w:sz w:val="24"/>
          <w:szCs w:val="24"/>
        </w:rPr>
        <w:tab/>
        <w:t xml:space="preserve">Ratepayer Impact Measure </w:t>
      </w:r>
      <w:r w:rsidR="00C17EE5">
        <w:rPr>
          <w:rFonts w:ascii="Times New Roman" w:hAnsi="Times New Roman" w:cs="Times New Roman"/>
          <w:sz w:val="24"/>
          <w:szCs w:val="24"/>
        </w:rPr>
        <w:t>t</w:t>
      </w:r>
      <w:r w:rsidRPr="00660E12">
        <w:rPr>
          <w:rFonts w:ascii="Times New Roman" w:hAnsi="Times New Roman" w:cs="Times New Roman"/>
          <w:sz w:val="24"/>
          <w:szCs w:val="24"/>
        </w:rPr>
        <w:t>est</w:t>
      </w:r>
    </w:p>
    <w:p w14:paraId="2451CB60" w14:textId="77777777" w:rsidR="00D663F1" w:rsidRDefault="00D663F1">
      <w:pPr>
        <w:spacing w:line="360" w:lineRule="auto"/>
        <w:rPr>
          <w:rFonts w:ascii="Times New Roman" w:hAnsi="Times New Roman" w:cs="Times New Roman"/>
          <w:sz w:val="24"/>
          <w:szCs w:val="24"/>
        </w:rPr>
      </w:pPr>
      <w:r>
        <w:rPr>
          <w:rFonts w:ascii="Times New Roman" w:hAnsi="Times New Roman" w:cs="Times New Roman"/>
          <w:sz w:val="24"/>
          <w:szCs w:val="24"/>
        </w:rPr>
        <w:t>SBC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System Benefit Charge</w:t>
      </w:r>
    </w:p>
    <w:p w14:paraId="2451CB61" w14:textId="77777777" w:rsidR="00DD42D3" w:rsidRDefault="00DA6705">
      <w:pPr>
        <w:spacing w:line="360" w:lineRule="auto"/>
        <w:rPr>
          <w:rFonts w:ascii="Times New Roman" w:hAnsi="Times New Roman" w:cs="Times New Roman"/>
          <w:sz w:val="24"/>
          <w:szCs w:val="24"/>
        </w:rPr>
      </w:pPr>
      <w:r>
        <w:rPr>
          <w:rFonts w:ascii="Times New Roman" w:hAnsi="Times New Roman" w:cs="Times New Roman"/>
          <w:sz w:val="24"/>
          <w:szCs w:val="24"/>
        </w:rPr>
        <w:t>TRC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Resource Cost t</w:t>
      </w:r>
      <w:r w:rsidR="00377B37" w:rsidRPr="00660E12">
        <w:rPr>
          <w:rFonts w:ascii="Times New Roman" w:hAnsi="Times New Roman" w:cs="Times New Roman"/>
          <w:sz w:val="24"/>
          <w:szCs w:val="24"/>
        </w:rPr>
        <w:t>est</w:t>
      </w:r>
    </w:p>
    <w:p w14:paraId="2451CB62" w14:textId="77777777" w:rsidR="00E81B5E" w:rsidRDefault="00FA6C11">
      <w:pPr>
        <w:spacing w:line="360" w:lineRule="auto"/>
        <w:rPr>
          <w:rFonts w:ascii="Times New Roman" w:hAnsi="Times New Roman" w:cs="Times New Roman"/>
          <w:sz w:val="24"/>
          <w:szCs w:val="24"/>
        </w:rPr>
      </w:pPr>
      <w:r>
        <w:rPr>
          <w:rFonts w:ascii="Times New Roman" w:hAnsi="Times New Roman" w:cs="Times New Roman"/>
          <w:sz w:val="24"/>
          <w:szCs w:val="24"/>
        </w:rPr>
        <w:t>TR</w:t>
      </w:r>
      <w:r w:rsidR="00A34865">
        <w:rPr>
          <w:rFonts w:ascii="Times New Roman" w:hAnsi="Times New Roman" w:cs="Times New Roman"/>
          <w:sz w:val="24"/>
          <w:szCs w:val="24"/>
        </w:rPr>
        <w:t>L</w:t>
      </w:r>
      <w:r>
        <w:rPr>
          <w:rFonts w:ascii="Times New Roman" w:hAnsi="Times New Roman" w:cs="Times New Roman"/>
          <w:sz w:val="24"/>
          <w:szCs w:val="24"/>
        </w:rPr>
        <w:tab/>
      </w:r>
      <w:r w:rsidR="00E81B5E">
        <w:rPr>
          <w:rFonts w:ascii="Times New Roman" w:hAnsi="Times New Roman" w:cs="Times New Roman"/>
          <w:sz w:val="24"/>
          <w:szCs w:val="24"/>
        </w:rPr>
        <w:tab/>
      </w:r>
      <w:r w:rsidR="00E81B5E">
        <w:rPr>
          <w:rFonts w:ascii="Times New Roman" w:hAnsi="Times New Roman" w:cs="Times New Roman"/>
          <w:sz w:val="24"/>
          <w:szCs w:val="24"/>
        </w:rPr>
        <w:tab/>
      </w:r>
      <w:r>
        <w:rPr>
          <w:rFonts w:ascii="Times New Roman" w:hAnsi="Times New Roman" w:cs="Times New Roman"/>
          <w:sz w:val="24"/>
          <w:szCs w:val="24"/>
        </w:rPr>
        <w:t>Technical Resource</w:t>
      </w:r>
      <w:r w:rsidR="00E81B5E">
        <w:rPr>
          <w:rFonts w:ascii="Times New Roman" w:hAnsi="Times New Roman" w:cs="Times New Roman"/>
          <w:sz w:val="24"/>
          <w:szCs w:val="24"/>
        </w:rPr>
        <w:t xml:space="preserve"> </w:t>
      </w:r>
      <w:r w:rsidR="00A34865">
        <w:rPr>
          <w:rFonts w:ascii="Times New Roman" w:hAnsi="Times New Roman" w:cs="Times New Roman"/>
          <w:sz w:val="24"/>
          <w:szCs w:val="24"/>
        </w:rPr>
        <w:t>Library</w:t>
      </w:r>
    </w:p>
    <w:p w14:paraId="2451CB63" w14:textId="77777777" w:rsidR="00DD42D3" w:rsidRDefault="00377B37">
      <w:pPr>
        <w:spacing w:line="360" w:lineRule="auto"/>
        <w:rPr>
          <w:rFonts w:ascii="Times New Roman" w:hAnsi="Times New Roman" w:cs="Times New Roman"/>
          <w:sz w:val="24"/>
          <w:szCs w:val="24"/>
        </w:rPr>
      </w:pPr>
      <w:r w:rsidRPr="00660E12">
        <w:rPr>
          <w:rFonts w:ascii="Times New Roman" w:hAnsi="Times New Roman" w:cs="Times New Roman"/>
          <w:sz w:val="24"/>
          <w:szCs w:val="24"/>
        </w:rPr>
        <w:t>UCT</w:t>
      </w:r>
      <w:r w:rsidRPr="00660E12">
        <w:rPr>
          <w:rFonts w:ascii="Times New Roman" w:hAnsi="Times New Roman" w:cs="Times New Roman"/>
          <w:sz w:val="24"/>
          <w:szCs w:val="24"/>
        </w:rPr>
        <w:tab/>
      </w:r>
      <w:r w:rsidRPr="00660E12">
        <w:rPr>
          <w:rFonts w:ascii="Times New Roman" w:hAnsi="Times New Roman" w:cs="Times New Roman"/>
          <w:sz w:val="24"/>
          <w:szCs w:val="24"/>
        </w:rPr>
        <w:tab/>
      </w:r>
      <w:r w:rsidRPr="00660E12">
        <w:rPr>
          <w:rFonts w:ascii="Times New Roman" w:hAnsi="Times New Roman" w:cs="Times New Roman"/>
          <w:sz w:val="24"/>
          <w:szCs w:val="24"/>
        </w:rPr>
        <w:tab/>
        <w:t>Utility Cost Test</w:t>
      </w:r>
    </w:p>
    <w:p w14:paraId="2451CB64" w14:textId="77777777" w:rsidR="00050677" w:rsidRDefault="00050677">
      <w:pPr>
        <w:spacing w:line="360" w:lineRule="auto"/>
        <w:rPr>
          <w:rFonts w:ascii="Times New Roman" w:hAnsi="Times New Roman" w:cs="Times New Roman"/>
          <w:sz w:val="24"/>
          <w:szCs w:val="24"/>
        </w:rPr>
      </w:pPr>
      <w:r>
        <w:rPr>
          <w:rFonts w:ascii="Times New Roman" w:hAnsi="Times New Roman" w:cs="Times New Roman"/>
          <w:sz w:val="24"/>
          <w:szCs w:val="24"/>
        </w:rPr>
        <w:t>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Energy Savings</w:t>
      </w:r>
    </w:p>
    <w:p w14:paraId="2451CB65" w14:textId="77777777" w:rsidR="00FA6C11" w:rsidRDefault="00FA6C11">
      <w:pPr>
        <w:spacing w:line="360" w:lineRule="auto"/>
        <w:rPr>
          <w:rFonts w:ascii="Times New Roman" w:hAnsi="Times New Roman" w:cs="Times New Roman"/>
          <w:sz w:val="24"/>
          <w:szCs w:val="24"/>
        </w:rPr>
      </w:pPr>
      <w:r>
        <w:rPr>
          <w:rFonts w:ascii="Times New Roman" w:hAnsi="Times New Roman" w:cs="Times New Roman"/>
          <w:sz w:val="24"/>
          <w:szCs w:val="24"/>
        </w:rPr>
        <w:t>VFD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Variable-Frequency Drive</w:t>
      </w:r>
    </w:p>
    <w:p w14:paraId="2451CB66" w14:textId="77777777" w:rsidR="00660E12" w:rsidRPr="007716B1" w:rsidRDefault="00660E12">
      <w:pPr>
        <w:spacing w:line="360" w:lineRule="auto"/>
        <w:rPr>
          <w:rFonts w:ascii="Times New Roman" w:hAnsi="Times New Roman" w:cs="Times New Roman"/>
          <w:sz w:val="24"/>
          <w:szCs w:val="24"/>
        </w:rPr>
      </w:pPr>
    </w:p>
    <w:p w14:paraId="2451CB67" w14:textId="77777777" w:rsidR="00660E12" w:rsidRDefault="00660E12" w:rsidP="00660E12"/>
    <w:p w14:paraId="2451CB68" w14:textId="77777777" w:rsidR="00660E12" w:rsidRDefault="00660E12" w:rsidP="00660E12"/>
    <w:p w14:paraId="2451CB69" w14:textId="77777777" w:rsidR="00AB5151" w:rsidRDefault="00AB5151" w:rsidP="00660E12"/>
    <w:p w14:paraId="2451CB6A" w14:textId="77777777" w:rsidR="004D1B50" w:rsidRDefault="004D1B50" w:rsidP="00660E12">
      <w:pPr>
        <w:sectPr w:rsidR="004D1B50" w:rsidSect="008F3BD4">
          <w:headerReference w:type="even" r:id="rId25"/>
          <w:headerReference w:type="default" r:id="rId26"/>
          <w:headerReference w:type="first" r:id="rId27"/>
          <w:pgSz w:w="12240" w:h="15840"/>
          <w:pgMar w:top="1440" w:right="1440" w:bottom="1440" w:left="1440" w:header="720" w:footer="720" w:gutter="0"/>
          <w:cols w:space="720"/>
          <w:titlePg/>
          <w:docGrid w:linePitch="360"/>
        </w:sectPr>
      </w:pPr>
    </w:p>
    <w:p w14:paraId="2451CB6B" w14:textId="77777777" w:rsidR="00B87363" w:rsidRPr="007716B1" w:rsidRDefault="00B87363" w:rsidP="00CC6966">
      <w:pPr>
        <w:pStyle w:val="Heading1"/>
        <w:spacing w:before="0"/>
        <w:rPr>
          <w:b w:val="0"/>
        </w:rPr>
      </w:pPr>
      <w:bookmarkStart w:id="2" w:name="_Toc449510468"/>
      <w:r w:rsidRPr="007716B1">
        <w:lastRenderedPageBreak/>
        <w:t>Executive Summary</w:t>
      </w:r>
      <w:bookmarkEnd w:id="2"/>
    </w:p>
    <w:p w14:paraId="2451CB6C" w14:textId="77777777" w:rsidR="00296948" w:rsidRPr="007716B1" w:rsidRDefault="00296948" w:rsidP="00296948">
      <w:pPr>
        <w:rPr>
          <w:rFonts w:ascii="Times New Roman" w:hAnsi="Times New Roman" w:cs="Times New Roman"/>
          <w:b/>
          <w:smallCaps/>
          <w:color w:val="548DD4" w:themeColor="text2" w:themeTint="99"/>
          <w:sz w:val="24"/>
          <w:szCs w:val="24"/>
        </w:rPr>
      </w:pPr>
    </w:p>
    <w:p w14:paraId="2451CB6D" w14:textId="77777777" w:rsidR="00E07462" w:rsidRPr="008838B5" w:rsidRDefault="004D4DA3" w:rsidP="00E07462">
      <w:pPr>
        <w:autoSpaceDE w:val="0"/>
        <w:autoSpaceDN w:val="0"/>
        <w:jc w:val="both"/>
        <w:rPr>
          <w:rFonts w:ascii="Times New Roman" w:hAnsi="Times New Roman" w:cs="Times New Roman"/>
          <w:sz w:val="24"/>
          <w:szCs w:val="24"/>
        </w:rPr>
      </w:pPr>
      <w:r w:rsidRPr="007F54BD">
        <w:rPr>
          <w:rFonts w:ascii="Times New Roman" w:hAnsi="Times New Roman" w:cs="Times New Roman"/>
          <w:sz w:val="24"/>
          <w:szCs w:val="24"/>
        </w:rPr>
        <w:t>PacifiCorp</w:t>
      </w:r>
      <w:r>
        <w:rPr>
          <w:rFonts w:ascii="Times New Roman" w:hAnsi="Times New Roman" w:cs="Times New Roman"/>
          <w:sz w:val="24"/>
          <w:szCs w:val="24"/>
        </w:rPr>
        <w:t xml:space="preserve"> is a multi-jurisdictional electric utility providing retail service to customers in Washington, California, Idaho, Oregon, Utah, and Wyoming. Pacific Power</w:t>
      </w:r>
      <w:r w:rsidR="0079559C">
        <w:rPr>
          <w:rFonts w:ascii="Times New Roman" w:hAnsi="Times New Roman" w:cs="Times New Roman"/>
          <w:sz w:val="24"/>
          <w:szCs w:val="24"/>
        </w:rPr>
        <w:t xml:space="preserve"> &amp; Light Company</w:t>
      </w:r>
      <w:r w:rsidR="006F432A">
        <w:rPr>
          <w:rFonts w:ascii="Times New Roman" w:hAnsi="Times New Roman" w:cs="Times New Roman"/>
          <w:sz w:val="24"/>
          <w:szCs w:val="24"/>
        </w:rPr>
        <w:t xml:space="preserve"> (Pacific Power or Company), a division of PacifiCorp</w:t>
      </w:r>
      <w:r w:rsidR="0079559C">
        <w:rPr>
          <w:rFonts w:ascii="Times New Roman" w:hAnsi="Times New Roman" w:cs="Times New Roman"/>
          <w:sz w:val="24"/>
          <w:szCs w:val="24"/>
        </w:rPr>
        <w:t>,</w:t>
      </w:r>
      <w:r>
        <w:rPr>
          <w:rFonts w:ascii="Times New Roman" w:hAnsi="Times New Roman" w:cs="Times New Roman"/>
          <w:sz w:val="24"/>
          <w:szCs w:val="24"/>
        </w:rPr>
        <w:t xml:space="preserve"> serves approximately 134,</w:t>
      </w:r>
      <w:r w:rsidR="00A75DEA">
        <w:rPr>
          <w:rFonts w:ascii="Times New Roman" w:hAnsi="Times New Roman" w:cs="Times New Roman"/>
          <w:sz w:val="24"/>
          <w:szCs w:val="24"/>
        </w:rPr>
        <w:t xml:space="preserve">000 </w:t>
      </w:r>
      <w:r>
        <w:rPr>
          <w:rFonts w:ascii="Times New Roman" w:hAnsi="Times New Roman" w:cs="Times New Roman"/>
          <w:sz w:val="24"/>
          <w:szCs w:val="24"/>
        </w:rPr>
        <w:t>customers in Washington.</w:t>
      </w:r>
      <w:r w:rsidR="008838B5">
        <w:rPr>
          <w:rFonts w:ascii="Times New Roman" w:hAnsi="Times New Roman" w:cs="Times New Roman"/>
          <w:sz w:val="24"/>
          <w:szCs w:val="24"/>
        </w:rPr>
        <w:t xml:space="preserve"> </w:t>
      </w:r>
      <w:r>
        <w:rPr>
          <w:rFonts w:ascii="Times New Roman" w:hAnsi="Times New Roman" w:cs="Times New Roman"/>
          <w:sz w:val="24"/>
          <w:szCs w:val="24"/>
        </w:rPr>
        <w:t>The Company</w:t>
      </w:r>
      <w:r w:rsidR="00294247" w:rsidRPr="00E07462">
        <w:rPr>
          <w:rFonts w:ascii="Times New Roman" w:hAnsi="Times New Roman" w:cs="Times New Roman"/>
          <w:sz w:val="24"/>
          <w:szCs w:val="24"/>
        </w:rPr>
        <w:t xml:space="preserve"> </w:t>
      </w:r>
      <w:r w:rsidR="00E07462">
        <w:rPr>
          <w:rFonts w:ascii="Times New Roman" w:hAnsi="Times New Roman"/>
          <w:sz w:val="24"/>
          <w:szCs w:val="24"/>
        </w:rPr>
        <w:t>works with its customers to reduce the need for investment in supply side resources and infrastructure by reducing energy and peak consumption through cost-effective energy efficiency programs.</w:t>
      </w:r>
    </w:p>
    <w:p w14:paraId="2451CB6E" w14:textId="77777777" w:rsidR="00E07462" w:rsidRDefault="00E07462" w:rsidP="00E07462">
      <w:pPr>
        <w:autoSpaceDE w:val="0"/>
        <w:autoSpaceDN w:val="0"/>
        <w:rPr>
          <w:rFonts w:ascii="Times New Roman" w:hAnsi="Times New Roman"/>
          <w:sz w:val="24"/>
          <w:szCs w:val="24"/>
        </w:rPr>
      </w:pPr>
    </w:p>
    <w:p w14:paraId="2451CB6F" w14:textId="77777777" w:rsidR="00E07462" w:rsidRDefault="0090562D" w:rsidP="00E07462">
      <w:pPr>
        <w:autoSpaceDE w:val="0"/>
        <w:autoSpaceDN w:val="0"/>
        <w:jc w:val="both"/>
        <w:rPr>
          <w:rFonts w:ascii="Times New Roman" w:hAnsi="Times New Roman"/>
          <w:sz w:val="24"/>
          <w:szCs w:val="24"/>
        </w:rPr>
      </w:pPr>
      <w:r>
        <w:rPr>
          <w:rFonts w:ascii="Times New Roman" w:hAnsi="Times New Roman"/>
          <w:sz w:val="24"/>
          <w:szCs w:val="24"/>
        </w:rPr>
        <w:t>In 201</w:t>
      </w:r>
      <w:r w:rsidR="008B5320">
        <w:rPr>
          <w:rFonts w:ascii="Times New Roman" w:hAnsi="Times New Roman"/>
          <w:sz w:val="24"/>
          <w:szCs w:val="24"/>
        </w:rPr>
        <w:t>5</w:t>
      </w:r>
      <w:r>
        <w:rPr>
          <w:rFonts w:ascii="Times New Roman" w:hAnsi="Times New Roman"/>
          <w:sz w:val="24"/>
          <w:szCs w:val="24"/>
        </w:rPr>
        <w:t>, t</w:t>
      </w:r>
      <w:r w:rsidR="00E07462">
        <w:rPr>
          <w:rFonts w:ascii="Times New Roman" w:hAnsi="Times New Roman"/>
          <w:sz w:val="24"/>
          <w:szCs w:val="24"/>
        </w:rPr>
        <w:t>he Company offer</w:t>
      </w:r>
      <w:r>
        <w:rPr>
          <w:rFonts w:ascii="Times New Roman" w:hAnsi="Times New Roman"/>
          <w:sz w:val="24"/>
          <w:szCs w:val="24"/>
        </w:rPr>
        <w:t>ed</w:t>
      </w:r>
      <w:r w:rsidR="00E07462">
        <w:rPr>
          <w:rFonts w:ascii="Times New Roman" w:hAnsi="Times New Roman"/>
          <w:sz w:val="24"/>
          <w:szCs w:val="24"/>
        </w:rPr>
        <w:t xml:space="preserve"> </w:t>
      </w:r>
      <w:r w:rsidR="00EB3153">
        <w:rPr>
          <w:rFonts w:ascii="Times New Roman" w:hAnsi="Times New Roman"/>
          <w:sz w:val="24"/>
          <w:szCs w:val="24"/>
        </w:rPr>
        <w:t>five</w:t>
      </w:r>
      <w:r w:rsidR="00E07462">
        <w:rPr>
          <w:rFonts w:ascii="Times New Roman" w:hAnsi="Times New Roman"/>
          <w:sz w:val="24"/>
          <w:szCs w:val="24"/>
        </w:rPr>
        <w:t xml:space="preserve"> energy efficiency programs in Washington approved by the Washington Utilities and Transportation Commission </w:t>
      </w:r>
      <w:r w:rsidR="006F432A">
        <w:rPr>
          <w:rFonts w:ascii="Times New Roman" w:hAnsi="Times New Roman"/>
          <w:sz w:val="24"/>
          <w:szCs w:val="24"/>
        </w:rPr>
        <w:t>(</w:t>
      </w:r>
      <w:r w:rsidR="00E07462">
        <w:rPr>
          <w:rFonts w:ascii="Times New Roman" w:hAnsi="Times New Roman"/>
          <w:sz w:val="24"/>
          <w:szCs w:val="24"/>
        </w:rPr>
        <w:t>Commission</w:t>
      </w:r>
      <w:r w:rsidR="006F432A">
        <w:rPr>
          <w:rFonts w:ascii="Times New Roman" w:hAnsi="Times New Roman"/>
          <w:sz w:val="24"/>
          <w:szCs w:val="24"/>
        </w:rPr>
        <w:t>)</w:t>
      </w:r>
      <w:r w:rsidR="00E07462">
        <w:rPr>
          <w:rFonts w:ascii="Times New Roman" w:hAnsi="Times New Roman"/>
          <w:sz w:val="24"/>
          <w:szCs w:val="24"/>
        </w:rPr>
        <w:t xml:space="preserve">, </w:t>
      </w:r>
      <w:r w:rsidR="003E0211">
        <w:rPr>
          <w:rFonts w:ascii="Times New Roman" w:hAnsi="Times New Roman"/>
          <w:sz w:val="24"/>
          <w:szCs w:val="24"/>
        </w:rPr>
        <w:t xml:space="preserve">and </w:t>
      </w:r>
      <w:r>
        <w:rPr>
          <w:rFonts w:ascii="Times New Roman" w:hAnsi="Times New Roman"/>
          <w:sz w:val="24"/>
          <w:szCs w:val="24"/>
        </w:rPr>
        <w:t xml:space="preserve">received </w:t>
      </w:r>
      <w:r w:rsidR="00E07462">
        <w:rPr>
          <w:rFonts w:ascii="Times New Roman" w:hAnsi="Times New Roman"/>
          <w:sz w:val="24"/>
          <w:szCs w:val="24"/>
        </w:rPr>
        <w:t xml:space="preserve">energy savings and market transformation benefits through its affiliation with the Northwest Energy Efficiency Alliance </w:t>
      </w:r>
      <w:r w:rsidR="006F432A">
        <w:rPr>
          <w:rFonts w:ascii="Times New Roman" w:hAnsi="Times New Roman"/>
          <w:sz w:val="24"/>
          <w:szCs w:val="24"/>
        </w:rPr>
        <w:t>(</w:t>
      </w:r>
      <w:r w:rsidR="00E07462">
        <w:rPr>
          <w:rFonts w:ascii="Times New Roman" w:hAnsi="Times New Roman"/>
          <w:sz w:val="24"/>
          <w:szCs w:val="24"/>
        </w:rPr>
        <w:t>NEEA</w:t>
      </w:r>
      <w:r w:rsidR="006F432A">
        <w:rPr>
          <w:rFonts w:ascii="Times New Roman" w:hAnsi="Times New Roman"/>
          <w:sz w:val="24"/>
          <w:szCs w:val="24"/>
        </w:rPr>
        <w:t>)</w:t>
      </w:r>
      <w:r w:rsidR="00E07462">
        <w:rPr>
          <w:rFonts w:ascii="Times New Roman" w:hAnsi="Times New Roman"/>
          <w:sz w:val="24"/>
          <w:szCs w:val="24"/>
        </w:rPr>
        <w:t xml:space="preserve">. The expenditures associated with these programs </w:t>
      </w:r>
      <w:r w:rsidR="00F40B52">
        <w:rPr>
          <w:rFonts w:ascii="Times New Roman" w:hAnsi="Times New Roman"/>
          <w:sz w:val="24"/>
          <w:szCs w:val="24"/>
        </w:rPr>
        <w:t>are</w:t>
      </w:r>
      <w:r w:rsidR="00303A30">
        <w:rPr>
          <w:rFonts w:ascii="Times New Roman" w:hAnsi="Times New Roman"/>
          <w:sz w:val="24"/>
          <w:szCs w:val="24"/>
        </w:rPr>
        <w:t xml:space="preserve"> </w:t>
      </w:r>
      <w:r w:rsidR="00E07462">
        <w:rPr>
          <w:rFonts w:ascii="Times New Roman" w:hAnsi="Times New Roman"/>
          <w:sz w:val="24"/>
          <w:szCs w:val="24"/>
        </w:rPr>
        <w:t>recovered through the System Benefits Charge</w:t>
      </w:r>
      <w:r w:rsidR="0070678F">
        <w:rPr>
          <w:rFonts w:ascii="Times New Roman" w:hAnsi="Times New Roman"/>
          <w:sz w:val="24"/>
          <w:szCs w:val="24"/>
        </w:rPr>
        <w:t xml:space="preserve"> Adjustment</w:t>
      </w:r>
      <w:r w:rsidR="00E07462">
        <w:rPr>
          <w:rFonts w:ascii="Times New Roman" w:hAnsi="Times New Roman"/>
          <w:sz w:val="24"/>
          <w:szCs w:val="24"/>
        </w:rPr>
        <w:t xml:space="preserve">, Schedule 191 </w:t>
      </w:r>
      <w:r w:rsidR="006F432A">
        <w:rPr>
          <w:rFonts w:ascii="Times New Roman" w:hAnsi="Times New Roman"/>
          <w:sz w:val="24"/>
          <w:szCs w:val="24"/>
        </w:rPr>
        <w:t>(</w:t>
      </w:r>
      <w:r w:rsidR="0070678F">
        <w:rPr>
          <w:rFonts w:ascii="Times New Roman" w:hAnsi="Times New Roman"/>
          <w:sz w:val="24"/>
          <w:szCs w:val="24"/>
        </w:rPr>
        <w:t>Schedule 191</w:t>
      </w:r>
      <w:r w:rsidR="006F432A">
        <w:rPr>
          <w:rFonts w:ascii="Times New Roman" w:hAnsi="Times New Roman"/>
          <w:sz w:val="24"/>
          <w:szCs w:val="24"/>
        </w:rPr>
        <w:t>)</w:t>
      </w:r>
      <w:r w:rsidR="00E07462">
        <w:rPr>
          <w:rFonts w:ascii="Times New Roman" w:hAnsi="Times New Roman"/>
          <w:sz w:val="24"/>
          <w:szCs w:val="24"/>
        </w:rPr>
        <w:t>.</w:t>
      </w:r>
    </w:p>
    <w:p w14:paraId="2451CB70" w14:textId="77777777" w:rsidR="00E07462" w:rsidRDefault="00E07462" w:rsidP="00E07462">
      <w:pPr>
        <w:autoSpaceDE w:val="0"/>
        <w:autoSpaceDN w:val="0"/>
        <w:rPr>
          <w:rFonts w:ascii="Times New Roman" w:hAnsi="Times New Roman"/>
          <w:sz w:val="24"/>
          <w:szCs w:val="24"/>
        </w:rPr>
      </w:pPr>
    </w:p>
    <w:p w14:paraId="2451CB71" w14:textId="77777777" w:rsidR="008B5320" w:rsidRDefault="00E07462" w:rsidP="00E07462">
      <w:pPr>
        <w:autoSpaceDE w:val="0"/>
        <w:autoSpaceDN w:val="0"/>
        <w:jc w:val="both"/>
        <w:rPr>
          <w:rFonts w:ascii="Times New Roman" w:hAnsi="Times New Roman" w:cs="Times New Roman"/>
          <w:sz w:val="24"/>
          <w:szCs w:val="24"/>
        </w:rPr>
      </w:pPr>
      <w:r>
        <w:rPr>
          <w:rFonts w:ascii="Times New Roman" w:hAnsi="Times New Roman"/>
          <w:sz w:val="24"/>
          <w:szCs w:val="24"/>
        </w:rPr>
        <w:t>This report provides details on program results and activities, expenditures</w:t>
      </w:r>
      <w:r w:rsidR="00537CD3">
        <w:rPr>
          <w:rFonts w:ascii="Times New Roman" w:hAnsi="Times New Roman"/>
          <w:sz w:val="24"/>
          <w:szCs w:val="24"/>
        </w:rPr>
        <w:t>,</w:t>
      </w:r>
      <w:r>
        <w:rPr>
          <w:rFonts w:ascii="Times New Roman" w:hAnsi="Times New Roman"/>
          <w:sz w:val="24"/>
          <w:szCs w:val="24"/>
        </w:rPr>
        <w:t xml:space="preserve"> and Schedule 191 revenue for the performance period from January 1, 201</w:t>
      </w:r>
      <w:r w:rsidR="00E8600B">
        <w:rPr>
          <w:rFonts w:ascii="Times New Roman" w:hAnsi="Times New Roman"/>
          <w:sz w:val="24"/>
          <w:szCs w:val="24"/>
        </w:rPr>
        <w:t>5</w:t>
      </w:r>
      <w:r w:rsidR="00537CD3">
        <w:rPr>
          <w:rFonts w:ascii="Times New Roman" w:hAnsi="Times New Roman"/>
          <w:sz w:val="24"/>
          <w:szCs w:val="24"/>
        </w:rPr>
        <w:t>,</w:t>
      </w:r>
      <w:r>
        <w:rPr>
          <w:rFonts w:ascii="Times New Roman" w:hAnsi="Times New Roman"/>
          <w:sz w:val="24"/>
          <w:szCs w:val="24"/>
        </w:rPr>
        <w:t xml:space="preserve"> through December 31, 201</w:t>
      </w:r>
      <w:r w:rsidR="00E8600B">
        <w:rPr>
          <w:rFonts w:ascii="Times New Roman" w:hAnsi="Times New Roman"/>
          <w:sz w:val="24"/>
          <w:szCs w:val="24"/>
        </w:rPr>
        <w:t>5</w:t>
      </w:r>
      <w:r>
        <w:rPr>
          <w:rFonts w:ascii="Times New Roman" w:hAnsi="Times New Roman"/>
          <w:sz w:val="24"/>
          <w:szCs w:val="24"/>
        </w:rPr>
        <w:t xml:space="preserve">. </w:t>
      </w:r>
      <w:r w:rsidR="00642377">
        <w:rPr>
          <w:rFonts w:ascii="Times New Roman" w:hAnsi="Times New Roman" w:cs="Times New Roman"/>
          <w:sz w:val="24"/>
          <w:szCs w:val="24"/>
        </w:rPr>
        <w:t>The Company, on behalf of its customers</w:t>
      </w:r>
      <w:r w:rsidR="00303A30">
        <w:rPr>
          <w:rFonts w:ascii="Times New Roman" w:hAnsi="Times New Roman" w:cs="Times New Roman"/>
          <w:sz w:val="24"/>
          <w:szCs w:val="24"/>
        </w:rPr>
        <w:t>,</w:t>
      </w:r>
      <w:r w:rsidR="00642377">
        <w:rPr>
          <w:rFonts w:ascii="Times New Roman" w:hAnsi="Times New Roman" w:cs="Times New Roman"/>
          <w:sz w:val="24"/>
          <w:szCs w:val="24"/>
        </w:rPr>
        <w:t xml:space="preserve"> invested </w:t>
      </w:r>
      <w:r w:rsidR="00642377" w:rsidRPr="001C7BB8">
        <w:rPr>
          <w:rFonts w:ascii="Times New Roman" w:hAnsi="Times New Roman" w:cs="Times New Roman"/>
          <w:sz w:val="24"/>
          <w:szCs w:val="24"/>
        </w:rPr>
        <w:t>$</w:t>
      </w:r>
      <w:r w:rsidR="001C7BB8" w:rsidRPr="001C7BB8">
        <w:rPr>
          <w:rFonts w:ascii="Times New Roman" w:hAnsi="Times New Roman" w:cs="Times New Roman"/>
          <w:sz w:val="24"/>
          <w:szCs w:val="24"/>
        </w:rPr>
        <w:t>11</w:t>
      </w:r>
      <w:r w:rsidR="00883465" w:rsidRPr="001C7BB8">
        <w:rPr>
          <w:rFonts w:ascii="Times New Roman" w:hAnsi="Times New Roman" w:cs="Times New Roman"/>
          <w:sz w:val="24"/>
          <w:szCs w:val="24"/>
        </w:rPr>
        <w:t>.</w:t>
      </w:r>
      <w:r w:rsidR="0079559C">
        <w:rPr>
          <w:rFonts w:ascii="Times New Roman" w:hAnsi="Times New Roman" w:cs="Times New Roman"/>
          <w:sz w:val="24"/>
          <w:szCs w:val="24"/>
        </w:rPr>
        <w:t>3</w:t>
      </w:r>
      <w:r w:rsidR="00642377" w:rsidRPr="001C7BB8">
        <w:rPr>
          <w:rFonts w:ascii="Times New Roman" w:hAnsi="Times New Roman" w:cs="Times New Roman"/>
          <w:sz w:val="24"/>
          <w:szCs w:val="24"/>
        </w:rPr>
        <w:t>m</w:t>
      </w:r>
      <w:r w:rsidR="003E6A0C" w:rsidRPr="001C7BB8">
        <w:rPr>
          <w:rFonts w:ascii="Times New Roman" w:hAnsi="Times New Roman" w:cs="Times New Roman"/>
          <w:sz w:val="24"/>
          <w:szCs w:val="24"/>
        </w:rPr>
        <w:t xml:space="preserve"> in energy efficiency information, services</w:t>
      </w:r>
      <w:r w:rsidR="00537CD3" w:rsidRPr="001C7BB8">
        <w:rPr>
          <w:rFonts w:ascii="Times New Roman" w:hAnsi="Times New Roman" w:cs="Times New Roman"/>
          <w:sz w:val="24"/>
          <w:szCs w:val="24"/>
        </w:rPr>
        <w:t>,</w:t>
      </w:r>
      <w:r w:rsidR="003E6A0C" w:rsidRPr="001C7BB8">
        <w:rPr>
          <w:rFonts w:ascii="Times New Roman" w:hAnsi="Times New Roman" w:cs="Times New Roman"/>
          <w:sz w:val="24"/>
          <w:szCs w:val="24"/>
        </w:rPr>
        <w:t xml:space="preserve"> and incentives during the </w:t>
      </w:r>
      <w:r w:rsidR="004536AF" w:rsidRPr="001C7BB8">
        <w:rPr>
          <w:rFonts w:ascii="Times New Roman" w:hAnsi="Times New Roman" w:cs="Times New Roman"/>
          <w:sz w:val="24"/>
          <w:szCs w:val="24"/>
        </w:rPr>
        <w:t xml:space="preserve">reporting </w:t>
      </w:r>
      <w:r w:rsidR="003E6A0C" w:rsidRPr="001C7BB8">
        <w:rPr>
          <w:rFonts w:ascii="Times New Roman" w:hAnsi="Times New Roman" w:cs="Times New Roman"/>
          <w:sz w:val="24"/>
          <w:szCs w:val="24"/>
        </w:rPr>
        <w:t>period.</w:t>
      </w:r>
      <w:r w:rsidR="00C11CD7" w:rsidRPr="001C7BB8">
        <w:rPr>
          <w:rFonts w:ascii="Times New Roman" w:hAnsi="Times New Roman" w:cs="Times New Roman"/>
          <w:sz w:val="24"/>
          <w:szCs w:val="24"/>
        </w:rPr>
        <w:t xml:space="preserve"> </w:t>
      </w:r>
      <w:r w:rsidR="00AF01C2" w:rsidRPr="001C7BB8">
        <w:rPr>
          <w:rFonts w:ascii="Times New Roman" w:hAnsi="Times New Roman" w:cs="Times New Roman"/>
          <w:sz w:val="24"/>
          <w:szCs w:val="24"/>
        </w:rPr>
        <w:t xml:space="preserve">The investment yielded approximately </w:t>
      </w:r>
      <w:r w:rsidR="00E8600B">
        <w:rPr>
          <w:rFonts w:ascii="Times New Roman" w:hAnsi="Times New Roman" w:cs="Times New Roman"/>
          <w:sz w:val="24"/>
          <w:szCs w:val="24"/>
        </w:rPr>
        <w:t>47</w:t>
      </w:r>
      <w:r w:rsidR="00303A30" w:rsidRPr="001C7BB8">
        <w:rPr>
          <w:rFonts w:ascii="Times New Roman" w:hAnsi="Times New Roman" w:cs="Times New Roman"/>
          <w:sz w:val="24"/>
          <w:szCs w:val="24"/>
        </w:rPr>
        <w:t>.</w:t>
      </w:r>
      <w:r w:rsidR="00E8600B">
        <w:rPr>
          <w:rFonts w:ascii="Times New Roman" w:hAnsi="Times New Roman" w:cs="Times New Roman"/>
          <w:sz w:val="24"/>
          <w:szCs w:val="24"/>
        </w:rPr>
        <w:t>4</w:t>
      </w:r>
      <w:r w:rsidR="006F432A">
        <w:rPr>
          <w:rFonts w:ascii="Times New Roman" w:hAnsi="Times New Roman" w:cs="Times New Roman"/>
          <w:sz w:val="24"/>
          <w:szCs w:val="24"/>
        </w:rPr>
        <w:t> </w:t>
      </w:r>
      <w:r w:rsidR="00AF01C2" w:rsidRPr="001C7BB8">
        <w:rPr>
          <w:rFonts w:ascii="Times New Roman" w:hAnsi="Times New Roman" w:cs="Times New Roman"/>
          <w:sz w:val="24"/>
          <w:szCs w:val="24"/>
        </w:rPr>
        <w:t>gigawatt-hours</w:t>
      </w:r>
      <w:r w:rsidR="00EB3153">
        <w:rPr>
          <w:rFonts w:ascii="Times New Roman" w:hAnsi="Times New Roman" w:cs="Times New Roman"/>
          <w:sz w:val="24"/>
          <w:szCs w:val="24"/>
        </w:rPr>
        <w:t xml:space="preserve"> </w:t>
      </w:r>
      <w:r w:rsidR="006F432A">
        <w:rPr>
          <w:rFonts w:ascii="Times New Roman" w:hAnsi="Times New Roman" w:cs="Times New Roman"/>
          <w:sz w:val="24"/>
          <w:szCs w:val="24"/>
        </w:rPr>
        <w:t>(</w:t>
      </w:r>
      <w:r w:rsidR="00EB3153">
        <w:rPr>
          <w:rFonts w:ascii="Times New Roman" w:hAnsi="Times New Roman" w:cs="Times New Roman"/>
          <w:sz w:val="24"/>
          <w:szCs w:val="24"/>
        </w:rPr>
        <w:t>GWh</w:t>
      </w:r>
      <w:r w:rsidR="006F432A">
        <w:rPr>
          <w:rFonts w:ascii="Times New Roman" w:hAnsi="Times New Roman" w:cs="Times New Roman"/>
          <w:sz w:val="24"/>
          <w:szCs w:val="24"/>
        </w:rPr>
        <w:t>)</w:t>
      </w:r>
      <w:r w:rsidR="00AF01C2" w:rsidRPr="001C7BB8">
        <w:rPr>
          <w:rFonts w:ascii="Times New Roman" w:hAnsi="Times New Roman" w:cs="Times New Roman"/>
          <w:sz w:val="24"/>
          <w:szCs w:val="24"/>
        </w:rPr>
        <w:t xml:space="preserve"> in first year savings</w:t>
      </w:r>
      <w:r w:rsidR="005F73DD" w:rsidRPr="00886184">
        <w:rPr>
          <w:rStyle w:val="FootnoteReference"/>
          <w:rFonts w:ascii="Times New Roman" w:hAnsi="Times New Roman" w:cs="Times New Roman"/>
          <w:sz w:val="24"/>
          <w:szCs w:val="24"/>
        </w:rPr>
        <w:footnoteReference w:id="1"/>
      </w:r>
      <w:r w:rsidR="00651340" w:rsidRPr="00886184">
        <w:rPr>
          <w:rFonts w:ascii="Times New Roman" w:hAnsi="Times New Roman" w:cs="Times New Roman"/>
          <w:sz w:val="24"/>
          <w:szCs w:val="24"/>
        </w:rPr>
        <w:t xml:space="preserve"> and approximately </w:t>
      </w:r>
      <w:r w:rsidR="00E8600B">
        <w:rPr>
          <w:rFonts w:ascii="Times New Roman" w:hAnsi="Times New Roman" w:cs="Times New Roman"/>
          <w:sz w:val="24"/>
          <w:szCs w:val="24"/>
        </w:rPr>
        <w:t>6.71</w:t>
      </w:r>
      <w:r w:rsidR="00651340" w:rsidRPr="00886184">
        <w:rPr>
          <w:rFonts w:ascii="Times New Roman" w:hAnsi="Times New Roman" w:cs="Times New Roman"/>
          <w:sz w:val="24"/>
          <w:szCs w:val="24"/>
        </w:rPr>
        <w:t xml:space="preserve"> megawatts of </w:t>
      </w:r>
      <w:r w:rsidR="009C776E">
        <w:rPr>
          <w:rFonts w:ascii="Times New Roman" w:hAnsi="Times New Roman" w:cs="Times New Roman"/>
          <w:sz w:val="24"/>
          <w:szCs w:val="24"/>
        </w:rPr>
        <w:t xml:space="preserve">energy efficiency savings related </w:t>
      </w:r>
      <w:r w:rsidR="00651340" w:rsidRPr="00886184">
        <w:rPr>
          <w:rFonts w:ascii="Times New Roman" w:hAnsi="Times New Roman" w:cs="Times New Roman"/>
          <w:sz w:val="24"/>
          <w:szCs w:val="24"/>
        </w:rPr>
        <w:t>capacity reduction</w:t>
      </w:r>
      <w:r w:rsidR="009C776E">
        <w:rPr>
          <w:rFonts w:ascii="Times New Roman" w:hAnsi="Times New Roman" w:cs="Times New Roman"/>
          <w:sz w:val="24"/>
          <w:szCs w:val="24"/>
        </w:rPr>
        <w:t>s</w:t>
      </w:r>
      <w:r w:rsidR="00740B23">
        <w:rPr>
          <w:rFonts w:ascii="Times New Roman" w:hAnsi="Times New Roman" w:cs="Times New Roman"/>
          <w:sz w:val="24"/>
          <w:szCs w:val="24"/>
        </w:rPr>
        <w:t>.</w:t>
      </w:r>
      <w:r w:rsidR="00651340" w:rsidRPr="00886184">
        <w:rPr>
          <w:rStyle w:val="FootnoteReference"/>
          <w:rFonts w:ascii="Times New Roman" w:hAnsi="Times New Roman" w:cs="Times New Roman"/>
          <w:sz w:val="24"/>
          <w:szCs w:val="24"/>
        </w:rPr>
        <w:footnoteReference w:id="2"/>
      </w:r>
      <w:r w:rsidR="00651340" w:rsidRPr="00886184">
        <w:rPr>
          <w:rFonts w:ascii="Times New Roman" w:hAnsi="Times New Roman" w:cs="Times New Roman"/>
          <w:sz w:val="24"/>
          <w:szCs w:val="24"/>
        </w:rPr>
        <w:t xml:space="preserve"> </w:t>
      </w:r>
      <w:r w:rsidR="001313E6" w:rsidRPr="00886184">
        <w:rPr>
          <w:rFonts w:ascii="Times New Roman" w:hAnsi="Times New Roman" w:cs="Times New Roman"/>
          <w:sz w:val="24"/>
          <w:szCs w:val="24"/>
        </w:rPr>
        <w:t>N</w:t>
      </w:r>
      <w:r w:rsidR="00942D60" w:rsidRPr="00886184">
        <w:rPr>
          <w:rFonts w:ascii="Times New Roman" w:hAnsi="Times New Roman" w:cs="Times New Roman"/>
          <w:sz w:val="24"/>
          <w:szCs w:val="24"/>
        </w:rPr>
        <w:t>et</w:t>
      </w:r>
      <w:r w:rsidR="006F2F10" w:rsidRPr="00886184">
        <w:rPr>
          <w:rFonts w:ascii="Times New Roman" w:hAnsi="Times New Roman" w:cs="Times New Roman"/>
          <w:sz w:val="24"/>
          <w:szCs w:val="24"/>
        </w:rPr>
        <w:t xml:space="preserve"> </w:t>
      </w:r>
      <w:r w:rsidR="00942D60" w:rsidRPr="00886184">
        <w:rPr>
          <w:rFonts w:ascii="Times New Roman" w:hAnsi="Times New Roman" w:cs="Times New Roman"/>
          <w:sz w:val="24"/>
          <w:szCs w:val="24"/>
        </w:rPr>
        <w:t xml:space="preserve">benefits </w:t>
      </w:r>
      <w:r w:rsidR="001313E6" w:rsidRPr="00886184">
        <w:rPr>
          <w:rFonts w:ascii="Times New Roman" w:hAnsi="Times New Roman" w:cs="Times New Roman"/>
          <w:sz w:val="24"/>
          <w:szCs w:val="24"/>
        </w:rPr>
        <w:t>over the life of the individual</w:t>
      </w:r>
      <w:r w:rsidR="00FC5CC6" w:rsidRPr="00886184">
        <w:rPr>
          <w:rFonts w:ascii="Times New Roman" w:hAnsi="Times New Roman" w:cs="Times New Roman"/>
          <w:sz w:val="24"/>
          <w:szCs w:val="24"/>
        </w:rPr>
        <w:t xml:space="preserve"> measures are</w:t>
      </w:r>
      <w:r w:rsidR="003E6A0C" w:rsidRPr="00886184">
        <w:rPr>
          <w:rFonts w:ascii="Times New Roman" w:hAnsi="Times New Roman" w:cs="Times New Roman"/>
          <w:sz w:val="24"/>
          <w:szCs w:val="24"/>
        </w:rPr>
        <w:t xml:space="preserve"> estimated </w:t>
      </w:r>
      <w:r w:rsidR="003E6A0C" w:rsidRPr="00BE141C">
        <w:rPr>
          <w:rFonts w:ascii="Times New Roman" w:hAnsi="Times New Roman" w:cs="Times New Roman"/>
          <w:sz w:val="24"/>
          <w:szCs w:val="24"/>
        </w:rPr>
        <w:t>at</w:t>
      </w:r>
      <w:r w:rsidR="00642377" w:rsidRPr="00BE141C">
        <w:rPr>
          <w:rFonts w:ascii="Times New Roman" w:hAnsi="Times New Roman" w:cs="Times New Roman"/>
          <w:sz w:val="24"/>
          <w:szCs w:val="24"/>
        </w:rPr>
        <w:t xml:space="preserve"> $</w:t>
      </w:r>
      <w:r w:rsidR="00A57D58">
        <w:rPr>
          <w:rFonts w:ascii="Times New Roman" w:hAnsi="Times New Roman" w:cs="Times New Roman"/>
          <w:sz w:val="24"/>
          <w:szCs w:val="24"/>
        </w:rPr>
        <w:t>12</w:t>
      </w:r>
      <w:r w:rsidR="003E3961" w:rsidRPr="00BE141C">
        <w:rPr>
          <w:rFonts w:ascii="Times New Roman" w:hAnsi="Times New Roman" w:cs="Times New Roman"/>
          <w:sz w:val="24"/>
          <w:szCs w:val="24"/>
        </w:rPr>
        <w:t xml:space="preserve"> </w:t>
      </w:r>
      <w:r w:rsidR="00642377" w:rsidRPr="00BE141C">
        <w:rPr>
          <w:rFonts w:ascii="Times New Roman" w:hAnsi="Times New Roman" w:cs="Times New Roman"/>
          <w:sz w:val="24"/>
          <w:szCs w:val="24"/>
        </w:rPr>
        <w:t>m</w:t>
      </w:r>
      <w:r w:rsidR="006F2F10" w:rsidRPr="00BE141C">
        <w:rPr>
          <w:rStyle w:val="FootnoteReference"/>
          <w:rFonts w:ascii="Times New Roman" w:hAnsi="Times New Roman" w:cs="Times New Roman"/>
          <w:sz w:val="24"/>
          <w:szCs w:val="24"/>
        </w:rPr>
        <w:footnoteReference w:id="3"/>
      </w:r>
      <w:r w:rsidR="006F2F10" w:rsidRPr="00BE141C">
        <w:rPr>
          <w:rFonts w:ascii="Times New Roman" w:hAnsi="Times New Roman" w:cs="Times New Roman"/>
          <w:sz w:val="24"/>
          <w:szCs w:val="24"/>
        </w:rPr>
        <w:t>.</w:t>
      </w:r>
      <w:r w:rsidR="006F2F10" w:rsidRPr="00431061">
        <w:rPr>
          <w:rFonts w:ascii="Times New Roman" w:hAnsi="Times New Roman" w:cs="Times New Roman"/>
          <w:sz w:val="24"/>
          <w:szCs w:val="24"/>
        </w:rPr>
        <w:t xml:space="preserve"> </w:t>
      </w:r>
    </w:p>
    <w:p w14:paraId="2451CB72" w14:textId="77777777" w:rsidR="008B5320" w:rsidRDefault="008B5320" w:rsidP="00E07462">
      <w:pPr>
        <w:autoSpaceDE w:val="0"/>
        <w:autoSpaceDN w:val="0"/>
        <w:jc w:val="both"/>
        <w:rPr>
          <w:rFonts w:ascii="Times New Roman" w:hAnsi="Times New Roman" w:cs="Times New Roman"/>
          <w:sz w:val="24"/>
          <w:szCs w:val="24"/>
        </w:rPr>
      </w:pPr>
    </w:p>
    <w:p w14:paraId="2451CB73" w14:textId="77777777" w:rsidR="008B5320" w:rsidRDefault="008B5320" w:rsidP="00E07462">
      <w:pPr>
        <w:autoSpaceDE w:val="0"/>
        <w:autoSpaceDN w:val="0"/>
        <w:jc w:val="both"/>
        <w:rPr>
          <w:rFonts w:ascii="Times New Roman" w:hAnsi="Times New Roman" w:cs="Times New Roman"/>
          <w:sz w:val="24"/>
          <w:szCs w:val="24"/>
        </w:rPr>
      </w:pPr>
      <w:r>
        <w:rPr>
          <w:rFonts w:ascii="Times New Roman" w:hAnsi="Times New Roman" w:cs="Times New Roman"/>
          <w:sz w:val="24"/>
          <w:szCs w:val="24"/>
        </w:rPr>
        <w:t>Overall,</w:t>
      </w:r>
      <w:r w:rsidR="008838B5">
        <w:rPr>
          <w:rFonts w:ascii="Times New Roman" w:hAnsi="Times New Roman" w:cs="Times New Roman"/>
          <w:sz w:val="24"/>
          <w:szCs w:val="24"/>
        </w:rPr>
        <w:t xml:space="preserve"> 2015</w:t>
      </w:r>
      <w:r>
        <w:rPr>
          <w:rFonts w:ascii="Times New Roman" w:hAnsi="Times New Roman" w:cs="Times New Roman"/>
          <w:sz w:val="24"/>
          <w:szCs w:val="24"/>
        </w:rPr>
        <w:t xml:space="preserve"> portfolio savings remained consistent with 201</w:t>
      </w:r>
      <w:r w:rsidR="00053FF7">
        <w:rPr>
          <w:rFonts w:ascii="Times New Roman" w:hAnsi="Times New Roman" w:cs="Times New Roman"/>
          <w:sz w:val="24"/>
          <w:szCs w:val="24"/>
        </w:rPr>
        <w:t>4</w:t>
      </w:r>
      <w:r>
        <w:rPr>
          <w:rFonts w:ascii="Times New Roman" w:hAnsi="Times New Roman" w:cs="Times New Roman"/>
          <w:sz w:val="24"/>
          <w:szCs w:val="24"/>
        </w:rPr>
        <w:t xml:space="preserve"> performance </w:t>
      </w:r>
      <w:r w:rsidR="008838B5">
        <w:rPr>
          <w:rFonts w:ascii="Times New Roman" w:hAnsi="Times New Roman" w:cs="Times New Roman"/>
          <w:sz w:val="24"/>
          <w:szCs w:val="24"/>
        </w:rPr>
        <w:t xml:space="preserve">when </w:t>
      </w:r>
      <w:r>
        <w:rPr>
          <w:rFonts w:ascii="Times New Roman" w:hAnsi="Times New Roman" w:cs="Times New Roman"/>
          <w:sz w:val="24"/>
          <w:szCs w:val="24"/>
        </w:rPr>
        <w:t>excluding NEEA savings. With NEEA savings, the portfolio savings decreased 7</w:t>
      </w:r>
      <w:r w:rsidR="00740B23">
        <w:rPr>
          <w:rFonts w:ascii="Times New Roman" w:hAnsi="Times New Roman" w:cs="Times New Roman"/>
          <w:sz w:val="24"/>
          <w:szCs w:val="24"/>
        </w:rPr>
        <w:t xml:space="preserve"> percent</w:t>
      </w:r>
      <w:r>
        <w:rPr>
          <w:rFonts w:ascii="Times New Roman" w:hAnsi="Times New Roman" w:cs="Times New Roman"/>
          <w:sz w:val="24"/>
          <w:szCs w:val="24"/>
        </w:rPr>
        <w:t xml:space="preserve">, from </w:t>
      </w:r>
      <w:r w:rsidR="00E8600B">
        <w:rPr>
          <w:rFonts w:ascii="Times New Roman" w:hAnsi="Times New Roman" w:cs="Times New Roman"/>
          <w:sz w:val="24"/>
          <w:szCs w:val="24"/>
        </w:rPr>
        <w:t>50.6 G</w:t>
      </w:r>
      <w:r>
        <w:rPr>
          <w:rFonts w:ascii="Times New Roman" w:hAnsi="Times New Roman" w:cs="Times New Roman"/>
          <w:sz w:val="24"/>
          <w:szCs w:val="24"/>
        </w:rPr>
        <w:t xml:space="preserve">Wh in 2014 to </w:t>
      </w:r>
      <w:r w:rsidR="00E8600B">
        <w:rPr>
          <w:rFonts w:ascii="Times New Roman" w:hAnsi="Times New Roman" w:cs="Times New Roman"/>
          <w:sz w:val="24"/>
          <w:szCs w:val="24"/>
        </w:rPr>
        <w:t>47.4</w:t>
      </w:r>
      <w:r>
        <w:rPr>
          <w:rFonts w:ascii="Times New Roman" w:hAnsi="Times New Roman" w:cs="Times New Roman"/>
          <w:sz w:val="24"/>
          <w:szCs w:val="24"/>
        </w:rPr>
        <w:t xml:space="preserve"> </w:t>
      </w:r>
      <w:r w:rsidR="00E8600B">
        <w:rPr>
          <w:rFonts w:ascii="Times New Roman" w:hAnsi="Times New Roman" w:cs="Times New Roman"/>
          <w:sz w:val="24"/>
          <w:szCs w:val="24"/>
        </w:rPr>
        <w:t>G</w:t>
      </w:r>
      <w:r>
        <w:rPr>
          <w:rFonts w:ascii="Times New Roman" w:hAnsi="Times New Roman" w:cs="Times New Roman"/>
          <w:sz w:val="24"/>
          <w:szCs w:val="24"/>
        </w:rPr>
        <w:t>Wh in 2015.</w:t>
      </w:r>
    </w:p>
    <w:p w14:paraId="2451CB74" w14:textId="77777777" w:rsidR="008B5320" w:rsidRDefault="008B5320" w:rsidP="00E07462">
      <w:pPr>
        <w:autoSpaceDE w:val="0"/>
        <w:autoSpaceDN w:val="0"/>
        <w:jc w:val="both"/>
        <w:rPr>
          <w:rFonts w:ascii="Times New Roman" w:hAnsi="Times New Roman" w:cs="Times New Roman"/>
          <w:sz w:val="24"/>
          <w:szCs w:val="24"/>
        </w:rPr>
      </w:pPr>
    </w:p>
    <w:p w14:paraId="2451CB75" w14:textId="77777777" w:rsidR="00AF01C2" w:rsidRDefault="004F3EF1" w:rsidP="004F3EF1">
      <w:pPr>
        <w:jc w:val="both"/>
        <w:rPr>
          <w:rFonts w:ascii="Times New Roman" w:hAnsi="Times New Roman" w:cs="Times New Roman"/>
          <w:sz w:val="24"/>
          <w:szCs w:val="24"/>
        </w:rPr>
      </w:pPr>
      <w:r w:rsidRPr="008A5DC1">
        <w:rPr>
          <w:rFonts w:ascii="Times New Roman" w:hAnsi="Times New Roman" w:cs="Times New Roman"/>
          <w:sz w:val="24"/>
          <w:szCs w:val="24"/>
        </w:rPr>
        <w:t>The portfolio was cost effective based on four of the five standard cost effectiveness tests for the reporting period.</w:t>
      </w:r>
      <w:r>
        <w:rPr>
          <w:rFonts w:ascii="Times New Roman" w:hAnsi="Times New Roman" w:cs="Times New Roman"/>
          <w:sz w:val="24"/>
          <w:szCs w:val="24"/>
        </w:rPr>
        <w:t xml:space="preserve"> The ratepayer impact measure test</w:t>
      </w:r>
      <w:r w:rsidRPr="007716B1">
        <w:rPr>
          <w:rFonts w:ascii="Times New Roman" w:hAnsi="Times New Roman" w:cs="Times New Roman"/>
          <w:sz w:val="24"/>
          <w:szCs w:val="24"/>
        </w:rPr>
        <w:t xml:space="preserve"> was less than 1.0</w:t>
      </w:r>
      <w:r w:rsidR="00C700D3">
        <w:rPr>
          <w:rFonts w:ascii="Times New Roman" w:hAnsi="Times New Roman" w:cs="Times New Roman"/>
          <w:sz w:val="24"/>
          <w:szCs w:val="24"/>
        </w:rPr>
        <w:t>,</w:t>
      </w:r>
      <w:r w:rsidRPr="007716B1">
        <w:rPr>
          <w:rFonts w:ascii="Times New Roman" w:hAnsi="Times New Roman" w:cs="Times New Roman"/>
          <w:sz w:val="24"/>
          <w:szCs w:val="24"/>
        </w:rPr>
        <w:t xml:space="preserve"> indicating </w:t>
      </w:r>
      <w:r>
        <w:rPr>
          <w:rFonts w:ascii="Times New Roman" w:hAnsi="Times New Roman" w:cs="Times New Roman"/>
          <w:sz w:val="24"/>
          <w:szCs w:val="24"/>
        </w:rPr>
        <w:t xml:space="preserve">near-term </w:t>
      </w:r>
      <w:r w:rsidRPr="007716B1">
        <w:rPr>
          <w:rFonts w:ascii="Times New Roman" w:hAnsi="Times New Roman" w:cs="Times New Roman"/>
          <w:sz w:val="24"/>
          <w:szCs w:val="24"/>
        </w:rPr>
        <w:t>upward pressure was placed on the price per kilowatt-hour</w:t>
      </w:r>
      <w:r w:rsidR="00BE141C">
        <w:rPr>
          <w:rFonts w:ascii="Times New Roman" w:hAnsi="Times New Roman" w:cs="Times New Roman"/>
          <w:sz w:val="24"/>
          <w:szCs w:val="24"/>
        </w:rPr>
        <w:t xml:space="preserve"> </w:t>
      </w:r>
      <w:r w:rsidR="006F432A">
        <w:rPr>
          <w:rFonts w:ascii="Times New Roman" w:hAnsi="Times New Roman" w:cs="Times New Roman"/>
          <w:sz w:val="24"/>
          <w:szCs w:val="24"/>
        </w:rPr>
        <w:t>(</w:t>
      </w:r>
      <w:r w:rsidR="00BE141C">
        <w:rPr>
          <w:rFonts w:ascii="Times New Roman" w:hAnsi="Times New Roman" w:cs="Times New Roman"/>
          <w:sz w:val="24"/>
          <w:szCs w:val="24"/>
        </w:rPr>
        <w:t>kWh</w:t>
      </w:r>
      <w:r w:rsidR="006F432A">
        <w:rPr>
          <w:rFonts w:ascii="Times New Roman" w:hAnsi="Times New Roman" w:cs="Times New Roman"/>
          <w:sz w:val="24"/>
          <w:szCs w:val="24"/>
        </w:rPr>
        <w:t>)</w:t>
      </w:r>
      <w:r w:rsidRPr="007716B1">
        <w:rPr>
          <w:rFonts w:ascii="Times New Roman" w:hAnsi="Times New Roman" w:cs="Times New Roman"/>
          <w:sz w:val="24"/>
          <w:szCs w:val="24"/>
        </w:rPr>
        <w:t xml:space="preserve"> given a reduction in sales.</w:t>
      </w:r>
      <w:r>
        <w:rPr>
          <w:rFonts w:ascii="Times New Roman" w:hAnsi="Times New Roman" w:cs="Times New Roman"/>
          <w:sz w:val="24"/>
          <w:szCs w:val="24"/>
        </w:rPr>
        <w:t xml:space="preserve"> </w:t>
      </w:r>
      <w:r w:rsidR="00642377" w:rsidRPr="00431061">
        <w:rPr>
          <w:rFonts w:ascii="Times New Roman" w:hAnsi="Times New Roman" w:cs="Times New Roman"/>
          <w:sz w:val="24"/>
          <w:szCs w:val="24"/>
        </w:rPr>
        <w:t>T</w:t>
      </w:r>
      <w:r w:rsidR="00642377">
        <w:rPr>
          <w:rFonts w:ascii="Times New Roman" w:hAnsi="Times New Roman" w:cs="Times New Roman"/>
          <w:sz w:val="24"/>
          <w:szCs w:val="24"/>
        </w:rPr>
        <w:t>he cost</w:t>
      </w:r>
      <w:r w:rsidR="009775CF">
        <w:rPr>
          <w:rFonts w:ascii="Times New Roman" w:hAnsi="Times New Roman" w:cs="Times New Roman"/>
          <w:sz w:val="24"/>
          <w:szCs w:val="24"/>
        </w:rPr>
        <w:t xml:space="preserve"> </w:t>
      </w:r>
      <w:r w:rsidR="00642377">
        <w:rPr>
          <w:rFonts w:ascii="Times New Roman" w:hAnsi="Times New Roman" w:cs="Times New Roman"/>
          <w:sz w:val="24"/>
          <w:szCs w:val="24"/>
        </w:rPr>
        <w:t xml:space="preserve">effectiveness of the </w:t>
      </w:r>
      <w:r w:rsidR="009C776E">
        <w:rPr>
          <w:rFonts w:ascii="Times New Roman" w:hAnsi="Times New Roman" w:cs="Times New Roman"/>
          <w:sz w:val="24"/>
          <w:szCs w:val="24"/>
        </w:rPr>
        <w:t xml:space="preserve">Company’s Washington energy efficiency program </w:t>
      </w:r>
      <w:r w:rsidR="00642377">
        <w:rPr>
          <w:rFonts w:ascii="Times New Roman" w:hAnsi="Times New Roman" w:cs="Times New Roman"/>
          <w:sz w:val="24"/>
          <w:szCs w:val="24"/>
        </w:rPr>
        <w:t>portfolio from various perspectives is provided in Table 1</w:t>
      </w:r>
      <w:r w:rsidR="00B55504">
        <w:rPr>
          <w:rFonts w:ascii="Times New Roman" w:hAnsi="Times New Roman" w:cs="Times New Roman"/>
          <w:sz w:val="24"/>
          <w:szCs w:val="24"/>
        </w:rPr>
        <w:t xml:space="preserve"> below</w:t>
      </w:r>
      <w:r w:rsidR="00642377">
        <w:rPr>
          <w:rFonts w:ascii="Times New Roman" w:hAnsi="Times New Roman" w:cs="Times New Roman"/>
          <w:sz w:val="24"/>
          <w:szCs w:val="24"/>
        </w:rPr>
        <w:t>.</w:t>
      </w:r>
    </w:p>
    <w:p w14:paraId="2451CB76" w14:textId="77777777" w:rsidR="00B55504" w:rsidRDefault="00B55504" w:rsidP="004F3EF1">
      <w:pPr>
        <w:jc w:val="both"/>
        <w:rPr>
          <w:rFonts w:ascii="Times New Roman" w:hAnsi="Times New Roman" w:cs="Times New Roman"/>
          <w:sz w:val="24"/>
          <w:szCs w:val="24"/>
        </w:rPr>
      </w:pPr>
    </w:p>
    <w:p w14:paraId="2451CB77" w14:textId="77777777" w:rsidR="00B55504" w:rsidRDefault="00B55504" w:rsidP="004F3EF1">
      <w:pPr>
        <w:jc w:val="both"/>
        <w:rPr>
          <w:rFonts w:ascii="Times New Roman" w:hAnsi="Times New Roman" w:cs="Times New Roman"/>
          <w:sz w:val="24"/>
          <w:szCs w:val="24"/>
        </w:rPr>
      </w:pPr>
    </w:p>
    <w:p w14:paraId="2451CB78" w14:textId="77777777" w:rsidR="00B214AF" w:rsidRPr="007716B1" w:rsidRDefault="00B214AF" w:rsidP="00A5740C">
      <w:pPr>
        <w:jc w:val="both"/>
        <w:rPr>
          <w:rFonts w:ascii="Times New Roman" w:hAnsi="Times New Roman" w:cs="Times New Roman"/>
          <w:sz w:val="24"/>
          <w:szCs w:val="24"/>
        </w:rPr>
      </w:pPr>
    </w:p>
    <w:p w14:paraId="2451CB79" w14:textId="77777777" w:rsidR="00BA32FD" w:rsidRDefault="00BA32FD" w:rsidP="003E6A0C">
      <w:pPr>
        <w:jc w:val="center"/>
        <w:rPr>
          <w:rFonts w:ascii="Times New Roman" w:hAnsi="Times New Roman" w:cs="Times New Roman"/>
          <w:color w:val="548DD4" w:themeColor="text2" w:themeTint="99"/>
          <w:sz w:val="24"/>
          <w:szCs w:val="24"/>
        </w:rPr>
      </w:pPr>
    </w:p>
    <w:p w14:paraId="2451CB7A" w14:textId="77777777" w:rsidR="00BA32FD" w:rsidRDefault="00BA32FD" w:rsidP="003E6A0C">
      <w:pPr>
        <w:jc w:val="center"/>
        <w:rPr>
          <w:rFonts w:ascii="Times New Roman" w:hAnsi="Times New Roman" w:cs="Times New Roman"/>
          <w:color w:val="548DD4" w:themeColor="text2" w:themeTint="99"/>
          <w:sz w:val="24"/>
          <w:szCs w:val="24"/>
        </w:rPr>
      </w:pPr>
    </w:p>
    <w:p w14:paraId="2451CB7B" w14:textId="77777777" w:rsidR="00BA32FD" w:rsidRDefault="00BA32FD" w:rsidP="003E6A0C">
      <w:pPr>
        <w:jc w:val="center"/>
        <w:rPr>
          <w:rFonts w:ascii="Times New Roman" w:hAnsi="Times New Roman" w:cs="Times New Roman"/>
          <w:color w:val="548DD4" w:themeColor="text2" w:themeTint="99"/>
          <w:sz w:val="24"/>
          <w:szCs w:val="24"/>
        </w:rPr>
      </w:pPr>
    </w:p>
    <w:p w14:paraId="2451CB7C" w14:textId="77777777" w:rsidR="00BA32FD" w:rsidRDefault="00BA32FD" w:rsidP="003E6A0C">
      <w:pPr>
        <w:jc w:val="center"/>
        <w:rPr>
          <w:rFonts w:ascii="Times New Roman" w:hAnsi="Times New Roman" w:cs="Times New Roman"/>
          <w:color w:val="548DD4" w:themeColor="text2" w:themeTint="99"/>
          <w:sz w:val="24"/>
          <w:szCs w:val="24"/>
        </w:rPr>
      </w:pPr>
    </w:p>
    <w:p w14:paraId="2451CB7D" w14:textId="77777777" w:rsidR="00BA32FD" w:rsidRDefault="00BA32FD" w:rsidP="003E6A0C">
      <w:pPr>
        <w:jc w:val="center"/>
        <w:rPr>
          <w:rFonts w:ascii="Times New Roman" w:hAnsi="Times New Roman" w:cs="Times New Roman"/>
          <w:color w:val="548DD4" w:themeColor="text2" w:themeTint="99"/>
          <w:sz w:val="24"/>
          <w:szCs w:val="24"/>
        </w:rPr>
      </w:pPr>
    </w:p>
    <w:p w14:paraId="2451CB7E" w14:textId="77777777" w:rsidR="00BA32FD" w:rsidRDefault="00BA32FD" w:rsidP="003E6A0C">
      <w:pPr>
        <w:jc w:val="center"/>
        <w:rPr>
          <w:rFonts w:ascii="Times New Roman" w:hAnsi="Times New Roman" w:cs="Times New Roman"/>
          <w:color w:val="548DD4" w:themeColor="text2" w:themeTint="99"/>
          <w:sz w:val="24"/>
          <w:szCs w:val="24"/>
        </w:rPr>
      </w:pPr>
    </w:p>
    <w:p w14:paraId="2451CB7F" w14:textId="77777777" w:rsidR="00BA32FD" w:rsidRDefault="00BA32FD" w:rsidP="003E6A0C">
      <w:pPr>
        <w:jc w:val="center"/>
        <w:rPr>
          <w:rFonts w:ascii="Times New Roman" w:hAnsi="Times New Roman" w:cs="Times New Roman"/>
          <w:color w:val="548DD4" w:themeColor="text2" w:themeTint="99"/>
          <w:sz w:val="24"/>
          <w:szCs w:val="24"/>
        </w:rPr>
      </w:pPr>
    </w:p>
    <w:p w14:paraId="2451CB80" w14:textId="77777777" w:rsidR="006F29DD" w:rsidRDefault="006F29DD" w:rsidP="003E6A0C">
      <w:pPr>
        <w:jc w:val="center"/>
        <w:rPr>
          <w:rFonts w:ascii="Times New Roman" w:hAnsi="Times New Roman" w:cs="Times New Roman"/>
          <w:color w:val="548DD4" w:themeColor="text2" w:themeTint="99"/>
          <w:sz w:val="24"/>
          <w:szCs w:val="24"/>
        </w:rPr>
      </w:pPr>
    </w:p>
    <w:p w14:paraId="2451CB81" w14:textId="77777777" w:rsidR="00780576" w:rsidRDefault="00642377" w:rsidP="003E6A0C">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w:t>
      </w:r>
    </w:p>
    <w:p w14:paraId="2451CB82" w14:textId="77777777" w:rsidR="001313E6" w:rsidRDefault="00651340" w:rsidP="003E6A0C">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00642377">
        <w:rPr>
          <w:rFonts w:ascii="Times New Roman" w:hAnsi="Times New Roman" w:cs="Times New Roman"/>
          <w:color w:val="548DD4" w:themeColor="text2" w:themeTint="99"/>
          <w:sz w:val="24"/>
          <w:szCs w:val="24"/>
        </w:rPr>
        <w:t>Cost</w:t>
      </w:r>
      <w:r w:rsidR="009775CF">
        <w:rPr>
          <w:rFonts w:ascii="Times New Roman" w:hAnsi="Times New Roman" w:cs="Times New Roman"/>
          <w:color w:val="548DD4" w:themeColor="text2" w:themeTint="99"/>
          <w:sz w:val="24"/>
          <w:szCs w:val="24"/>
        </w:rPr>
        <w:t xml:space="preserve"> E</w:t>
      </w:r>
      <w:r w:rsidR="00642377">
        <w:rPr>
          <w:rFonts w:ascii="Times New Roman" w:hAnsi="Times New Roman" w:cs="Times New Roman"/>
          <w:color w:val="548DD4" w:themeColor="text2" w:themeTint="99"/>
          <w:sz w:val="24"/>
          <w:szCs w:val="24"/>
        </w:rPr>
        <w:t xml:space="preserve">ffectiveness for the </w:t>
      </w:r>
      <w:r w:rsidR="00642377" w:rsidRPr="00BE141C">
        <w:rPr>
          <w:rFonts w:ascii="Times New Roman" w:hAnsi="Times New Roman" w:cs="Times New Roman"/>
          <w:color w:val="548DD4" w:themeColor="text2" w:themeTint="99"/>
          <w:sz w:val="24"/>
          <w:szCs w:val="24"/>
        </w:rPr>
        <w:t>Portfolio</w:t>
      </w:r>
      <w:r w:rsidR="007F537A" w:rsidRPr="00BE141C">
        <w:rPr>
          <w:rStyle w:val="FootnoteReference"/>
          <w:rFonts w:ascii="Times New Roman" w:hAnsi="Times New Roman" w:cs="Times New Roman"/>
          <w:color w:val="548DD4" w:themeColor="text2" w:themeTint="99"/>
          <w:sz w:val="24"/>
          <w:szCs w:val="24"/>
        </w:rPr>
        <w:footnoteReference w:id="4"/>
      </w:r>
      <w:r w:rsidR="00FE7DBB" w:rsidRPr="00BE141C">
        <w:rPr>
          <w:rFonts w:ascii="Times New Roman" w:hAnsi="Times New Roman" w:cs="Times New Roman"/>
          <w:color w:val="548DD4" w:themeColor="text2" w:themeTint="99"/>
          <w:sz w:val="24"/>
          <w:szCs w:val="24"/>
        </w:rPr>
        <w:t xml:space="preserve"> (</w:t>
      </w:r>
      <w:r w:rsidR="00FE7DBB">
        <w:rPr>
          <w:rFonts w:ascii="Times New Roman" w:hAnsi="Times New Roman" w:cs="Times New Roman"/>
          <w:color w:val="548DD4" w:themeColor="text2" w:themeTint="99"/>
          <w:sz w:val="24"/>
          <w:szCs w:val="24"/>
        </w:rPr>
        <w:t>includes non-energy benefits)</w:t>
      </w:r>
    </w:p>
    <w:p w14:paraId="2451CB83" w14:textId="77777777" w:rsidR="00B214AF" w:rsidRPr="007716B1" w:rsidRDefault="00B214AF" w:rsidP="003E6A0C">
      <w:pPr>
        <w:jc w:val="center"/>
        <w:rPr>
          <w:rFonts w:ascii="Times New Roman" w:hAnsi="Times New Roman" w:cs="Times New Roman"/>
          <w:color w:val="548DD4" w:themeColor="text2" w:themeTint="99"/>
          <w:sz w:val="24"/>
          <w:szCs w:val="24"/>
        </w:rPr>
      </w:pPr>
    </w:p>
    <w:tbl>
      <w:tblPr>
        <w:tblStyle w:val="TableGrid"/>
        <w:tblW w:w="8208" w:type="dxa"/>
        <w:tblInd w:w="660" w:type="dxa"/>
        <w:tblLook w:val="04A0" w:firstRow="1" w:lastRow="0" w:firstColumn="1" w:lastColumn="0" w:noHBand="0" w:noVBand="1"/>
      </w:tblPr>
      <w:tblGrid>
        <w:gridCol w:w="5598"/>
        <w:gridCol w:w="1260"/>
        <w:gridCol w:w="1350"/>
      </w:tblGrid>
      <w:tr w:rsidR="008F6282" w:rsidRPr="007716B1" w14:paraId="2451CB87" w14:textId="77777777" w:rsidTr="00986EBF">
        <w:tc>
          <w:tcPr>
            <w:tcW w:w="5598" w:type="dxa"/>
            <w:shd w:val="clear" w:color="auto" w:fill="C6D9F1" w:themeFill="text2" w:themeFillTint="33"/>
          </w:tcPr>
          <w:p w14:paraId="2451CB84" w14:textId="77777777" w:rsidR="008F6282" w:rsidRPr="00986EBF" w:rsidRDefault="008F6282" w:rsidP="00312375">
            <w:pPr>
              <w:rPr>
                <w:rFonts w:cs="Times New Roman"/>
                <w:b/>
                <w:sz w:val="20"/>
                <w:szCs w:val="24"/>
              </w:rPr>
            </w:pPr>
          </w:p>
        </w:tc>
        <w:tc>
          <w:tcPr>
            <w:tcW w:w="1260" w:type="dxa"/>
            <w:shd w:val="clear" w:color="auto" w:fill="C6D9F1" w:themeFill="text2" w:themeFillTint="33"/>
            <w:vAlign w:val="center"/>
          </w:tcPr>
          <w:p w14:paraId="2451CB85" w14:textId="77777777" w:rsidR="008F6282" w:rsidRPr="00986EBF" w:rsidRDefault="008F6282" w:rsidP="009F6A88">
            <w:pPr>
              <w:jc w:val="center"/>
              <w:rPr>
                <w:rFonts w:cs="Times New Roman"/>
                <w:b/>
                <w:sz w:val="20"/>
                <w:szCs w:val="24"/>
              </w:rPr>
            </w:pPr>
            <w:r w:rsidRPr="00986EBF">
              <w:rPr>
                <w:rFonts w:cs="Times New Roman"/>
                <w:b/>
                <w:sz w:val="20"/>
                <w:szCs w:val="24"/>
              </w:rPr>
              <w:t>B/C Ratio</w:t>
            </w:r>
            <w:r w:rsidR="009F6A88" w:rsidRPr="00986EBF">
              <w:rPr>
                <w:rFonts w:cs="Times New Roman"/>
                <w:b/>
                <w:sz w:val="20"/>
                <w:szCs w:val="24"/>
              </w:rPr>
              <w:t xml:space="preserve"> with NEEA</w:t>
            </w:r>
          </w:p>
        </w:tc>
        <w:tc>
          <w:tcPr>
            <w:tcW w:w="1350" w:type="dxa"/>
            <w:shd w:val="clear" w:color="auto" w:fill="C6D9F1" w:themeFill="text2" w:themeFillTint="33"/>
          </w:tcPr>
          <w:p w14:paraId="2451CB86" w14:textId="77777777" w:rsidR="008F6282" w:rsidRPr="00986EBF" w:rsidRDefault="009F6A88">
            <w:pPr>
              <w:jc w:val="center"/>
              <w:rPr>
                <w:rFonts w:cs="Times New Roman"/>
                <w:b/>
                <w:sz w:val="20"/>
                <w:szCs w:val="24"/>
              </w:rPr>
            </w:pPr>
            <w:r w:rsidRPr="00986EBF">
              <w:rPr>
                <w:rFonts w:cs="Times New Roman"/>
                <w:b/>
                <w:sz w:val="20"/>
                <w:szCs w:val="24"/>
              </w:rPr>
              <w:t>B/C Ratio without NEEA</w:t>
            </w:r>
          </w:p>
        </w:tc>
      </w:tr>
      <w:tr w:rsidR="008F6282" w:rsidRPr="007716B1" w14:paraId="2451CB8B" w14:textId="77777777" w:rsidTr="007F632F">
        <w:tc>
          <w:tcPr>
            <w:tcW w:w="5598" w:type="dxa"/>
          </w:tcPr>
          <w:p w14:paraId="2451CB88" w14:textId="77777777" w:rsidR="008F6282" w:rsidRPr="00986EBF" w:rsidRDefault="00BC1F7E" w:rsidP="00FE7DBB">
            <w:pPr>
              <w:rPr>
                <w:rFonts w:cs="Times New Roman"/>
                <w:sz w:val="20"/>
                <w:szCs w:val="24"/>
              </w:rPr>
            </w:pPr>
            <w:r>
              <w:rPr>
                <w:rFonts w:cs="Times New Roman"/>
                <w:sz w:val="20"/>
                <w:szCs w:val="24"/>
              </w:rPr>
              <w:t xml:space="preserve">PacifiCorp </w:t>
            </w:r>
            <w:r w:rsidR="008F6282" w:rsidRPr="00986EBF">
              <w:rPr>
                <w:rFonts w:cs="Times New Roman"/>
                <w:sz w:val="20"/>
                <w:szCs w:val="24"/>
              </w:rPr>
              <w:t xml:space="preserve">Total Resource </w:t>
            </w:r>
            <w:r w:rsidR="00053FF7">
              <w:rPr>
                <w:rFonts w:cs="Times New Roman"/>
                <w:sz w:val="20"/>
                <w:szCs w:val="24"/>
              </w:rPr>
              <w:t xml:space="preserve">Cost </w:t>
            </w:r>
            <w:r w:rsidR="00FE7DBB">
              <w:rPr>
                <w:rFonts w:cs="Times New Roman"/>
                <w:sz w:val="20"/>
                <w:szCs w:val="24"/>
              </w:rPr>
              <w:t xml:space="preserve">Test </w:t>
            </w:r>
            <w:r w:rsidR="00053FF7">
              <w:rPr>
                <w:rFonts w:cs="Times New Roman"/>
                <w:sz w:val="20"/>
                <w:szCs w:val="24"/>
              </w:rPr>
              <w:t xml:space="preserve">(PTRC) </w:t>
            </w:r>
            <w:r w:rsidR="008F6282" w:rsidRPr="00986EBF">
              <w:rPr>
                <w:rFonts w:cs="Times New Roman"/>
                <w:sz w:val="20"/>
                <w:szCs w:val="24"/>
              </w:rPr>
              <w:t>plus</w:t>
            </w:r>
            <w:r w:rsidR="00053FF7">
              <w:rPr>
                <w:rFonts w:cs="Times New Roman"/>
                <w:sz w:val="20"/>
                <w:szCs w:val="24"/>
              </w:rPr>
              <w:t xml:space="preserve"> 10%</w:t>
            </w:r>
            <w:r w:rsidR="008F6282" w:rsidRPr="00986EBF">
              <w:rPr>
                <w:rStyle w:val="FootnoteReference"/>
                <w:rFonts w:cs="Times New Roman"/>
                <w:sz w:val="20"/>
                <w:szCs w:val="24"/>
              </w:rPr>
              <w:footnoteReference w:id="5"/>
            </w:r>
          </w:p>
        </w:tc>
        <w:tc>
          <w:tcPr>
            <w:tcW w:w="1260" w:type="dxa"/>
            <w:vAlign w:val="center"/>
          </w:tcPr>
          <w:p w14:paraId="2451CB89" w14:textId="77777777" w:rsidR="008F6282" w:rsidRPr="00FE7DBB" w:rsidRDefault="003E3961" w:rsidP="00BB2CCE">
            <w:pPr>
              <w:jc w:val="center"/>
              <w:rPr>
                <w:rFonts w:cs="Times New Roman"/>
                <w:sz w:val="20"/>
                <w:szCs w:val="20"/>
              </w:rPr>
            </w:pPr>
            <w:r>
              <w:rPr>
                <w:rFonts w:cs="Times New Roman"/>
                <w:sz w:val="20"/>
                <w:szCs w:val="20"/>
              </w:rPr>
              <w:t>1.70</w:t>
            </w:r>
          </w:p>
        </w:tc>
        <w:tc>
          <w:tcPr>
            <w:tcW w:w="1350" w:type="dxa"/>
            <w:vAlign w:val="center"/>
          </w:tcPr>
          <w:p w14:paraId="2451CB8A" w14:textId="77777777" w:rsidR="008F6282" w:rsidRPr="00FE7DBB" w:rsidRDefault="003E3961" w:rsidP="00BB2CCE">
            <w:pPr>
              <w:jc w:val="center"/>
              <w:rPr>
                <w:rFonts w:cs="Times New Roman"/>
                <w:sz w:val="20"/>
                <w:szCs w:val="20"/>
              </w:rPr>
            </w:pPr>
            <w:r>
              <w:rPr>
                <w:rFonts w:cs="Times New Roman"/>
                <w:sz w:val="20"/>
                <w:szCs w:val="20"/>
              </w:rPr>
              <w:t>1.74</w:t>
            </w:r>
          </w:p>
        </w:tc>
      </w:tr>
      <w:tr w:rsidR="008F6282" w:rsidRPr="007716B1" w14:paraId="2451CB8F" w14:textId="77777777" w:rsidTr="007F632F">
        <w:tc>
          <w:tcPr>
            <w:tcW w:w="5598" w:type="dxa"/>
          </w:tcPr>
          <w:p w14:paraId="2451CB8C" w14:textId="77777777" w:rsidR="008F6282" w:rsidRPr="00986EBF" w:rsidRDefault="008F6282" w:rsidP="003E6A0C">
            <w:pPr>
              <w:rPr>
                <w:rFonts w:cs="Times New Roman"/>
                <w:sz w:val="20"/>
                <w:szCs w:val="24"/>
              </w:rPr>
            </w:pPr>
            <w:r w:rsidRPr="00986EBF">
              <w:rPr>
                <w:rFonts w:cs="Times New Roman"/>
                <w:sz w:val="20"/>
                <w:szCs w:val="24"/>
              </w:rPr>
              <w:t>Total Resource Cost</w:t>
            </w:r>
            <w:r w:rsidR="00053FF7">
              <w:rPr>
                <w:rFonts w:cs="Times New Roman"/>
                <w:sz w:val="20"/>
                <w:szCs w:val="24"/>
              </w:rPr>
              <w:t xml:space="preserve"> (TRC)</w:t>
            </w:r>
            <w:r w:rsidR="008465BE">
              <w:rPr>
                <w:rFonts w:cs="Times New Roman"/>
                <w:sz w:val="20"/>
                <w:szCs w:val="24"/>
              </w:rPr>
              <w:t xml:space="preserve"> Test</w:t>
            </w:r>
            <w:r w:rsidRPr="00986EBF">
              <w:rPr>
                <w:rStyle w:val="FootnoteReference"/>
                <w:rFonts w:cs="Times New Roman"/>
                <w:sz w:val="20"/>
                <w:szCs w:val="24"/>
              </w:rPr>
              <w:footnoteReference w:id="6"/>
            </w:r>
          </w:p>
        </w:tc>
        <w:tc>
          <w:tcPr>
            <w:tcW w:w="1260" w:type="dxa"/>
            <w:vAlign w:val="center"/>
          </w:tcPr>
          <w:p w14:paraId="2451CB8D" w14:textId="77777777" w:rsidR="008F6282" w:rsidRPr="00FE7DBB" w:rsidRDefault="003E3961" w:rsidP="008567AD">
            <w:pPr>
              <w:jc w:val="center"/>
              <w:rPr>
                <w:rFonts w:cs="Times New Roman"/>
                <w:sz w:val="20"/>
                <w:szCs w:val="20"/>
              </w:rPr>
            </w:pPr>
            <w:r>
              <w:rPr>
                <w:rFonts w:cs="Times New Roman"/>
                <w:sz w:val="20"/>
                <w:szCs w:val="20"/>
              </w:rPr>
              <w:t>1.57</w:t>
            </w:r>
          </w:p>
        </w:tc>
        <w:tc>
          <w:tcPr>
            <w:tcW w:w="1350" w:type="dxa"/>
            <w:vAlign w:val="center"/>
          </w:tcPr>
          <w:p w14:paraId="2451CB8E" w14:textId="77777777" w:rsidR="008F6282" w:rsidRPr="00FE7DBB" w:rsidRDefault="003E3961" w:rsidP="008567AD">
            <w:pPr>
              <w:jc w:val="center"/>
              <w:rPr>
                <w:rFonts w:cs="Times New Roman"/>
                <w:sz w:val="20"/>
                <w:szCs w:val="20"/>
              </w:rPr>
            </w:pPr>
            <w:r>
              <w:rPr>
                <w:rFonts w:cs="Times New Roman"/>
                <w:sz w:val="20"/>
                <w:szCs w:val="20"/>
              </w:rPr>
              <w:t>1.60</w:t>
            </w:r>
          </w:p>
        </w:tc>
      </w:tr>
      <w:tr w:rsidR="008F6282" w:rsidRPr="007716B1" w14:paraId="2451CB93" w14:textId="77777777" w:rsidTr="007F632F">
        <w:tc>
          <w:tcPr>
            <w:tcW w:w="5598" w:type="dxa"/>
          </w:tcPr>
          <w:p w14:paraId="2451CB90" w14:textId="77777777" w:rsidR="008F6282" w:rsidRPr="00986EBF" w:rsidRDefault="008F6282" w:rsidP="00053FF7">
            <w:pPr>
              <w:rPr>
                <w:rFonts w:cs="Times New Roman"/>
                <w:sz w:val="20"/>
                <w:szCs w:val="24"/>
              </w:rPr>
            </w:pPr>
            <w:r w:rsidRPr="00986EBF">
              <w:rPr>
                <w:rFonts w:cs="Times New Roman"/>
                <w:sz w:val="20"/>
                <w:szCs w:val="24"/>
              </w:rPr>
              <w:t>Utility Cost Test</w:t>
            </w:r>
            <w:r w:rsidR="00053FF7">
              <w:rPr>
                <w:rFonts w:cs="Times New Roman"/>
                <w:sz w:val="20"/>
                <w:szCs w:val="24"/>
              </w:rPr>
              <w:t xml:space="preserve"> (UCT)</w:t>
            </w:r>
            <w:r w:rsidRPr="00986EBF">
              <w:rPr>
                <w:rStyle w:val="FootnoteReference"/>
                <w:rFonts w:cs="Times New Roman"/>
                <w:sz w:val="20"/>
                <w:szCs w:val="24"/>
              </w:rPr>
              <w:footnoteReference w:id="7"/>
            </w:r>
          </w:p>
        </w:tc>
        <w:tc>
          <w:tcPr>
            <w:tcW w:w="1260" w:type="dxa"/>
            <w:vAlign w:val="center"/>
          </w:tcPr>
          <w:p w14:paraId="2451CB91" w14:textId="77777777" w:rsidR="008F6282" w:rsidRPr="00FE7DBB" w:rsidRDefault="003E3961" w:rsidP="008F6282">
            <w:pPr>
              <w:jc w:val="center"/>
              <w:rPr>
                <w:rFonts w:cs="Times New Roman"/>
                <w:sz w:val="20"/>
                <w:szCs w:val="20"/>
              </w:rPr>
            </w:pPr>
            <w:r>
              <w:rPr>
                <w:rFonts w:cs="Times New Roman"/>
                <w:sz w:val="20"/>
                <w:szCs w:val="20"/>
              </w:rPr>
              <w:t>2.17</w:t>
            </w:r>
          </w:p>
        </w:tc>
        <w:tc>
          <w:tcPr>
            <w:tcW w:w="1350" w:type="dxa"/>
          </w:tcPr>
          <w:p w14:paraId="2451CB92" w14:textId="77777777" w:rsidR="008F6282" w:rsidRPr="00FE7DBB" w:rsidRDefault="003E3961" w:rsidP="00F347D3">
            <w:pPr>
              <w:jc w:val="center"/>
              <w:rPr>
                <w:rFonts w:cs="Times New Roman"/>
                <w:sz w:val="20"/>
                <w:szCs w:val="20"/>
              </w:rPr>
            </w:pPr>
            <w:r>
              <w:rPr>
                <w:rFonts w:cs="Times New Roman"/>
                <w:sz w:val="20"/>
                <w:szCs w:val="20"/>
              </w:rPr>
              <w:t>2.28</w:t>
            </w:r>
          </w:p>
        </w:tc>
      </w:tr>
      <w:tr w:rsidR="008F6282" w:rsidRPr="007716B1" w14:paraId="2451CB97" w14:textId="77777777" w:rsidTr="007F632F">
        <w:tc>
          <w:tcPr>
            <w:tcW w:w="5598" w:type="dxa"/>
          </w:tcPr>
          <w:p w14:paraId="2451CB94" w14:textId="77777777" w:rsidR="008F6282" w:rsidRPr="00986EBF" w:rsidRDefault="008F6282" w:rsidP="00053FF7">
            <w:pPr>
              <w:rPr>
                <w:rFonts w:cs="Times New Roman"/>
                <w:sz w:val="20"/>
                <w:szCs w:val="24"/>
              </w:rPr>
            </w:pPr>
            <w:r w:rsidRPr="00986EBF">
              <w:rPr>
                <w:rFonts w:cs="Times New Roman"/>
                <w:sz w:val="20"/>
                <w:szCs w:val="24"/>
              </w:rPr>
              <w:t>Participant Cost Test</w:t>
            </w:r>
            <w:r w:rsidR="00053FF7">
              <w:rPr>
                <w:rFonts w:cs="Times New Roman"/>
                <w:sz w:val="20"/>
                <w:szCs w:val="24"/>
              </w:rPr>
              <w:t xml:space="preserve"> (PCT)</w:t>
            </w:r>
            <w:r w:rsidRPr="00986EBF">
              <w:rPr>
                <w:rStyle w:val="FootnoteReference"/>
                <w:rFonts w:cs="Times New Roman"/>
                <w:sz w:val="20"/>
                <w:szCs w:val="24"/>
              </w:rPr>
              <w:footnoteReference w:id="8"/>
            </w:r>
          </w:p>
        </w:tc>
        <w:tc>
          <w:tcPr>
            <w:tcW w:w="1260" w:type="dxa"/>
            <w:vAlign w:val="center"/>
          </w:tcPr>
          <w:p w14:paraId="2451CB95" w14:textId="77777777" w:rsidR="008F6282" w:rsidRPr="00FE7DBB" w:rsidRDefault="003E3961" w:rsidP="008F6282">
            <w:pPr>
              <w:jc w:val="center"/>
              <w:rPr>
                <w:rFonts w:cs="Times New Roman"/>
                <w:sz w:val="20"/>
                <w:szCs w:val="20"/>
              </w:rPr>
            </w:pPr>
            <w:r>
              <w:rPr>
                <w:rFonts w:cs="Times New Roman"/>
                <w:sz w:val="20"/>
                <w:szCs w:val="20"/>
              </w:rPr>
              <w:t>3.31</w:t>
            </w:r>
          </w:p>
        </w:tc>
        <w:tc>
          <w:tcPr>
            <w:tcW w:w="1350" w:type="dxa"/>
          </w:tcPr>
          <w:p w14:paraId="2451CB96" w14:textId="77777777" w:rsidR="008F6282" w:rsidRPr="00FE7DBB" w:rsidRDefault="003E3961" w:rsidP="008F6282">
            <w:pPr>
              <w:jc w:val="center"/>
              <w:rPr>
                <w:rFonts w:cs="Times New Roman"/>
                <w:sz w:val="20"/>
                <w:szCs w:val="20"/>
              </w:rPr>
            </w:pPr>
            <w:r>
              <w:rPr>
                <w:rFonts w:cs="Times New Roman"/>
                <w:sz w:val="20"/>
                <w:szCs w:val="20"/>
              </w:rPr>
              <w:t>3.19</w:t>
            </w:r>
          </w:p>
        </w:tc>
      </w:tr>
      <w:tr w:rsidR="008F6282" w:rsidRPr="007716B1" w14:paraId="2451CB9B" w14:textId="77777777" w:rsidTr="007F632F">
        <w:trPr>
          <w:trHeight w:val="287"/>
        </w:trPr>
        <w:tc>
          <w:tcPr>
            <w:tcW w:w="5598" w:type="dxa"/>
          </w:tcPr>
          <w:p w14:paraId="2451CB98" w14:textId="77777777" w:rsidR="008F6282" w:rsidRPr="00986EBF" w:rsidRDefault="008F6282" w:rsidP="00FE7DBB">
            <w:pPr>
              <w:rPr>
                <w:rFonts w:cs="Times New Roman"/>
                <w:sz w:val="20"/>
                <w:szCs w:val="24"/>
              </w:rPr>
            </w:pPr>
            <w:r w:rsidRPr="00986EBF">
              <w:rPr>
                <w:rFonts w:cs="Times New Roman"/>
                <w:sz w:val="20"/>
                <w:szCs w:val="24"/>
              </w:rPr>
              <w:t xml:space="preserve">Ratepayer Impact </w:t>
            </w:r>
            <w:r w:rsidR="00FE7DBB">
              <w:rPr>
                <w:rFonts w:cs="Times New Roman"/>
                <w:sz w:val="20"/>
                <w:szCs w:val="24"/>
              </w:rPr>
              <w:t>Cost Test (RIM)</w:t>
            </w:r>
            <w:r w:rsidR="00053FF7" w:rsidRPr="007716B1">
              <w:rPr>
                <w:rStyle w:val="FootnoteReference"/>
                <w:rFonts w:ascii="Times New Roman" w:hAnsi="Times New Roman" w:cs="Times New Roman"/>
                <w:sz w:val="24"/>
                <w:szCs w:val="24"/>
              </w:rPr>
              <w:footnoteReference w:id="9"/>
            </w:r>
          </w:p>
        </w:tc>
        <w:tc>
          <w:tcPr>
            <w:tcW w:w="1260" w:type="dxa"/>
            <w:vAlign w:val="center"/>
          </w:tcPr>
          <w:p w14:paraId="2451CB99" w14:textId="77777777" w:rsidR="008F6282" w:rsidRPr="00FE7DBB" w:rsidRDefault="003E3961" w:rsidP="00981E20">
            <w:pPr>
              <w:jc w:val="center"/>
              <w:rPr>
                <w:rFonts w:cs="Times New Roman"/>
                <w:sz w:val="20"/>
                <w:szCs w:val="20"/>
              </w:rPr>
            </w:pPr>
            <w:r>
              <w:rPr>
                <w:rFonts w:cs="Times New Roman"/>
                <w:sz w:val="20"/>
                <w:szCs w:val="20"/>
              </w:rPr>
              <w:t>0.57</w:t>
            </w:r>
          </w:p>
        </w:tc>
        <w:tc>
          <w:tcPr>
            <w:tcW w:w="1350" w:type="dxa"/>
            <w:vAlign w:val="center"/>
          </w:tcPr>
          <w:p w14:paraId="2451CB9A" w14:textId="77777777" w:rsidR="008F6282" w:rsidRPr="00FE7DBB" w:rsidRDefault="003E3961" w:rsidP="005C5C7D">
            <w:pPr>
              <w:jc w:val="center"/>
              <w:rPr>
                <w:rFonts w:cs="Times New Roman"/>
                <w:sz w:val="20"/>
                <w:szCs w:val="20"/>
              </w:rPr>
            </w:pPr>
            <w:r>
              <w:rPr>
                <w:rFonts w:cs="Times New Roman"/>
                <w:sz w:val="20"/>
                <w:szCs w:val="20"/>
              </w:rPr>
              <w:t>0.58</w:t>
            </w:r>
          </w:p>
        </w:tc>
      </w:tr>
    </w:tbl>
    <w:p w14:paraId="2451CB9C" w14:textId="77777777" w:rsidR="00FE345F" w:rsidRDefault="00FE345F" w:rsidP="00A5740C">
      <w:pPr>
        <w:jc w:val="both"/>
        <w:rPr>
          <w:rFonts w:ascii="Times New Roman" w:hAnsi="Times New Roman" w:cs="Times New Roman"/>
          <w:sz w:val="24"/>
          <w:szCs w:val="24"/>
        </w:rPr>
      </w:pPr>
    </w:p>
    <w:p w14:paraId="2451CB9D" w14:textId="77777777" w:rsidR="009D1B07" w:rsidRDefault="00E371D1" w:rsidP="00A5740C">
      <w:pPr>
        <w:jc w:val="both"/>
        <w:rPr>
          <w:rFonts w:ascii="Times New Roman" w:hAnsi="Times New Roman" w:cs="Times New Roman"/>
          <w:sz w:val="24"/>
          <w:szCs w:val="24"/>
        </w:rPr>
      </w:pPr>
      <w:r>
        <w:rPr>
          <w:rFonts w:ascii="Times New Roman" w:hAnsi="Times New Roman" w:cs="Times New Roman"/>
          <w:sz w:val="24"/>
          <w:szCs w:val="24"/>
        </w:rPr>
        <w:t xml:space="preserve">All cost effectiveness calculations assume a </w:t>
      </w:r>
      <w:r w:rsidR="004536AF">
        <w:rPr>
          <w:rFonts w:ascii="Times New Roman" w:hAnsi="Times New Roman" w:cs="Times New Roman"/>
          <w:sz w:val="24"/>
          <w:szCs w:val="24"/>
        </w:rPr>
        <w:t>n</w:t>
      </w:r>
      <w:r>
        <w:rPr>
          <w:rFonts w:ascii="Times New Roman" w:hAnsi="Times New Roman" w:cs="Times New Roman"/>
          <w:sz w:val="24"/>
          <w:szCs w:val="24"/>
        </w:rPr>
        <w:t xml:space="preserve">et-to-gross </w:t>
      </w:r>
      <w:r w:rsidR="006F432A">
        <w:rPr>
          <w:rFonts w:ascii="Times New Roman" w:hAnsi="Times New Roman" w:cs="Times New Roman"/>
          <w:sz w:val="24"/>
          <w:szCs w:val="24"/>
        </w:rPr>
        <w:t>(</w:t>
      </w:r>
      <w:r>
        <w:rPr>
          <w:rFonts w:ascii="Times New Roman" w:hAnsi="Times New Roman" w:cs="Times New Roman"/>
          <w:sz w:val="24"/>
          <w:szCs w:val="24"/>
        </w:rPr>
        <w:t>NTG</w:t>
      </w:r>
      <w:r w:rsidR="006F432A">
        <w:rPr>
          <w:rFonts w:ascii="Times New Roman" w:hAnsi="Times New Roman" w:cs="Times New Roman"/>
          <w:sz w:val="24"/>
          <w:szCs w:val="24"/>
        </w:rPr>
        <w:t>)</w:t>
      </w:r>
      <w:r>
        <w:rPr>
          <w:rFonts w:ascii="Times New Roman" w:hAnsi="Times New Roman" w:cs="Times New Roman"/>
          <w:sz w:val="24"/>
          <w:szCs w:val="24"/>
        </w:rPr>
        <w:t xml:space="preserve"> of 1.0</w:t>
      </w:r>
      <w:r w:rsidR="008838B5">
        <w:rPr>
          <w:rFonts w:ascii="Times New Roman" w:hAnsi="Times New Roman" w:cs="Times New Roman"/>
          <w:sz w:val="24"/>
          <w:szCs w:val="24"/>
        </w:rPr>
        <w:t>,</w:t>
      </w:r>
      <w:r>
        <w:rPr>
          <w:rFonts w:ascii="Times New Roman" w:hAnsi="Times New Roman" w:cs="Times New Roman"/>
          <w:sz w:val="24"/>
          <w:szCs w:val="24"/>
        </w:rPr>
        <w:t xml:space="preserve"> consistent with the </w:t>
      </w:r>
      <w:r w:rsidR="00C17EE5">
        <w:rPr>
          <w:rFonts w:ascii="Times New Roman" w:hAnsi="Times New Roman" w:cs="Times New Roman"/>
          <w:sz w:val="24"/>
          <w:szCs w:val="24"/>
        </w:rPr>
        <w:t xml:space="preserve">Northwest Power and Conservation </w:t>
      </w:r>
      <w:r>
        <w:rPr>
          <w:rFonts w:ascii="Times New Roman" w:hAnsi="Times New Roman" w:cs="Times New Roman"/>
          <w:sz w:val="24"/>
          <w:szCs w:val="24"/>
        </w:rPr>
        <w:t xml:space="preserve">Council’s methodology. </w:t>
      </w:r>
      <w:r w:rsidR="004F3EF1" w:rsidRPr="000D493F">
        <w:rPr>
          <w:rFonts w:ascii="Times New Roman" w:hAnsi="Times New Roman" w:cs="Times New Roman"/>
          <w:sz w:val="24"/>
          <w:szCs w:val="24"/>
        </w:rPr>
        <w:t xml:space="preserve">Portfolio-level cost effectiveness includes portfolio costs such as the </w:t>
      </w:r>
      <w:r w:rsidR="00BE141C">
        <w:rPr>
          <w:rFonts w:ascii="Times New Roman" w:hAnsi="Times New Roman" w:cs="Times New Roman"/>
          <w:sz w:val="24"/>
          <w:szCs w:val="24"/>
        </w:rPr>
        <w:t xml:space="preserve">Process and Impact Evaluations, Class 2 </w:t>
      </w:r>
      <w:r w:rsidR="00335208">
        <w:rPr>
          <w:rFonts w:ascii="Times New Roman" w:hAnsi="Times New Roman" w:cs="Times New Roman"/>
          <w:sz w:val="24"/>
          <w:szCs w:val="24"/>
        </w:rPr>
        <w:t xml:space="preserve">DSM </w:t>
      </w:r>
      <w:r w:rsidR="00F61D9E">
        <w:rPr>
          <w:rFonts w:ascii="Times New Roman" w:hAnsi="Times New Roman" w:cs="Times New Roman"/>
          <w:sz w:val="24"/>
          <w:szCs w:val="24"/>
        </w:rPr>
        <w:t xml:space="preserve">(demand side management) </w:t>
      </w:r>
      <w:r w:rsidR="004F3EF1" w:rsidRPr="000D493F">
        <w:rPr>
          <w:rFonts w:ascii="Times New Roman" w:hAnsi="Times New Roman" w:cs="Times New Roman"/>
          <w:sz w:val="24"/>
          <w:szCs w:val="24"/>
        </w:rPr>
        <w:t>Potential</w:t>
      </w:r>
      <w:r w:rsidR="00335208">
        <w:rPr>
          <w:rFonts w:ascii="Times New Roman" w:hAnsi="Times New Roman" w:cs="Times New Roman"/>
          <w:sz w:val="24"/>
          <w:szCs w:val="24"/>
        </w:rPr>
        <w:t>s</w:t>
      </w:r>
      <w:r w:rsidR="004F3EF1" w:rsidRPr="000D493F">
        <w:rPr>
          <w:rFonts w:ascii="Times New Roman" w:hAnsi="Times New Roman" w:cs="Times New Roman"/>
          <w:sz w:val="24"/>
          <w:szCs w:val="24"/>
        </w:rPr>
        <w:t xml:space="preserve"> Assessment and </w:t>
      </w:r>
      <w:r w:rsidR="00335208">
        <w:rPr>
          <w:rFonts w:ascii="Times New Roman" w:hAnsi="Times New Roman" w:cs="Times New Roman"/>
          <w:sz w:val="24"/>
          <w:szCs w:val="24"/>
        </w:rPr>
        <w:t xml:space="preserve">the </w:t>
      </w:r>
      <w:r w:rsidR="004F3EF1" w:rsidRPr="000D493F">
        <w:rPr>
          <w:rFonts w:ascii="Times New Roman" w:hAnsi="Times New Roman" w:cs="Times New Roman"/>
          <w:sz w:val="24"/>
          <w:szCs w:val="24"/>
        </w:rPr>
        <w:t xml:space="preserve">DSM system database. </w:t>
      </w:r>
      <w:r w:rsidR="00F37C58">
        <w:rPr>
          <w:rFonts w:ascii="Times New Roman" w:hAnsi="Times New Roman" w:cs="Times New Roman"/>
          <w:sz w:val="24"/>
          <w:szCs w:val="24"/>
        </w:rPr>
        <w:t xml:space="preserve">Consistent with the Northwest </w:t>
      </w:r>
      <w:r w:rsidR="00335208">
        <w:rPr>
          <w:rFonts w:ascii="Times New Roman" w:hAnsi="Times New Roman" w:cs="Times New Roman"/>
          <w:sz w:val="24"/>
          <w:szCs w:val="24"/>
        </w:rPr>
        <w:t xml:space="preserve">Power and </w:t>
      </w:r>
      <w:r w:rsidR="00F37C58">
        <w:rPr>
          <w:rFonts w:ascii="Times New Roman" w:hAnsi="Times New Roman" w:cs="Times New Roman"/>
          <w:sz w:val="24"/>
          <w:szCs w:val="24"/>
        </w:rPr>
        <w:t>Conservation</w:t>
      </w:r>
      <w:r w:rsidR="00335208">
        <w:rPr>
          <w:rFonts w:ascii="Times New Roman" w:hAnsi="Times New Roman" w:cs="Times New Roman"/>
          <w:sz w:val="24"/>
          <w:szCs w:val="24"/>
        </w:rPr>
        <w:t xml:space="preserve"> Council’s methodology</w:t>
      </w:r>
      <w:r w:rsidR="00F37C58">
        <w:rPr>
          <w:rFonts w:ascii="Times New Roman" w:hAnsi="Times New Roman" w:cs="Times New Roman"/>
          <w:sz w:val="24"/>
          <w:szCs w:val="24"/>
        </w:rPr>
        <w:t>, t</w:t>
      </w:r>
      <w:r w:rsidR="004F3EF1" w:rsidRPr="000D493F">
        <w:rPr>
          <w:rFonts w:ascii="Times New Roman" w:hAnsi="Times New Roman" w:cs="Times New Roman"/>
          <w:sz w:val="24"/>
          <w:szCs w:val="24"/>
        </w:rPr>
        <w:t>he Company includes quantifiable non-energy benefits at the portfolio and residential level, as well as the Home Energy Savings and Low Income Weatherization program leve</w:t>
      </w:r>
      <w:r w:rsidR="004F3EF1">
        <w:rPr>
          <w:rFonts w:ascii="Times New Roman" w:hAnsi="Times New Roman" w:cs="Times New Roman"/>
          <w:sz w:val="24"/>
          <w:szCs w:val="24"/>
        </w:rPr>
        <w:t>l</w:t>
      </w:r>
      <w:r w:rsidR="00030E62">
        <w:rPr>
          <w:rFonts w:ascii="Times New Roman" w:hAnsi="Times New Roman" w:cs="Times New Roman"/>
          <w:sz w:val="24"/>
          <w:szCs w:val="24"/>
        </w:rPr>
        <w:t>s</w:t>
      </w:r>
      <w:r w:rsidR="004F3EF1">
        <w:rPr>
          <w:rFonts w:ascii="Times New Roman" w:hAnsi="Times New Roman" w:cs="Times New Roman"/>
          <w:sz w:val="24"/>
          <w:szCs w:val="24"/>
        </w:rPr>
        <w:t xml:space="preserve">. </w:t>
      </w:r>
      <w:r w:rsidR="00FE7DBB">
        <w:rPr>
          <w:rFonts w:ascii="Times New Roman" w:hAnsi="Times New Roman" w:cs="Times New Roman"/>
          <w:sz w:val="24"/>
          <w:szCs w:val="24"/>
        </w:rPr>
        <w:t>Low Income Weatherization is not included in the portfolio or sector-level cost effectiveness</w:t>
      </w:r>
      <w:r w:rsidR="00030E62">
        <w:rPr>
          <w:rFonts w:ascii="Times New Roman" w:hAnsi="Times New Roman" w:cs="Times New Roman"/>
          <w:sz w:val="24"/>
          <w:szCs w:val="24"/>
        </w:rPr>
        <w:t xml:space="preserve"> </w:t>
      </w:r>
      <w:r w:rsidR="00335208">
        <w:rPr>
          <w:rFonts w:ascii="Times New Roman" w:hAnsi="Times New Roman" w:cs="Times New Roman"/>
          <w:sz w:val="24"/>
          <w:szCs w:val="24"/>
        </w:rPr>
        <w:t xml:space="preserve">analysis </w:t>
      </w:r>
      <w:r w:rsidR="004C797C">
        <w:rPr>
          <w:rFonts w:ascii="Times New Roman" w:hAnsi="Times New Roman" w:cs="Times New Roman"/>
          <w:sz w:val="24"/>
          <w:szCs w:val="24"/>
        </w:rPr>
        <w:t>per WAC 480-109-100(10)</w:t>
      </w:r>
      <w:r w:rsidR="00030E62">
        <w:rPr>
          <w:rFonts w:ascii="Times New Roman" w:hAnsi="Times New Roman" w:cs="Times New Roman"/>
          <w:sz w:val="24"/>
          <w:szCs w:val="24"/>
        </w:rPr>
        <w:t>(b)</w:t>
      </w:r>
      <w:r w:rsidR="00FE7DBB">
        <w:rPr>
          <w:rFonts w:ascii="Times New Roman" w:hAnsi="Times New Roman" w:cs="Times New Roman"/>
          <w:sz w:val="24"/>
          <w:szCs w:val="24"/>
        </w:rPr>
        <w:t xml:space="preserve">. </w:t>
      </w:r>
      <w:r w:rsidR="006F432A">
        <w:rPr>
          <w:rFonts w:ascii="Times New Roman" w:hAnsi="Times New Roman" w:cs="Times New Roman"/>
          <w:sz w:val="24"/>
          <w:szCs w:val="24"/>
        </w:rPr>
        <w:t>Appendix </w:t>
      </w:r>
      <w:r w:rsidR="004F3EF1" w:rsidRPr="00A92F84">
        <w:rPr>
          <w:rFonts w:ascii="Times New Roman" w:hAnsi="Times New Roman" w:cs="Times New Roman"/>
          <w:sz w:val="24"/>
          <w:szCs w:val="24"/>
        </w:rPr>
        <w:t>1</w:t>
      </w:r>
      <w:r w:rsidR="004F3EF1">
        <w:rPr>
          <w:rFonts w:ascii="Times New Roman" w:hAnsi="Times New Roman" w:cs="Times New Roman"/>
          <w:sz w:val="24"/>
          <w:szCs w:val="24"/>
        </w:rPr>
        <w:t xml:space="preserve"> provides 2015 cost effectiveness performance</w:t>
      </w:r>
      <w:r w:rsidR="004F3EF1" w:rsidRPr="000D493F">
        <w:rPr>
          <w:rFonts w:ascii="Times New Roman" w:hAnsi="Times New Roman" w:cs="Times New Roman"/>
          <w:sz w:val="24"/>
          <w:szCs w:val="24"/>
        </w:rPr>
        <w:t>.</w:t>
      </w:r>
    </w:p>
    <w:p w14:paraId="2451CB9E" w14:textId="77777777" w:rsidR="004F3EF1" w:rsidRPr="007716B1" w:rsidRDefault="004F3EF1" w:rsidP="00A5740C">
      <w:pPr>
        <w:jc w:val="both"/>
        <w:rPr>
          <w:rFonts w:ascii="Times New Roman" w:hAnsi="Times New Roman" w:cs="Times New Roman"/>
          <w:sz w:val="24"/>
          <w:szCs w:val="24"/>
        </w:rPr>
      </w:pPr>
    </w:p>
    <w:p w14:paraId="2451CB9F" w14:textId="77777777" w:rsidR="00134BF3" w:rsidRPr="00DC1AF9" w:rsidRDefault="00134BF3" w:rsidP="00134BF3">
      <w:pPr>
        <w:jc w:val="both"/>
        <w:rPr>
          <w:rFonts w:ascii="Times New Roman" w:hAnsi="Times New Roman" w:cs="Times New Roman"/>
          <w:sz w:val="24"/>
          <w:szCs w:val="24"/>
        </w:rPr>
      </w:pPr>
      <w:r>
        <w:rPr>
          <w:rFonts w:ascii="Times New Roman" w:hAnsi="Times New Roman" w:cs="Times New Roman"/>
          <w:sz w:val="24"/>
          <w:szCs w:val="24"/>
        </w:rPr>
        <w:t>The</w:t>
      </w:r>
      <w:r w:rsidRPr="00DC1AF9">
        <w:rPr>
          <w:rFonts w:ascii="Times New Roman" w:hAnsi="Times New Roman" w:cs="Times New Roman"/>
          <w:sz w:val="24"/>
          <w:szCs w:val="24"/>
        </w:rPr>
        <w:t xml:space="preserve"> Company</w:t>
      </w:r>
      <w:r>
        <w:rPr>
          <w:rFonts w:ascii="Times New Roman" w:hAnsi="Times New Roman" w:cs="Times New Roman"/>
          <w:sz w:val="24"/>
          <w:szCs w:val="24"/>
        </w:rPr>
        <w:t>,</w:t>
      </w:r>
      <w:r w:rsidRPr="00DC1AF9">
        <w:rPr>
          <w:rFonts w:ascii="Times New Roman" w:hAnsi="Times New Roman" w:cs="Times New Roman"/>
          <w:sz w:val="24"/>
          <w:szCs w:val="24"/>
        </w:rPr>
        <w:t xml:space="preserve"> working with its third</w:t>
      </w:r>
      <w:r>
        <w:rPr>
          <w:rFonts w:ascii="Times New Roman" w:hAnsi="Times New Roman" w:cs="Times New Roman"/>
          <w:sz w:val="24"/>
          <w:szCs w:val="24"/>
        </w:rPr>
        <w:t>-</w:t>
      </w:r>
      <w:r w:rsidRPr="00DC1AF9">
        <w:rPr>
          <w:rFonts w:ascii="Times New Roman" w:hAnsi="Times New Roman" w:cs="Times New Roman"/>
          <w:sz w:val="24"/>
          <w:szCs w:val="24"/>
        </w:rPr>
        <w:t xml:space="preserve">party </w:t>
      </w:r>
      <w:r>
        <w:rPr>
          <w:rFonts w:ascii="Times New Roman" w:hAnsi="Times New Roman" w:cs="Times New Roman"/>
          <w:sz w:val="24"/>
          <w:szCs w:val="24"/>
        </w:rPr>
        <w:t xml:space="preserve">program delivery </w:t>
      </w:r>
      <w:r w:rsidRPr="00DC1AF9">
        <w:rPr>
          <w:rFonts w:ascii="Times New Roman" w:hAnsi="Times New Roman" w:cs="Times New Roman"/>
          <w:sz w:val="24"/>
          <w:szCs w:val="24"/>
        </w:rPr>
        <w:t>administrators</w:t>
      </w:r>
      <w:r>
        <w:rPr>
          <w:rFonts w:ascii="Times New Roman" w:hAnsi="Times New Roman" w:cs="Times New Roman"/>
          <w:sz w:val="24"/>
          <w:szCs w:val="24"/>
        </w:rPr>
        <w:t>,</w:t>
      </w:r>
      <w:r w:rsidRPr="00DC1AF9">
        <w:rPr>
          <w:rFonts w:ascii="Times New Roman" w:hAnsi="Times New Roman" w:cs="Times New Roman"/>
          <w:sz w:val="24"/>
          <w:szCs w:val="24"/>
        </w:rPr>
        <w:t xml:space="preserve"> </w:t>
      </w:r>
      <w:r>
        <w:rPr>
          <w:rFonts w:ascii="Times New Roman" w:hAnsi="Times New Roman" w:cs="Times New Roman"/>
          <w:sz w:val="24"/>
          <w:szCs w:val="24"/>
        </w:rPr>
        <w:t>collaborat</w:t>
      </w:r>
      <w:r w:rsidR="00C17EE5">
        <w:rPr>
          <w:rFonts w:ascii="Times New Roman" w:hAnsi="Times New Roman" w:cs="Times New Roman"/>
          <w:sz w:val="24"/>
          <w:szCs w:val="24"/>
        </w:rPr>
        <w:t>ed</w:t>
      </w:r>
      <w:r>
        <w:rPr>
          <w:rFonts w:ascii="Times New Roman" w:hAnsi="Times New Roman" w:cs="Times New Roman"/>
          <w:sz w:val="24"/>
          <w:szCs w:val="24"/>
        </w:rPr>
        <w:t xml:space="preserve"> with </w:t>
      </w:r>
      <w:r w:rsidRPr="00DC1AF9">
        <w:rPr>
          <w:rFonts w:ascii="Times New Roman" w:hAnsi="Times New Roman" w:cs="Times New Roman"/>
          <w:sz w:val="24"/>
          <w:szCs w:val="24"/>
        </w:rPr>
        <w:t xml:space="preserve">the </w:t>
      </w:r>
      <w:r w:rsidRPr="00A92F84">
        <w:rPr>
          <w:rFonts w:ascii="Times New Roman" w:hAnsi="Times New Roman" w:cs="Times New Roman"/>
          <w:sz w:val="24"/>
          <w:szCs w:val="24"/>
        </w:rPr>
        <w:t>following</w:t>
      </w:r>
      <w:r w:rsidRPr="00DC1AF9">
        <w:rPr>
          <w:rFonts w:ascii="Times New Roman" w:hAnsi="Times New Roman" w:cs="Times New Roman"/>
          <w:sz w:val="24"/>
          <w:szCs w:val="24"/>
        </w:rPr>
        <w:t xml:space="preserve"> number </w:t>
      </w:r>
      <w:r>
        <w:rPr>
          <w:rFonts w:ascii="Times New Roman" w:hAnsi="Times New Roman" w:cs="Times New Roman"/>
          <w:sz w:val="24"/>
          <w:szCs w:val="24"/>
        </w:rPr>
        <w:t>of retailers, contractors and vendors in the delivery of its energy efficiency programs in the state of Washington</w:t>
      </w:r>
      <w:r w:rsidR="008838B5">
        <w:rPr>
          <w:rFonts w:ascii="Times New Roman" w:hAnsi="Times New Roman" w:cs="Times New Roman"/>
          <w:sz w:val="24"/>
          <w:szCs w:val="24"/>
        </w:rPr>
        <w:t>.</w:t>
      </w:r>
      <w:r w:rsidR="001E47EB" w:rsidRPr="00DC1AF9">
        <w:rPr>
          <w:rFonts w:ascii="Times New Roman" w:hAnsi="Times New Roman" w:cs="Times New Roman"/>
          <w:sz w:val="24"/>
          <w:szCs w:val="24"/>
          <w:vertAlign w:val="superscript"/>
        </w:rPr>
        <w:footnoteReference w:id="10"/>
      </w:r>
      <w:r w:rsidR="00B55504">
        <w:rPr>
          <w:rFonts w:ascii="Times New Roman" w:hAnsi="Times New Roman" w:cs="Times New Roman"/>
          <w:sz w:val="24"/>
          <w:szCs w:val="24"/>
        </w:rPr>
        <w:t xml:space="preserve"> </w:t>
      </w:r>
      <w:r w:rsidR="001E47EB">
        <w:rPr>
          <w:rFonts w:ascii="Times New Roman" w:hAnsi="Times New Roman" w:cs="Times New Roman"/>
          <w:sz w:val="24"/>
          <w:szCs w:val="24"/>
        </w:rPr>
        <w:t xml:space="preserve"> </w:t>
      </w:r>
      <w:r w:rsidR="00B55504">
        <w:rPr>
          <w:rFonts w:ascii="Times New Roman" w:hAnsi="Times New Roman" w:cs="Times New Roman"/>
          <w:sz w:val="24"/>
          <w:szCs w:val="24"/>
        </w:rPr>
        <w:t>Table 2 below lists the energy efficiency infrastructure.</w:t>
      </w:r>
    </w:p>
    <w:p w14:paraId="2451CBA0" w14:textId="77777777" w:rsidR="00075C45" w:rsidRDefault="00075C45" w:rsidP="0073700C">
      <w:pPr>
        <w:jc w:val="both"/>
        <w:rPr>
          <w:rFonts w:ascii="Times New Roman" w:hAnsi="Times New Roman" w:cs="Times New Roman"/>
          <w:sz w:val="24"/>
          <w:szCs w:val="24"/>
        </w:rPr>
      </w:pPr>
    </w:p>
    <w:p w14:paraId="2451CBA1" w14:textId="77777777" w:rsidR="00523162" w:rsidRDefault="00523162" w:rsidP="0073700C">
      <w:pPr>
        <w:jc w:val="both"/>
        <w:rPr>
          <w:rFonts w:ascii="Times New Roman" w:hAnsi="Times New Roman" w:cs="Times New Roman"/>
          <w:sz w:val="24"/>
          <w:szCs w:val="24"/>
        </w:rPr>
      </w:pPr>
    </w:p>
    <w:p w14:paraId="2451CBA2" w14:textId="77777777" w:rsidR="00523162" w:rsidRDefault="00523162" w:rsidP="00523162">
      <w:pPr>
        <w:jc w:val="center"/>
        <w:rPr>
          <w:rFonts w:ascii="Times New Roman" w:hAnsi="Times New Roman" w:cs="Times New Roman"/>
          <w:color w:val="548DD4" w:themeColor="text2" w:themeTint="99"/>
          <w:sz w:val="24"/>
          <w:szCs w:val="24"/>
        </w:rPr>
      </w:pPr>
    </w:p>
    <w:p w14:paraId="2451CBA3" w14:textId="77777777" w:rsidR="00523162" w:rsidRDefault="00523162" w:rsidP="00523162">
      <w:pPr>
        <w:jc w:val="center"/>
        <w:rPr>
          <w:rFonts w:ascii="Times New Roman" w:hAnsi="Times New Roman" w:cs="Times New Roman"/>
          <w:color w:val="548DD4" w:themeColor="text2" w:themeTint="99"/>
          <w:sz w:val="24"/>
          <w:szCs w:val="24"/>
        </w:rPr>
      </w:pPr>
    </w:p>
    <w:p w14:paraId="2451CBA4" w14:textId="77777777" w:rsidR="00523162" w:rsidRDefault="00523162" w:rsidP="00523162">
      <w:pPr>
        <w:jc w:val="center"/>
        <w:rPr>
          <w:rFonts w:ascii="Times New Roman" w:hAnsi="Times New Roman" w:cs="Times New Roman"/>
          <w:color w:val="548DD4" w:themeColor="text2" w:themeTint="99"/>
          <w:sz w:val="24"/>
          <w:szCs w:val="24"/>
        </w:rPr>
      </w:pPr>
    </w:p>
    <w:p w14:paraId="2451CBA5" w14:textId="77777777" w:rsidR="00523162" w:rsidRDefault="00523162" w:rsidP="00523162">
      <w:pPr>
        <w:jc w:val="center"/>
        <w:rPr>
          <w:rFonts w:ascii="Times New Roman" w:hAnsi="Times New Roman" w:cs="Times New Roman"/>
          <w:color w:val="548DD4" w:themeColor="text2" w:themeTint="99"/>
          <w:sz w:val="24"/>
          <w:szCs w:val="24"/>
        </w:rPr>
      </w:pPr>
    </w:p>
    <w:p w14:paraId="2451CBA6" w14:textId="77777777" w:rsidR="00523162" w:rsidRDefault="00523162" w:rsidP="00523162">
      <w:pPr>
        <w:jc w:val="center"/>
        <w:rPr>
          <w:rFonts w:ascii="Times New Roman" w:hAnsi="Times New Roman" w:cs="Times New Roman"/>
          <w:color w:val="548DD4" w:themeColor="text2" w:themeTint="99"/>
          <w:sz w:val="24"/>
          <w:szCs w:val="24"/>
        </w:rPr>
      </w:pPr>
    </w:p>
    <w:p w14:paraId="2451CBA7" w14:textId="77777777" w:rsidR="00523162" w:rsidRDefault="00523162" w:rsidP="00523162">
      <w:pPr>
        <w:jc w:val="center"/>
        <w:rPr>
          <w:rFonts w:ascii="Times New Roman" w:hAnsi="Times New Roman" w:cs="Times New Roman"/>
          <w:color w:val="548DD4" w:themeColor="text2" w:themeTint="99"/>
          <w:sz w:val="24"/>
          <w:szCs w:val="24"/>
        </w:rPr>
      </w:pPr>
    </w:p>
    <w:p w14:paraId="2451CBA8" w14:textId="77777777" w:rsidR="00523162" w:rsidRDefault="00523162" w:rsidP="00523162">
      <w:pPr>
        <w:jc w:val="center"/>
        <w:rPr>
          <w:rFonts w:ascii="Times New Roman" w:hAnsi="Times New Roman" w:cs="Times New Roman"/>
          <w:color w:val="548DD4" w:themeColor="text2" w:themeTint="99"/>
          <w:sz w:val="24"/>
          <w:szCs w:val="24"/>
        </w:rPr>
      </w:pPr>
    </w:p>
    <w:p w14:paraId="2451CBA9" w14:textId="77777777" w:rsidR="00523162" w:rsidRPr="00075C45" w:rsidRDefault="00523162" w:rsidP="00523162">
      <w:pPr>
        <w:jc w:val="center"/>
        <w:rPr>
          <w:rFonts w:ascii="Times New Roman" w:hAnsi="Times New Roman" w:cs="Times New Roman"/>
          <w:color w:val="548DD4" w:themeColor="text2" w:themeTint="99"/>
          <w:sz w:val="24"/>
          <w:szCs w:val="24"/>
        </w:rPr>
      </w:pPr>
      <w:r w:rsidRPr="00075C45">
        <w:rPr>
          <w:rFonts w:ascii="Times New Roman" w:hAnsi="Times New Roman" w:cs="Times New Roman"/>
          <w:color w:val="548DD4" w:themeColor="text2" w:themeTint="99"/>
          <w:sz w:val="24"/>
          <w:szCs w:val="24"/>
        </w:rPr>
        <w:t>Table 2</w:t>
      </w:r>
    </w:p>
    <w:p w14:paraId="2451CBAA" w14:textId="77777777" w:rsidR="00523162" w:rsidRPr="00075C45" w:rsidRDefault="00523162" w:rsidP="00523162">
      <w:pPr>
        <w:jc w:val="center"/>
        <w:rPr>
          <w:rFonts w:ascii="Times New Roman" w:hAnsi="Times New Roman" w:cs="Times New Roman"/>
          <w:color w:val="548DD4" w:themeColor="text2" w:themeTint="99"/>
          <w:sz w:val="24"/>
          <w:szCs w:val="24"/>
        </w:rPr>
      </w:pPr>
      <w:r w:rsidRPr="00075C45">
        <w:rPr>
          <w:rFonts w:ascii="Times New Roman" w:hAnsi="Times New Roman" w:cs="Times New Roman"/>
          <w:color w:val="548DD4" w:themeColor="text2" w:themeTint="99"/>
          <w:sz w:val="24"/>
          <w:szCs w:val="24"/>
        </w:rPr>
        <w:t>Energy Effi</w:t>
      </w:r>
      <w:r w:rsidRPr="00BA32FD">
        <w:rPr>
          <w:rFonts w:ascii="Times New Roman" w:hAnsi="Times New Roman" w:cs="Times New Roman"/>
          <w:color w:val="548DD4" w:themeColor="text2" w:themeTint="99"/>
          <w:sz w:val="24"/>
          <w:szCs w:val="24"/>
        </w:rPr>
        <w:t>c</w:t>
      </w:r>
      <w:r w:rsidRPr="00075C45">
        <w:rPr>
          <w:rFonts w:ascii="Times New Roman" w:hAnsi="Times New Roman" w:cs="Times New Roman"/>
          <w:color w:val="548DD4" w:themeColor="text2" w:themeTint="99"/>
          <w:sz w:val="24"/>
          <w:szCs w:val="24"/>
        </w:rPr>
        <w:t>iency Infrastructure</w:t>
      </w:r>
    </w:p>
    <w:p w14:paraId="2451CBAB" w14:textId="77777777" w:rsidR="00523162" w:rsidRPr="007716B1" w:rsidRDefault="00523162" w:rsidP="00523162">
      <w:pPr>
        <w:jc w:val="both"/>
        <w:rPr>
          <w:rFonts w:ascii="Times New Roman" w:hAnsi="Times New Roman" w:cs="Times New Roman"/>
          <w:sz w:val="24"/>
          <w:szCs w:val="24"/>
        </w:rPr>
      </w:pPr>
    </w:p>
    <w:tbl>
      <w:tblPr>
        <w:tblStyle w:val="TableGrid"/>
        <w:tblW w:w="7470" w:type="dxa"/>
        <w:jc w:val="center"/>
        <w:tblLook w:val="04A0" w:firstRow="1" w:lastRow="0" w:firstColumn="1" w:lastColumn="0" w:noHBand="0" w:noVBand="1"/>
      </w:tblPr>
      <w:tblGrid>
        <w:gridCol w:w="2610"/>
        <w:gridCol w:w="4134"/>
        <w:gridCol w:w="726"/>
      </w:tblGrid>
      <w:tr w:rsidR="00523162" w:rsidRPr="007716B1" w14:paraId="2451CBAF" w14:textId="77777777" w:rsidTr="00523162">
        <w:trPr>
          <w:jc w:val="center"/>
        </w:trPr>
        <w:tc>
          <w:tcPr>
            <w:tcW w:w="2610" w:type="dxa"/>
            <w:shd w:val="clear" w:color="auto" w:fill="C6D9F1" w:themeFill="text2" w:themeFillTint="33"/>
          </w:tcPr>
          <w:p w14:paraId="2451CBAC" w14:textId="77777777" w:rsidR="00523162" w:rsidRPr="00986EBF" w:rsidRDefault="00523162" w:rsidP="00523162">
            <w:pPr>
              <w:jc w:val="center"/>
              <w:rPr>
                <w:rFonts w:cs="Times New Roman"/>
                <w:b/>
                <w:sz w:val="20"/>
                <w:szCs w:val="24"/>
              </w:rPr>
            </w:pPr>
            <w:r w:rsidRPr="00986EBF">
              <w:rPr>
                <w:rFonts w:cs="Times New Roman"/>
                <w:b/>
                <w:sz w:val="20"/>
                <w:szCs w:val="24"/>
              </w:rPr>
              <w:t>Sector</w:t>
            </w:r>
          </w:p>
        </w:tc>
        <w:tc>
          <w:tcPr>
            <w:tcW w:w="4134" w:type="dxa"/>
            <w:shd w:val="clear" w:color="auto" w:fill="C6D9F1" w:themeFill="text2" w:themeFillTint="33"/>
          </w:tcPr>
          <w:p w14:paraId="2451CBAD" w14:textId="77777777" w:rsidR="00523162" w:rsidRPr="00986EBF" w:rsidRDefault="00523162" w:rsidP="00523162">
            <w:pPr>
              <w:jc w:val="center"/>
              <w:rPr>
                <w:rFonts w:cs="Times New Roman"/>
                <w:b/>
                <w:sz w:val="20"/>
                <w:szCs w:val="24"/>
              </w:rPr>
            </w:pPr>
            <w:r w:rsidRPr="00986EBF">
              <w:rPr>
                <w:rFonts w:cs="Times New Roman"/>
                <w:b/>
                <w:sz w:val="20"/>
                <w:szCs w:val="24"/>
              </w:rPr>
              <w:t>Type</w:t>
            </w:r>
          </w:p>
        </w:tc>
        <w:tc>
          <w:tcPr>
            <w:tcW w:w="726" w:type="dxa"/>
            <w:shd w:val="clear" w:color="auto" w:fill="C6D9F1" w:themeFill="text2" w:themeFillTint="33"/>
          </w:tcPr>
          <w:p w14:paraId="2451CBAE" w14:textId="77777777" w:rsidR="00523162" w:rsidRPr="00986EBF" w:rsidRDefault="00523162" w:rsidP="00523162">
            <w:pPr>
              <w:jc w:val="center"/>
              <w:rPr>
                <w:rFonts w:cs="Times New Roman"/>
                <w:b/>
                <w:sz w:val="20"/>
                <w:szCs w:val="24"/>
              </w:rPr>
            </w:pPr>
            <w:r w:rsidRPr="00986EBF">
              <w:rPr>
                <w:rFonts w:cs="Times New Roman"/>
                <w:b/>
                <w:sz w:val="20"/>
                <w:szCs w:val="24"/>
              </w:rPr>
              <w:t>No.</w:t>
            </w:r>
          </w:p>
        </w:tc>
      </w:tr>
      <w:tr w:rsidR="00523162" w:rsidRPr="007716B1" w14:paraId="2451CBB3" w14:textId="77777777" w:rsidTr="00523162">
        <w:trPr>
          <w:jc w:val="center"/>
        </w:trPr>
        <w:tc>
          <w:tcPr>
            <w:tcW w:w="2610" w:type="dxa"/>
            <w:vMerge w:val="restart"/>
          </w:tcPr>
          <w:p w14:paraId="2451CBB0" w14:textId="77777777" w:rsidR="00523162" w:rsidRPr="00986EBF" w:rsidRDefault="00523162" w:rsidP="00523162">
            <w:pPr>
              <w:jc w:val="both"/>
              <w:rPr>
                <w:rFonts w:cs="Times New Roman"/>
                <w:sz w:val="20"/>
                <w:szCs w:val="24"/>
              </w:rPr>
            </w:pPr>
            <w:r w:rsidRPr="00986EBF">
              <w:rPr>
                <w:rFonts w:cs="Times New Roman"/>
                <w:sz w:val="20"/>
                <w:szCs w:val="24"/>
              </w:rPr>
              <w:t>Residential</w:t>
            </w:r>
          </w:p>
        </w:tc>
        <w:tc>
          <w:tcPr>
            <w:tcW w:w="4134" w:type="dxa"/>
          </w:tcPr>
          <w:p w14:paraId="2451CBB1" w14:textId="77777777" w:rsidR="00523162" w:rsidRPr="00986EBF" w:rsidRDefault="00523162" w:rsidP="00523162">
            <w:pPr>
              <w:jc w:val="both"/>
              <w:rPr>
                <w:rFonts w:cs="Times New Roman"/>
                <w:sz w:val="20"/>
                <w:szCs w:val="24"/>
              </w:rPr>
            </w:pPr>
            <w:r w:rsidRPr="00986EBF">
              <w:rPr>
                <w:rFonts w:cs="Times New Roman"/>
                <w:sz w:val="20"/>
                <w:szCs w:val="24"/>
              </w:rPr>
              <w:t>Lighting Retailers</w:t>
            </w:r>
          </w:p>
        </w:tc>
        <w:tc>
          <w:tcPr>
            <w:tcW w:w="726" w:type="dxa"/>
          </w:tcPr>
          <w:p w14:paraId="2451CBB2" w14:textId="77777777" w:rsidR="00523162" w:rsidRPr="00986EBF" w:rsidRDefault="00523162" w:rsidP="00523162">
            <w:pPr>
              <w:jc w:val="center"/>
              <w:rPr>
                <w:rFonts w:cs="Times New Roman"/>
                <w:sz w:val="20"/>
                <w:szCs w:val="24"/>
              </w:rPr>
            </w:pPr>
            <w:r>
              <w:rPr>
                <w:rFonts w:cs="Times New Roman"/>
                <w:sz w:val="20"/>
                <w:szCs w:val="24"/>
              </w:rPr>
              <w:t>17</w:t>
            </w:r>
          </w:p>
        </w:tc>
      </w:tr>
      <w:tr w:rsidR="00523162" w:rsidRPr="007716B1" w14:paraId="2451CBB7" w14:textId="77777777" w:rsidTr="00523162">
        <w:trPr>
          <w:jc w:val="center"/>
        </w:trPr>
        <w:tc>
          <w:tcPr>
            <w:tcW w:w="2610" w:type="dxa"/>
            <w:vMerge/>
          </w:tcPr>
          <w:p w14:paraId="2451CBB4" w14:textId="77777777" w:rsidR="00523162" w:rsidRPr="00986EBF" w:rsidRDefault="00523162" w:rsidP="00523162">
            <w:pPr>
              <w:jc w:val="both"/>
              <w:rPr>
                <w:rFonts w:cs="Times New Roman"/>
                <w:sz w:val="20"/>
                <w:szCs w:val="24"/>
              </w:rPr>
            </w:pPr>
          </w:p>
        </w:tc>
        <w:tc>
          <w:tcPr>
            <w:tcW w:w="4134" w:type="dxa"/>
          </w:tcPr>
          <w:p w14:paraId="2451CBB5" w14:textId="77777777" w:rsidR="00523162" w:rsidRPr="00986EBF" w:rsidRDefault="00523162" w:rsidP="00523162">
            <w:pPr>
              <w:jc w:val="both"/>
              <w:rPr>
                <w:rFonts w:cs="Times New Roman"/>
                <w:sz w:val="20"/>
                <w:szCs w:val="24"/>
              </w:rPr>
            </w:pPr>
            <w:r w:rsidRPr="00986EBF">
              <w:rPr>
                <w:rFonts w:cs="Times New Roman"/>
                <w:sz w:val="20"/>
                <w:szCs w:val="24"/>
              </w:rPr>
              <w:t>Appliances Retailers</w:t>
            </w:r>
          </w:p>
        </w:tc>
        <w:tc>
          <w:tcPr>
            <w:tcW w:w="726" w:type="dxa"/>
          </w:tcPr>
          <w:p w14:paraId="2451CBB6" w14:textId="77777777" w:rsidR="00523162" w:rsidRPr="00986EBF" w:rsidRDefault="00523162" w:rsidP="00523162">
            <w:pPr>
              <w:jc w:val="center"/>
              <w:rPr>
                <w:rFonts w:cs="Times New Roman"/>
                <w:sz w:val="20"/>
                <w:szCs w:val="24"/>
              </w:rPr>
            </w:pPr>
            <w:r>
              <w:rPr>
                <w:rFonts w:cs="Times New Roman"/>
                <w:sz w:val="20"/>
                <w:szCs w:val="24"/>
              </w:rPr>
              <w:t>21</w:t>
            </w:r>
          </w:p>
        </w:tc>
      </w:tr>
      <w:tr w:rsidR="00523162" w:rsidRPr="007716B1" w14:paraId="2451CBBB" w14:textId="77777777" w:rsidTr="00523162">
        <w:trPr>
          <w:jc w:val="center"/>
        </w:trPr>
        <w:tc>
          <w:tcPr>
            <w:tcW w:w="2610" w:type="dxa"/>
            <w:vMerge/>
          </w:tcPr>
          <w:p w14:paraId="2451CBB8" w14:textId="77777777" w:rsidR="00523162" w:rsidRPr="00986EBF" w:rsidRDefault="00523162" w:rsidP="00523162">
            <w:pPr>
              <w:jc w:val="both"/>
              <w:rPr>
                <w:rFonts w:cs="Times New Roman"/>
                <w:sz w:val="20"/>
                <w:szCs w:val="24"/>
              </w:rPr>
            </w:pPr>
          </w:p>
        </w:tc>
        <w:tc>
          <w:tcPr>
            <w:tcW w:w="4134" w:type="dxa"/>
          </w:tcPr>
          <w:p w14:paraId="2451CBB9" w14:textId="77777777" w:rsidR="00523162" w:rsidRPr="00986EBF" w:rsidRDefault="00523162" w:rsidP="00523162">
            <w:pPr>
              <w:jc w:val="both"/>
              <w:rPr>
                <w:rFonts w:cs="Times New Roman"/>
                <w:sz w:val="20"/>
                <w:szCs w:val="24"/>
              </w:rPr>
            </w:pPr>
            <w:r w:rsidRPr="00986EBF">
              <w:rPr>
                <w:rFonts w:cs="Times New Roman"/>
                <w:sz w:val="20"/>
                <w:szCs w:val="24"/>
              </w:rPr>
              <w:t>HVAC Contractors</w:t>
            </w:r>
          </w:p>
        </w:tc>
        <w:tc>
          <w:tcPr>
            <w:tcW w:w="726" w:type="dxa"/>
          </w:tcPr>
          <w:p w14:paraId="2451CBBA" w14:textId="77777777" w:rsidR="00523162" w:rsidRPr="00986EBF" w:rsidRDefault="00523162" w:rsidP="00523162">
            <w:pPr>
              <w:jc w:val="center"/>
              <w:rPr>
                <w:rFonts w:cs="Times New Roman"/>
                <w:sz w:val="20"/>
                <w:szCs w:val="24"/>
              </w:rPr>
            </w:pPr>
            <w:r>
              <w:rPr>
                <w:rFonts w:cs="Times New Roman"/>
                <w:sz w:val="20"/>
                <w:szCs w:val="24"/>
              </w:rPr>
              <w:t>60</w:t>
            </w:r>
          </w:p>
        </w:tc>
      </w:tr>
      <w:tr w:rsidR="00523162" w:rsidRPr="007716B1" w14:paraId="2451CBBF" w14:textId="77777777" w:rsidTr="00523162">
        <w:trPr>
          <w:jc w:val="center"/>
        </w:trPr>
        <w:tc>
          <w:tcPr>
            <w:tcW w:w="2610" w:type="dxa"/>
            <w:vMerge/>
          </w:tcPr>
          <w:p w14:paraId="2451CBBC" w14:textId="77777777" w:rsidR="00523162" w:rsidRPr="00986EBF" w:rsidRDefault="00523162" w:rsidP="00523162">
            <w:pPr>
              <w:jc w:val="both"/>
              <w:rPr>
                <w:rFonts w:cs="Times New Roman"/>
                <w:sz w:val="20"/>
                <w:szCs w:val="24"/>
              </w:rPr>
            </w:pPr>
          </w:p>
        </w:tc>
        <w:tc>
          <w:tcPr>
            <w:tcW w:w="4134" w:type="dxa"/>
          </w:tcPr>
          <w:p w14:paraId="2451CBBD" w14:textId="77777777" w:rsidR="00523162" w:rsidRPr="00986EBF" w:rsidRDefault="00523162" w:rsidP="00523162">
            <w:pPr>
              <w:jc w:val="both"/>
              <w:rPr>
                <w:rFonts w:cs="Times New Roman"/>
                <w:sz w:val="20"/>
                <w:szCs w:val="24"/>
              </w:rPr>
            </w:pPr>
            <w:r>
              <w:rPr>
                <w:rFonts w:cs="Times New Roman"/>
                <w:sz w:val="20"/>
                <w:szCs w:val="24"/>
              </w:rPr>
              <w:t>Plumbing Retailers</w:t>
            </w:r>
          </w:p>
        </w:tc>
        <w:tc>
          <w:tcPr>
            <w:tcW w:w="726" w:type="dxa"/>
          </w:tcPr>
          <w:p w14:paraId="2451CBBE" w14:textId="77777777" w:rsidR="00523162" w:rsidRPr="00986EBF" w:rsidRDefault="00523162" w:rsidP="00523162">
            <w:pPr>
              <w:jc w:val="center"/>
              <w:rPr>
                <w:rFonts w:cs="Times New Roman"/>
                <w:sz w:val="20"/>
                <w:szCs w:val="24"/>
              </w:rPr>
            </w:pPr>
            <w:r>
              <w:rPr>
                <w:rFonts w:cs="Times New Roman"/>
                <w:sz w:val="20"/>
                <w:szCs w:val="24"/>
              </w:rPr>
              <w:t>47</w:t>
            </w:r>
          </w:p>
        </w:tc>
      </w:tr>
      <w:tr w:rsidR="00523162" w:rsidRPr="007716B1" w14:paraId="2451CBC3" w14:textId="77777777" w:rsidTr="00523162">
        <w:trPr>
          <w:jc w:val="center"/>
        </w:trPr>
        <w:tc>
          <w:tcPr>
            <w:tcW w:w="2610" w:type="dxa"/>
            <w:vMerge/>
          </w:tcPr>
          <w:p w14:paraId="2451CBC0" w14:textId="77777777" w:rsidR="00523162" w:rsidRPr="00986EBF" w:rsidRDefault="00523162" w:rsidP="00523162">
            <w:pPr>
              <w:jc w:val="both"/>
              <w:rPr>
                <w:rFonts w:cs="Times New Roman"/>
                <w:sz w:val="20"/>
                <w:szCs w:val="24"/>
              </w:rPr>
            </w:pPr>
          </w:p>
        </w:tc>
        <w:tc>
          <w:tcPr>
            <w:tcW w:w="4134" w:type="dxa"/>
          </w:tcPr>
          <w:p w14:paraId="2451CBC1" w14:textId="77777777" w:rsidR="00523162" w:rsidRPr="00986EBF" w:rsidRDefault="00523162" w:rsidP="00523162">
            <w:pPr>
              <w:jc w:val="both"/>
              <w:rPr>
                <w:rFonts w:cs="Times New Roman"/>
                <w:sz w:val="20"/>
                <w:szCs w:val="24"/>
              </w:rPr>
            </w:pPr>
            <w:r w:rsidRPr="00986EBF">
              <w:rPr>
                <w:rFonts w:cs="Times New Roman"/>
                <w:sz w:val="20"/>
                <w:szCs w:val="24"/>
              </w:rPr>
              <w:t>Weatherization Contractors</w:t>
            </w:r>
          </w:p>
        </w:tc>
        <w:tc>
          <w:tcPr>
            <w:tcW w:w="726" w:type="dxa"/>
          </w:tcPr>
          <w:p w14:paraId="2451CBC2" w14:textId="77777777" w:rsidR="00523162" w:rsidRPr="00986EBF" w:rsidRDefault="00523162" w:rsidP="00523162">
            <w:pPr>
              <w:jc w:val="center"/>
              <w:rPr>
                <w:rFonts w:cs="Times New Roman"/>
                <w:sz w:val="20"/>
                <w:szCs w:val="24"/>
              </w:rPr>
            </w:pPr>
            <w:r>
              <w:rPr>
                <w:rFonts w:cs="Times New Roman"/>
                <w:sz w:val="20"/>
                <w:szCs w:val="24"/>
              </w:rPr>
              <w:t>29</w:t>
            </w:r>
          </w:p>
        </w:tc>
      </w:tr>
      <w:tr w:rsidR="00523162" w:rsidRPr="007716B1" w14:paraId="2451CBC7" w14:textId="77777777" w:rsidTr="00523162">
        <w:trPr>
          <w:jc w:val="center"/>
        </w:trPr>
        <w:tc>
          <w:tcPr>
            <w:tcW w:w="2610" w:type="dxa"/>
            <w:vMerge/>
          </w:tcPr>
          <w:p w14:paraId="2451CBC4" w14:textId="77777777" w:rsidR="00523162" w:rsidRPr="00986EBF" w:rsidRDefault="00523162" w:rsidP="00523162">
            <w:pPr>
              <w:jc w:val="both"/>
              <w:rPr>
                <w:rFonts w:cs="Times New Roman"/>
                <w:sz w:val="20"/>
                <w:szCs w:val="24"/>
              </w:rPr>
            </w:pPr>
          </w:p>
        </w:tc>
        <w:tc>
          <w:tcPr>
            <w:tcW w:w="4134" w:type="dxa"/>
          </w:tcPr>
          <w:p w14:paraId="2451CBC5" w14:textId="77777777" w:rsidR="00523162" w:rsidRPr="00986EBF" w:rsidRDefault="00523162" w:rsidP="00523162">
            <w:pPr>
              <w:jc w:val="both"/>
              <w:rPr>
                <w:rFonts w:cs="Times New Roman"/>
                <w:sz w:val="20"/>
                <w:szCs w:val="24"/>
              </w:rPr>
            </w:pPr>
            <w:r w:rsidRPr="00986EBF">
              <w:rPr>
                <w:rFonts w:cs="Times New Roman"/>
                <w:sz w:val="20"/>
                <w:szCs w:val="24"/>
              </w:rPr>
              <w:t>Low Income Agencies</w:t>
            </w:r>
          </w:p>
        </w:tc>
        <w:tc>
          <w:tcPr>
            <w:tcW w:w="726" w:type="dxa"/>
          </w:tcPr>
          <w:p w14:paraId="2451CBC6" w14:textId="77777777" w:rsidR="00523162" w:rsidRPr="00986EBF" w:rsidRDefault="00523162" w:rsidP="00523162">
            <w:pPr>
              <w:jc w:val="center"/>
              <w:rPr>
                <w:rFonts w:cs="Times New Roman"/>
                <w:sz w:val="20"/>
                <w:szCs w:val="24"/>
                <w:highlight w:val="yellow"/>
              </w:rPr>
            </w:pPr>
            <w:r w:rsidRPr="00A92F84">
              <w:rPr>
                <w:rFonts w:cs="Times New Roman"/>
                <w:sz w:val="20"/>
                <w:szCs w:val="24"/>
              </w:rPr>
              <w:t>3</w:t>
            </w:r>
          </w:p>
        </w:tc>
      </w:tr>
      <w:tr w:rsidR="00523162" w:rsidRPr="007716B1" w14:paraId="2451CBCB" w14:textId="77777777" w:rsidTr="00523162">
        <w:trPr>
          <w:jc w:val="center"/>
        </w:trPr>
        <w:tc>
          <w:tcPr>
            <w:tcW w:w="2610" w:type="dxa"/>
            <w:vMerge w:val="restart"/>
          </w:tcPr>
          <w:p w14:paraId="2451CBC8" w14:textId="77777777" w:rsidR="00523162" w:rsidRPr="00986EBF" w:rsidRDefault="00523162" w:rsidP="00523162">
            <w:pPr>
              <w:jc w:val="both"/>
              <w:rPr>
                <w:rFonts w:cs="Times New Roman"/>
                <w:sz w:val="20"/>
                <w:szCs w:val="24"/>
              </w:rPr>
            </w:pPr>
            <w:r w:rsidRPr="00986EBF">
              <w:rPr>
                <w:rFonts w:cs="Times New Roman"/>
                <w:sz w:val="20"/>
                <w:szCs w:val="24"/>
              </w:rPr>
              <w:t>Commercial and Industrial</w:t>
            </w:r>
          </w:p>
        </w:tc>
        <w:tc>
          <w:tcPr>
            <w:tcW w:w="4134" w:type="dxa"/>
          </w:tcPr>
          <w:p w14:paraId="2451CBC9" w14:textId="77777777" w:rsidR="00523162" w:rsidRPr="00986EBF" w:rsidRDefault="00523162" w:rsidP="00523162">
            <w:pPr>
              <w:jc w:val="both"/>
              <w:rPr>
                <w:rFonts w:cs="Times New Roman"/>
                <w:sz w:val="20"/>
                <w:szCs w:val="24"/>
              </w:rPr>
            </w:pPr>
            <w:r w:rsidRPr="00986EBF">
              <w:rPr>
                <w:rFonts w:cs="Times New Roman"/>
                <w:sz w:val="20"/>
                <w:szCs w:val="24"/>
              </w:rPr>
              <w:t>Lighting Trade Allies</w:t>
            </w:r>
          </w:p>
        </w:tc>
        <w:tc>
          <w:tcPr>
            <w:tcW w:w="726" w:type="dxa"/>
          </w:tcPr>
          <w:p w14:paraId="2451CBCA" w14:textId="77777777" w:rsidR="00523162" w:rsidRPr="00986EBF" w:rsidRDefault="00523162" w:rsidP="00523162">
            <w:pPr>
              <w:jc w:val="center"/>
              <w:rPr>
                <w:rFonts w:cs="Times New Roman"/>
                <w:sz w:val="20"/>
                <w:szCs w:val="24"/>
              </w:rPr>
            </w:pPr>
            <w:r>
              <w:rPr>
                <w:rFonts w:cs="Times New Roman"/>
                <w:sz w:val="20"/>
                <w:szCs w:val="24"/>
              </w:rPr>
              <w:t>67</w:t>
            </w:r>
          </w:p>
        </w:tc>
      </w:tr>
      <w:tr w:rsidR="00523162" w:rsidRPr="007716B1" w14:paraId="2451CBCF" w14:textId="77777777" w:rsidTr="00523162">
        <w:trPr>
          <w:jc w:val="center"/>
        </w:trPr>
        <w:tc>
          <w:tcPr>
            <w:tcW w:w="2610" w:type="dxa"/>
            <w:vMerge/>
          </w:tcPr>
          <w:p w14:paraId="2451CBCC" w14:textId="77777777" w:rsidR="00523162" w:rsidRPr="00986EBF" w:rsidRDefault="00523162" w:rsidP="00523162">
            <w:pPr>
              <w:jc w:val="both"/>
              <w:rPr>
                <w:rFonts w:cs="Times New Roman"/>
                <w:sz w:val="20"/>
                <w:szCs w:val="24"/>
              </w:rPr>
            </w:pPr>
          </w:p>
        </w:tc>
        <w:tc>
          <w:tcPr>
            <w:tcW w:w="4134" w:type="dxa"/>
          </w:tcPr>
          <w:p w14:paraId="2451CBCD" w14:textId="77777777" w:rsidR="00523162" w:rsidRPr="00986EBF" w:rsidRDefault="00523162" w:rsidP="00523162">
            <w:pPr>
              <w:jc w:val="both"/>
              <w:rPr>
                <w:rFonts w:cs="Times New Roman"/>
                <w:sz w:val="20"/>
                <w:szCs w:val="24"/>
              </w:rPr>
            </w:pPr>
            <w:r w:rsidRPr="00986EBF">
              <w:rPr>
                <w:rFonts w:cs="Times New Roman"/>
                <w:sz w:val="20"/>
                <w:szCs w:val="24"/>
              </w:rPr>
              <w:t>HVAC Trade Allies</w:t>
            </w:r>
          </w:p>
        </w:tc>
        <w:tc>
          <w:tcPr>
            <w:tcW w:w="726" w:type="dxa"/>
          </w:tcPr>
          <w:p w14:paraId="2451CBCE" w14:textId="77777777" w:rsidR="00523162" w:rsidRPr="00986EBF" w:rsidRDefault="00523162" w:rsidP="00523162">
            <w:pPr>
              <w:jc w:val="center"/>
              <w:rPr>
                <w:rFonts w:cs="Times New Roman"/>
                <w:sz w:val="20"/>
                <w:szCs w:val="24"/>
              </w:rPr>
            </w:pPr>
            <w:r>
              <w:rPr>
                <w:rFonts w:cs="Times New Roman"/>
                <w:sz w:val="20"/>
                <w:szCs w:val="24"/>
              </w:rPr>
              <w:t>31</w:t>
            </w:r>
          </w:p>
        </w:tc>
      </w:tr>
      <w:tr w:rsidR="00523162" w:rsidRPr="007716B1" w14:paraId="2451CBD3" w14:textId="77777777" w:rsidTr="00523162">
        <w:trPr>
          <w:jc w:val="center"/>
        </w:trPr>
        <w:tc>
          <w:tcPr>
            <w:tcW w:w="2610" w:type="dxa"/>
            <w:vMerge/>
          </w:tcPr>
          <w:p w14:paraId="2451CBD0" w14:textId="77777777" w:rsidR="00523162" w:rsidRPr="00986EBF" w:rsidRDefault="00523162" w:rsidP="00523162">
            <w:pPr>
              <w:jc w:val="both"/>
              <w:rPr>
                <w:rFonts w:cs="Times New Roman"/>
                <w:sz w:val="20"/>
                <w:szCs w:val="24"/>
              </w:rPr>
            </w:pPr>
          </w:p>
        </w:tc>
        <w:tc>
          <w:tcPr>
            <w:tcW w:w="4134" w:type="dxa"/>
          </w:tcPr>
          <w:p w14:paraId="2451CBD1" w14:textId="77777777" w:rsidR="00523162" w:rsidRPr="00986EBF" w:rsidRDefault="00523162" w:rsidP="00523162">
            <w:pPr>
              <w:jc w:val="both"/>
              <w:rPr>
                <w:rFonts w:cs="Times New Roman"/>
                <w:sz w:val="20"/>
                <w:szCs w:val="24"/>
              </w:rPr>
            </w:pPr>
            <w:r w:rsidRPr="00986EBF">
              <w:rPr>
                <w:rFonts w:cs="Times New Roman"/>
                <w:sz w:val="20"/>
                <w:szCs w:val="24"/>
              </w:rPr>
              <w:t>Motors</w:t>
            </w:r>
            <w:r>
              <w:rPr>
                <w:rFonts w:cs="Times New Roman"/>
                <w:sz w:val="20"/>
                <w:szCs w:val="24"/>
              </w:rPr>
              <w:t xml:space="preserve"> and VFD</w:t>
            </w:r>
            <w:r w:rsidRPr="00986EBF">
              <w:rPr>
                <w:rFonts w:cs="Times New Roman"/>
                <w:sz w:val="20"/>
                <w:szCs w:val="24"/>
              </w:rPr>
              <w:t xml:space="preserve"> Trade Allies</w:t>
            </w:r>
          </w:p>
        </w:tc>
        <w:tc>
          <w:tcPr>
            <w:tcW w:w="726" w:type="dxa"/>
          </w:tcPr>
          <w:p w14:paraId="2451CBD2" w14:textId="77777777" w:rsidR="00523162" w:rsidRPr="00986EBF" w:rsidRDefault="00523162" w:rsidP="00523162">
            <w:pPr>
              <w:jc w:val="center"/>
              <w:rPr>
                <w:rFonts w:cs="Times New Roman"/>
                <w:sz w:val="20"/>
                <w:szCs w:val="24"/>
              </w:rPr>
            </w:pPr>
            <w:r>
              <w:rPr>
                <w:rFonts w:cs="Times New Roman"/>
                <w:sz w:val="20"/>
                <w:szCs w:val="24"/>
              </w:rPr>
              <w:t>49</w:t>
            </w:r>
          </w:p>
        </w:tc>
      </w:tr>
      <w:tr w:rsidR="00523162" w:rsidRPr="007716B1" w14:paraId="2451CBD7" w14:textId="77777777" w:rsidTr="00523162">
        <w:trPr>
          <w:jc w:val="center"/>
        </w:trPr>
        <w:tc>
          <w:tcPr>
            <w:tcW w:w="2610" w:type="dxa"/>
            <w:vMerge/>
          </w:tcPr>
          <w:p w14:paraId="2451CBD4" w14:textId="77777777" w:rsidR="00523162" w:rsidRPr="00986EBF" w:rsidRDefault="00523162" w:rsidP="00523162">
            <w:pPr>
              <w:jc w:val="both"/>
              <w:rPr>
                <w:rFonts w:cs="Times New Roman"/>
                <w:sz w:val="20"/>
                <w:szCs w:val="24"/>
              </w:rPr>
            </w:pPr>
          </w:p>
        </w:tc>
        <w:tc>
          <w:tcPr>
            <w:tcW w:w="4134" w:type="dxa"/>
          </w:tcPr>
          <w:p w14:paraId="2451CBD5" w14:textId="77777777" w:rsidR="00523162" w:rsidRPr="00986EBF" w:rsidRDefault="00523162" w:rsidP="00523162">
            <w:pPr>
              <w:jc w:val="both"/>
              <w:rPr>
                <w:rFonts w:cs="Times New Roman"/>
                <w:sz w:val="20"/>
                <w:szCs w:val="24"/>
              </w:rPr>
            </w:pPr>
            <w:r>
              <w:rPr>
                <w:rFonts w:cs="Times New Roman"/>
                <w:sz w:val="20"/>
                <w:szCs w:val="24"/>
              </w:rPr>
              <w:t>Small Business Approved Contractor</w:t>
            </w:r>
          </w:p>
        </w:tc>
        <w:tc>
          <w:tcPr>
            <w:tcW w:w="726" w:type="dxa"/>
          </w:tcPr>
          <w:p w14:paraId="2451CBD6" w14:textId="77777777" w:rsidR="00523162" w:rsidRPr="00986EBF" w:rsidRDefault="00523162" w:rsidP="00523162">
            <w:pPr>
              <w:jc w:val="center"/>
              <w:rPr>
                <w:rFonts w:cs="Times New Roman"/>
                <w:sz w:val="20"/>
                <w:szCs w:val="24"/>
              </w:rPr>
            </w:pPr>
            <w:r>
              <w:rPr>
                <w:rFonts w:cs="Times New Roman"/>
                <w:sz w:val="20"/>
                <w:szCs w:val="24"/>
              </w:rPr>
              <w:t>7</w:t>
            </w:r>
          </w:p>
        </w:tc>
      </w:tr>
      <w:tr w:rsidR="00523162" w:rsidRPr="007716B1" w14:paraId="2451CBDB" w14:textId="77777777" w:rsidTr="00523162">
        <w:trPr>
          <w:trHeight w:val="206"/>
          <w:jc w:val="center"/>
        </w:trPr>
        <w:tc>
          <w:tcPr>
            <w:tcW w:w="2610" w:type="dxa"/>
            <w:vMerge/>
          </w:tcPr>
          <w:p w14:paraId="2451CBD8" w14:textId="77777777" w:rsidR="00523162" w:rsidRPr="00986EBF" w:rsidRDefault="00523162" w:rsidP="00523162">
            <w:pPr>
              <w:jc w:val="both"/>
              <w:rPr>
                <w:rFonts w:cs="Times New Roman"/>
                <w:sz w:val="20"/>
                <w:szCs w:val="24"/>
              </w:rPr>
            </w:pPr>
          </w:p>
        </w:tc>
        <w:tc>
          <w:tcPr>
            <w:tcW w:w="4134" w:type="dxa"/>
          </w:tcPr>
          <w:p w14:paraId="2451CBD9" w14:textId="77777777" w:rsidR="00523162" w:rsidRDefault="00523162" w:rsidP="00523162">
            <w:pPr>
              <w:jc w:val="both"/>
              <w:rPr>
                <w:rFonts w:cs="Times New Roman"/>
                <w:sz w:val="20"/>
                <w:szCs w:val="24"/>
              </w:rPr>
            </w:pPr>
            <w:r>
              <w:rPr>
                <w:rFonts w:cs="Times New Roman"/>
                <w:sz w:val="20"/>
                <w:szCs w:val="24"/>
              </w:rPr>
              <w:t>LEDE Instant Incentive Approved Distributor</w:t>
            </w:r>
          </w:p>
        </w:tc>
        <w:tc>
          <w:tcPr>
            <w:tcW w:w="726" w:type="dxa"/>
          </w:tcPr>
          <w:p w14:paraId="2451CBDA" w14:textId="77777777" w:rsidR="00523162" w:rsidRDefault="00523162" w:rsidP="00523162">
            <w:pPr>
              <w:jc w:val="center"/>
              <w:rPr>
                <w:rFonts w:cs="Times New Roman"/>
                <w:sz w:val="20"/>
                <w:szCs w:val="24"/>
              </w:rPr>
            </w:pPr>
            <w:r>
              <w:rPr>
                <w:rFonts w:cs="Times New Roman"/>
                <w:sz w:val="20"/>
                <w:szCs w:val="24"/>
              </w:rPr>
              <w:t>7</w:t>
            </w:r>
          </w:p>
        </w:tc>
      </w:tr>
      <w:tr w:rsidR="00523162" w:rsidRPr="007716B1" w14:paraId="2451CBDF" w14:textId="77777777" w:rsidTr="00523162">
        <w:trPr>
          <w:jc w:val="center"/>
        </w:trPr>
        <w:tc>
          <w:tcPr>
            <w:tcW w:w="2610" w:type="dxa"/>
            <w:vMerge/>
          </w:tcPr>
          <w:p w14:paraId="2451CBDC" w14:textId="77777777" w:rsidR="00523162" w:rsidRPr="00986EBF" w:rsidRDefault="00523162" w:rsidP="00523162">
            <w:pPr>
              <w:jc w:val="both"/>
              <w:rPr>
                <w:rFonts w:cs="Times New Roman"/>
                <w:sz w:val="20"/>
                <w:szCs w:val="24"/>
              </w:rPr>
            </w:pPr>
          </w:p>
        </w:tc>
        <w:tc>
          <w:tcPr>
            <w:tcW w:w="4134" w:type="dxa"/>
          </w:tcPr>
          <w:p w14:paraId="2451CBDD" w14:textId="77777777" w:rsidR="00523162" w:rsidRPr="00986EBF" w:rsidRDefault="00523162" w:rsidP="00523162">
            <w:pPr>
              <w:jc w:val="both"/>
              <w:rPr>
                <w:rFonts w:cs="Times New Roman"/>
                <w:sz w:val="20"/>
                <w:szCs w:val="24"/>
              </w:rPr>
            </w:pPr>
            <w:r w:rsidRPr="00986EBF">
              <w:rPr>
                <w:rFonts w:cs="Times New Roman"/>
                <w:sz w:val="20"/>
                <w:szCs w:val="24"/>
              </w:rPr>
              <w:t>Engineering Firms</w:t>
            </w:r>
          </w:p>
        </w:tc>
        <w:tc>
          <w:tcPr>
            <w:tcW w:w="726" w:type="dxa"/>
          </w:tcPr>
          <w:p w14:paraId="2451CBDE" w14:textId="77777777" w:rsidR="00523162" w:rsidRPr="00986EBF" w:rsidRDefault="00523162" w:rsidP="00523162">
            <w:pPr>
              <w:jc w:val="center"/>
              <w:rPr>
                <w:rFonts w:cs="Times New Roman"/>
                <w:sz w:val="20"/>
                <w:szCs w:val="24"/>
              </w:rPr>
            </w:pPr>
            <w:r>
              <w:rPr>
                <w:rFonts w:cs="Times New Roman"/>
                <w:sz w:val="20"/>
                <w:szCs w:val="24"/>
              </w:rPr>
              <w:t>21</w:t>
            </w:r>
          </w:p>
        </w:tc>
      </w:tr>
    </w:tbl>
    <w:p w14:paraId="2451CBE0" w14:textId="77777777" w:rsidR="00523162" w:rsidRDefault="00523162" w:rsidP="0073700C">
      <w:pPr>
        <w:jc w:val="both"/>
        <w:rPr>
          <w:rFonts w:ascii="Times New Roman" w:hAnsi="Times New Roman" w:cs="Times New Roman"/>
          <w:sz w:val="24"/>
          <w:szCs w:val="24"/>
        </w:rPr>
      </w:pPr>
    </w:p>
    <w:p w14:paraId="2451CBE1" w14:textId="77777777" w:rsidR="00523162" w:rsidRDefault="00523162" w:rsidP="0073700C">
      <w:pPr>
        <w:jc w:val="both"/>
        <w:rPr>
          <w:rFonts w:ascii="Times New Roman" w:hAnsi="Times New Roman" w:cs="Times New Roman"/>
          <w:sz w:val="24"/>
          <w:szCs w:val="24"/>
        </w:rPr>
        <w:sectPr w:rsidR="00523162" w:rsidSect="008F3BD4">
          <w:headerReference w:type="first" r:id="rId28"/>
          <w:pgSz w:w="12240" w:h="15840"/>
          <w:pgMar w:top="1440" w:right="1440" w:bottom="1440" w:left="1440" w:header="720" w:footer="720" w:gutter="0"/>
          <w:cols w:space="720"/>
          <w:titlePg/>
          <w:docGrid w:linePitch="360"/>
        </w:sectPr>
      </w:pPr>
    </w:p>
    <w:p w14:paraId="2451CBE2" w14:textId="77777777" w:rsidR="00D713F9" w:rsidRPr="007716B1" w:rsidRDefault="00D713F9" w:rsidP="002C2146">
      <w:pPr>
        <w:pStyle w:val="Heading1"/>
      </w:pPr>
      <w:bookmarkStart w:id="3" w:name="_Toc449510469"/>
      <w:r w:rsidRPr="00645738">
        <w:lastRenderedPageBreak/>
        <w:t>Regulatory Activities</w:t>
      </w:r>
      <w:bookmarkEnd w:id="3"/>
    </w:p>
    <w:p w14:paraId="2451CBE3" w14:textId="77777777" w:rsidR="003E20F0" w:rsidRDefault="003E20F0" w:rsidP="00CB1F11">
      <w:pPr>
        <w:rPr>
          <w:rFonts w:ascii="Times New Roman" w:hAnsi="Times New Roman" w:cs="Times New Roman"/>
          <w:sz w:val="24"/>
          <w:szCs w:val="24"/>
        </w:rPr>
      </w:pPr>
    </w:p>
    <w:p w14:paraId="2451CBE4" w14:textId="77777777" w:rsidR="008838B5" w:rsidRDefault="008838B5" w:rsidP="008838B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During the 2015 reporting period</w:t>
      </w:r>
      <w:r w:rsidR="00BA32FD">
        <w:rPr>
          <w:rFonts w:ascii="Times New Roman" w:hAnsi="Times New Roman" w:cs="Times New Roman"/>
          <w:sz w:val="24"/>
          <w:szCs w:val="24"/>
        </w:rPr>
        <w:t>,</w:t>
      </w:r>
      <w:r>
        <w:rPr>
          <w:rFonts w:ascii="Times New Roman" w:hAnsi="Times New Roman" w:cs="Times New Roman"/>
          <w:sz w:val="24"/>
          <w:szCs w:val="24"/>
        </w:rPr>
        <w:t xml:space="preserve"> the Company filed a number of compliance and/or informational reports, updates and requests with the Commission in support of Compan</w:t>
      </w:r>
      <w:r w:rsidR="00F61D9E">
        <w:rPr>
          <w:rFonts w:ascii="Times New Roman" w:hAnsi="Times New Roman" w:cs="Times New Roman"/>
          <w:sz w:val="24"/>
          <w:szCs w:val="24"/>
        </w:rPr>
        <w:t>y DSM</w:t>
      </w:r>
      <w:r>
        <w:rPr>
          <w:rFonts w:ascii="Times New Roman" w:hAnsi="Times New Roman" w:cs="Times New Roman"/>
          <w:sz w:val="24"/>
          <w:szCs w:val="24"/>
        </w:rPr>
        <w:t xml:space="preserve"> programs. The following is a list of those filings: </w:t>
      </w:r>
    </w:p>
    <w:p w14:paraId="2451CBE5" w14:textId="77777777" w:rsidR="00DD4B5D" w:rsidRPr="00F61D9E" w:rsidRDefault="00DD4B5D" w:rsidP="00A80DA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March 31, 2015 –</w:t>
      </w:r>
      <w:r w:rsidR="00BF38BC">
        <w:rPr>
          <w:rFonts w:ascii="Times New Roman" w:hAnsi="Times New Roman" w:cs="Times New Roman"/>
          <w:sz w:val="24"/>
          <w:szCs w:val="24"/>
        </w:rPr>
        <w:t xml:space="preserve">Washington </w:t>
      </w:r>
      <w:r>
        <w:rPr>
          <w:rFonts w:ascii="Times New Roman" w:hAnsi="Times New Roman" w:cs="Times New Roman"/>
          <w:sz w:val="24"/>
          <w:szCs w:val="24"/>
        </w:rPr>
        <w:t>Annual Report on Conservation Acquisition</w:t>
      </w:r>
      <w:r w:rsidR="00BF38BC">
        <w:rPr>
          <w:rFonts w:ascii="Times New Roman" w:hAnsi="Times New Roman" w:cs="Times New Roman"/>
          <w:sz w:val="24"/>
          <w:szCs w:val="24"/>
        </w:rPr>
        <w:t xml:space="preserve"> for 2014</w:t>
      </w:r>
      <w:r>
        <w:rPr>
          <w:rFonts w:ascii="Times New Roman" w:hAnsi="Times New Roman" w:cs="Times New Roman"/>
          <w:sz w:val="24"/>
          <w:szCs w:val="24"/>
        </w:rPr>
        <w:t>, related to docket UE-132047</w:t>
      </w:r>
      <w:r w:rsidR="00D22EC6">
        <w:rPr>
          <w:rFonts w:ascii="Times New Roman" w:hAnsi="Times New Roman" w:cs="Times New Roman"/>
          <w:sz w:val="24"/>
          <w:szCs w:val="24"/>
        </w:rPr>
        <w:t>.</w:t>
      </w:r>
      <w:r w:rsidR="00A80DA4">
        <w:rPr>
          <w:rFonts w:ascii="Times New Roman" w:hAnsi="Times New Roman" w:cs="Times New Roman"/>
          <w:sz w:val="24"/>
          <w:szCs w:val="24"/>
        </w:rPr>
        <w:t xml:space="preserve"> </w:t>
      </w:r>
      <w:r w:rsidR="00F61D9E" w:rsidRPr="00F61D9E">
        <w:rPr>
          <w:rFonts w:ascii="Times New Roman" w:hAnsi="Times New Roman" w:cs="Times New Roman"/>
          <w:sz w:val="24"/>
          <w:szCs w:val="24"/>
        </w:rPr>
        <w:t>The report</w:t>
      </w:r>
      <w:r w:rsidR="00A80DA4" w:rsidRPr="00F61D9E">
        <w:rPr>
          <w:rFonts w:ascii="Times New Roman" w:hAnsi="Times New Roman" w:cs="Times New Roman"/>
          <w:sz w:val="24"/>
          <w:szCs w:val="24"/>
        </w:rPr>
        <w:t xml:space="preserve"> provide</w:t>
      </w:r>
      <w:r w:rsidR="00F61D9E" w:rsidRPr="00F61D9E">
        <w:rPr>
          <w:rFonts w:ascii="Times New Roman" w:hAnsi="Times New Roman" w:cs="Times New Roman"/>
          <w:sz w:val="24"/>
          <w:szCs w:val="24"/>
        </w:rPr>
        <w:t>d</w:t>
      </w:r>
      <w:r w:rsidR="00A80DA4" w:rsidRPr="00F61D9E">
        <w:rPr>
          <w:rFonts w:ascii="Times New Roman" w:hAnsi="Times New Roman" w:cs="Times New Roman"/>
          <w:sz w:val="24"/>
          <w:szCs w:val="24"/>
        </w:rPr>
        <w:t xml:space="preserve"> details on conservation program results, activities, expenditures, and systems benefits charge revenue amounts for calendar year 2014.  </w:t>
      </w:r>
    </w:p>
    <w:p w14:paraId="2451CBE6" w14:textId="77777777" w:rsidR="000F3D30" w:rsidRDefault="00DF13A8" w:rsidP="00A80DA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June 1</w:t>
      </w:r>
      <w:r w:rsidR="00DD4B5D">
        <w:rPr>
          <w:rFonts w:ascii="Times New Roman" w:hAnsi="Times New Roman" w:cs="Times New Roman"/>
          <w:sz w:val="24"/>
          <w:szCs w:val="24"/>
        </w:rPr>
        <w:t>, 2015 – Washington Annual Report on Conservation Acquisition</w:t>
      </w:r>
      <w:r w:rsidR="00BF38BC">
        <w:rPr>
          <w:rFonts w:ascii="Times New Roman" w:hAnsi="Times New Roman" w:cs="Times New Roman"/>
          <w:sz w:val="24"/>
          <w:szCs w:val="24"/>
        </w:rPr>
        <w:t xml:space="preserve"> for 2014</w:t>
      </w:r>
      <w:r w:rsidR="00DD4B5D">
        <w:rPr>
          <w:rFonts w:ascii="Times New Roman" w:hAnsi="Times New Roman" w:cs="Times New Roman"/>
          <w:sz w:val="24"/>
          <w:szCs w:val="24"/>
        </w:rPr>
        <w:t xml:space="preserve"> (corrected version)</w:t>
      </w:r>
      <w:r w:rsidR="00D22EC6">
        <w:rPr>
          <w:rFonts w:ascii="Times New Roman" w:hAnsi="Times New Roman" w:cs="Times New Roman"/>
          <w:sz w:val="24"/>
          <w:szCs w:val="24"/>
        </w:rPr>
        <w:t>.</w:t>
      </w:r>
      <w:r w:rsidR="00A80DA4">
        <w:rPr>
          <w:rFonts w:ascii="Times New Roman" w:hAnsi="Times New Roman" w:cs="Times New Roman"/>
          <w:sz w:val="24"/>
          <w:szCs w:val="24"/>
        </w:rPr>
        <w:t xml:space="preserve"> </w:t>
      </w:r>
      <w:r>
        <w:rPr>
          <w:rFonts w:ascii="Times New Roman" w:hAnsi="Times New Roman" w:cs="Times New Roman"/>
          <w:sz w:val="24"/>
          <w:szCs w:val="24"/>
        </w:rPr>
        <w:t xml:space="preserve">A </w:t>
      </w:r>
      <w:r w:rsidR="00A80DA4" w:rsidRPr="00DF13A8">
        <w:rPr>
          <w:rFonts w:ascii="Times New Roman" w:hAnsi="Times New Roman" w:cs="Times New Roman"/>
          <w:sz w:val="24"/>
          <w:szCs w:val="24"/>
        </w:rPr>
        <w:t>revised annual report</w:t>
      </w:r>
      <w:r w:rsidRPr="00DF13A8">
        <w:rPr>
          <w:rFonts w:ascii="Times New Roman" w:hAnsi="Times New Roman" w:cs="Times New Roman"/>
          <w:sz w:val="24"/>
          <w:szCs w:val="24"/>
        </w:rPr>
        <w:t xml:space="preserve"> was filed</w:t>
      </w:r>
      <w:r w:rsidR="00A80DA4" w:rsidRPr="00DF13A8">
        <w:rPr>
          <w:rFonts w:ascii="Times New Roman" w:hAnsi="Times New Roman" w:cs="Times New Roman"/>
          <w:sz w:val="24"/>
          <w:szCs w:val="24"/>
        </w:rPr>
        <w:t xml:space="preserve"> to include a copy of the conservation report filed with the Washington Department of Commerce and correct the allocation of project savings for the</w:t>
      </w:r>
      <w:r w:rsidR="00A80DA4" w:rsidRPr="00DF13A8">
        <w:rPr>
          <w:rFonts w:ascii="Times New Roman" w:hAnsi="Times New Roman" w:cs="Times New Roman"/>
          <w:i/>
          <w:sz w:val="24"/>
          <w:szCs w:val="24"/>
        </w:rPr>
        <w:t xml:space="preserve"> watt</w:t>
      </w:r>
      <w:r w:rsidR="00A80DA4" w:rsidRPr="00DF13A8">
        <w:rPr>
          <w:rFonts w:ascii="Times New Roman" w:hAnsi="Times New Roman" w:cs="Times New Roman"/>
          <w:sz w:val="24"/>
          <w:szCs w:val="24"/>
        </w:rPr>
        <w:t>smart business sector.</w:t>
      </w:r>
    </w:p>
    <w:p w14:paraId="2451CBE7" w14:textId="77777777" w:rsidR="00DD4B5D" w:rsidRPr="000F3D30" w:rsidRDefault="00DD4B5D" w:rsidP="000F3D30">
      <w:pPr>
        <w:pStyle w:val="ListParagraph"/>
        <w:numPr>
          <w:ilvl w:val="0"/>
          <w:numId w:val="34"/>
        </w:numPr>
        <w:rPr>
          <w:rFonts w:ascii="Times New Roman" w:hAnsi="Times New Roman" w:cs="Times New Roman"/>
          <w:sz w:val="24"/>
          <w:szCs w:val="24"/>
        </w:rPr>
      </w:pPr>
      <w:r w:rsidRPr="000F3D30">
        <w:rPr>
          <w:rFonts w:ascii="Times New Roman" w:hAnsi="Times New Roman" w:cs="Times New Roman"/>
          <w:sz w:val="24"/>
          <w:szCs w:val="24"/>
        </w:rPr>
        <w:t>June 1, 2015 – Schedule 191-System Benefits Charge adjustment, Advice 15-01, docket UE-151157</w:t>
      </w:r>
      <w:r w:rsidR="00D22EC6" w:rsidRPr="000F3D30">
        <w:rPr>
          <w:rFonts w:ascii="Times New Roman" w:hAnsi="Times New Roman" w:cs="Times New Roman"/>
          <w:sz w:val="24"/>
          <w:szCs w:val="24"/>
        </w:rPr>
        <w:t>.</w:t>
      </w:r>
      <w:r w:rsidR="00126C2B" w:rsidRPr="00DF13A8">
        <w:rPr>
          <w:rFonts w:ascii="Times New Roman" w:hAnsi="Times New Roman" w:cs="Times New Roman"/>
          <w:sz w:val="24"/>
          <w:szCs w:val="24"/>
        </w:rPr>
        <w:t xml:space="preserve"> </w:t>
      </w:r>
      <w:r w:rsidR="00DF13A8" w:rsidRPr="00DF13A8">
        <w:rPr>
          <w:rFonts w:ascii="Times New Roman" w:hAnsi="Times New Roman" w:cs="Times New Roman"/>
          <w:sz w:val="24"/>
          <w:szCs w:val="24"/>
        </w:rPr>
        <w:t>A</w:t>
      </w:r>
      <w:r w:rsidR="00126C2B" w:rsidRPr="00DF13A8">
        <w:rPr>
          <w:rFonts w:ascii="Times New Roman" w:hAnsi="Times New Roman" w:cs="Times New Roman"/>
          <w:sz w:val="24"/>
          <w:szCs w:val="24"/>
        </w:rPr>
        <w:t>n advice filing</w:t>
      </w:r>
      <w:r w:rsidR="00DF13A8" w:rsidRPr="00DF13A8">
        <w:rPr>
          <w:rFonts w:ascii="Times New Roman" w:hAnsi="Times New Roman" w:cs="Times New Roman"/>
          <w:sz w:val="24"/>
          <w:szCs w:val="24"/>
        </w:rPr>
        <w:t xml:space="preserve"> was submitted</w:t>
      </w:r>
      <w:r w:rsidR="00126C2B" w:rsidRPr="00DF13A8">
        <w:rPr>
          <w:rFonts w:ascii="Times New Roman" w:hAnsi="Times New Roman" w:cs="Times New Roman"/>
          <w:sz w:val="24"/>
          <w:szCs w:val="24"/>
        </w:rPr>
        <w:t xml:space="preserve"> to adjust Schedule 191—Syst</w:t>
      </w:r>
      <w:r w:rsidR="00DF13A8" w:rsidRPr="00DF13A8">
        <w:rPr>
          <w:rFonts w:ascii="Times New Roman" w:hAnsi="Times New Roman" w:cs="Times New Roman"/>
          <w:sz w:val="24"/>
          <w:szCs w:val="24"/>
        </w:rPr>
        <w:t>ems Benefits Charge Adjustment, which</w:t>
      </w:r>
      <w:r w:rsidR="00126C2B" w:rsidRPr="00DF13A8">
        <w:rPr>
          <w:rFonts w:ascii="Times New Roman" w:hAnsi="Times New Roman" w:cs="Times New Roman"/>
          <w:sz w:val="24"/>
          <w:szCs w:val="24"/>
        </w:rPr>
        <w:t xml:space="preserve"> propo</w:t>
      </w:r>
      <w:r w:rsidR="00DF13A8" w:rsidRPr="00DF13A8">
        <w:rPr>
          <w:rFonts w:ascii="Times New Roman" w:hAnsi="Times New Roman" w:cs="Times New Roman"/>
          <w:sz w:val="24"/>
          <w:szCs w:val="24"/>
        </w:rPr>
        <w:t xml:space="preserve">sed an increase of $0.5 million </w:t>
      </w:r>
      <w:r w:rsidR="00126C2B" w:rsidRPr="00DF13A8">
        <w:rPr>
          <w:rFonts w:ascii="Times New Roman" w:hAnsi="Times New Roman" w:cs="Times New Roman"/>
          <w:sz w:val="24"/>
          <w:szCs w:val="24"/>
        </w:rPr>
        <w:t>for an average increase to Washington customers of</w:t>
      </w:r>
      <w:r w:rsidR="00DF13A8" w:rsidRPr="00DF13A8">
        <w:rPr>
          <w:rFonts w:ascii="Times New Roman" w:hAnsi="Times New Roman" w:cs="Times New Roman"/>
          <w:sz w:val="24"/>
          <w:szCs w:val="24"/>
        </w:rPr>
        <w:t xml:space="preserve"> approximately 0.2 percent. The</w:t>
      </w:r>
      <w:r w:rsidR="00126C2B" w:rsidRPr="00DF13A8">
        <w:rPr>
          <w:rFonts w:ascii="Times New Roman" w:hAnsi="Times New Roman" w:cs="Times New Roman"/>
          <w:sz w:val="24"/>
          <w:szCs w:val="24"/>
        </w:rPr>
        <w:t xml:space="preserve"> </w:t>
      </w:r>
      <w:r w:rsidR="006F432A">
        <w:rPr>
          <w:rFonts w:ascii="Times New Roman" w:hAnsi="Times New Roman" w:cs="Times New Roman"/>
          <w:sz w:val="24"/>
          <w:szCs w:val="24"/>
        </w:rPr>
        <w:t xml:space="preserve">Company’s </w:t>
      </w:r>
      <w:r w:rsidR="00126C2B" w:rsidRPr="00DF13A8">
        <w:rPr>
          <w:rFonts w:ascii="Times New Roman" w:hAnsi="Times New Roman" w:cs="Times New Roman"/>
          <w:sz w:val="24"/>
          <w:szCs w:val="24"/>
        </w:rPr>
        <w:t xml:space="preserve">request was </w:t>
      </w:r>
      <w:r w:rsidR="006F432A">
        <w:rPr>
          <w:rFonts w:ascii="Times New Roman" w:hAnsi="Times New Roman" w:cs="Times New Roman"/>
          <w:sz w:val="24"/>
          <w:szCs w:val="24"/>
        </w:rPr>
        <w:t>allowed to go into effect on August 1, 2015, as part of the no action agenda at the</w:t>
      </w:r>
      <w:r w:rsidR="00DF13A8" w:rsidRPr="00DF13A8">
        <w:rPr>
          <w:rFonts w:ascii="Times New Roman" w:hAnsi="Times New Roman" w:cs="Times New Roman"/>
          <w:sz w:val="24"/>
          <w:szCs w:val="24"/>
        </w:rPr>
        <w:t xml:space="preserve"> July 30, 2015</w:t>
      </w:r>
      <w:r w:rsidR="006F432A">
        <w:rPr>
          <w:rFonts w:ascii="Times New Roman" w:hAnsi="Times New Roman" w:cs="Times New Roman"/>
          <w:sz w:val="24"/>
          <w:szCs w:val="24"/>
        </w:rPr>
        <w:t xml:space="preserve"> open meeting.</w:t>
      </w:r>
    </w:p>
    <w:p w14:paraId="2451CBE8" w14:textId="77777777" w:rsidR="00DD4B5D" w:rsidRDefault="00DD4B5D" w:rsidP="00A80DA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June 1, 2015 – PacifiCorp Conservation and Renewable Energy Target to Washington Department of Commerce</w:t>
      </w:r>
      <w:r w:rsidR="00E64736">
        <w:rPr>
          <w:rFonts w:ascii="Times New Roman" w:hAnsi="Times New Roman" w:cs="Times New Roman"/>
          <w:sz w:val="24"/>
          <w:szCs w:val="24"/>
        </w:rPr>
        <w:t xml:space="preserve"> for 2014 performance.</w:t>
      </w:r>
      <w:r w:rsidR="00A80DA4">
        <w:rPr>
          <w:rFonts w:ascii="Times New Roman" w:hAnsi="Times New Roman" w:cs="Times New Roman"/>
          <w:sz w:val="24"/>
          <w:szCs w:val="24"/>
        </w:rPr>
        <w:t xml:space="preserve"> </w:t>
      </w:r>
      <w:r w:rsidR="00A80DA4" w:rsidRPr="00DF13A8">
        <w:rPr>
          <w:rFonts w:ascii="Times New Roman" w:hAnsi="Times New Roman" w:cs="Times New Roman"/>
          <w:sz w:val="24"/>
          <w:szCs w:val="24"/>
        </w:rPr>
        <w:t>The report detailed the Company’s progress in meeting the targets established in RCW 19.285.040 (EIA requirements)</w:t>
      </w:r>
      <w:r w:rsidR="00DF13A8" w:rsidRPr="00DF13A8">
        <w:rPr>
          <w:rFonts w:ascii="Times New Roman" w:hAnsi="Times New Roman" w:cs="Times New Roman"/>
          <w:sz w:val="24"/>
          <w:szCs w:val="24"/>
        </w:rPr>
        <w:t>.</w:t>
      </w:r>
    </w:p>
    <w:p w14:paraId="2451CBE9" w14:textId="77777777" w:rsidR="00DD4B5D" w:rsidRDefault="00DD4B5D" w:rsidP="00DD4B5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July 10, 2015 – Supplemental filing-Schedule 191-System Benefits Charge adjustment, </w:t>
      </w:r>
      <w:r w:rsidR="006F432A">
        <w:rPr>
          <w:rFonts w:ascii="Times New Roman" w:hAnsi="Times New Roman" w:cs="Times New Roman"/>
          <w:sz w:val="24"/>
          <w:szCs w:val="24"/>
        </w:rPr>
        <w:t xml:space="preserve">Advice 15-01, docket </w:t>
      </w:r>
      <w:r>
        <w:rPr>
          <w:rFonts w:ascii="Times New Roman" w:hAnsi="Times New Roman" w:cs="Times New Roman"/>
          <w:sz w:val="24"/>
          <w:szCs w:val="24"/>
        </w:rPr>
        <w:t>UE-151157</w:t>
      </w:r>
      <w:r w:rsidR="00D22EC6">
        <w:rPr>
          <w:rFonts w:ascii="Times New Roman" w:hAnsi="Times New Roman" w:cs="Times New Roman"/>
          <w:sz w:val="24"/>
          <w:szCs w:val="24"/>
        </w:rPr>
        <w:t>.</w:t>
      </w:r>
      <w:r w:rsidR="00DF13A8">
        <w:rPr>
          <w:rFonts w:ascii="Times New Roman" w:hAnsi="Times New Roman" w:cs="Times New Roman"/>
          <w:sz w:val="24"/>
          <w:szCs w:val="24"/>
        </w:rPr>
        <w:t xml:space="preserve"> The supplemental filing incorporated additional procedural information.</w:t>
      </w:r>
    </w:p>
    <w:p w14:paraId="2451CBEA" w14:textId="77777777" w:rsidR="00DD4B5D" w:rsidRPr="00A80DA4" w:rsidRDefault="00DD4B5D" w:rsidP="00A80DA4">
      <w:pPr>
        <w:pStyle w:val="ListParagraph"/>
        <w:numPr>
          <w:ilvl w:val="0"/>
          <w:numId w:val="34"/>
        </w:numPr>
        <w:rPr>
          <w:rFonts w:ascii="Times New Roman" w:hAnsi="Times New Roman" w:cs="Times New Roman"/>
          <w:color w:val="1F497D" w:themeColor="text2"/>
          <w:sz w:val="24"/>
          <w:szCs w:val="24"/>
        </w:rPr>
      </w:pPr>
      <w:r>
        <w:rPr>
          <w:rFonts w:ascii="Times New Roman" w:hAnsi="Times New Roman" w:cs="Times New Roman"/>
          <w:sz w:val="24"/>
          <w:szCs w:val="24"/>
        </w:rPr>
        <w:t>August 14, 2015 – Revised PacifiCorp Conservation and Renewable Energy Target to Washington Department of Commerce</w:t>
      </w:r>
      <w:r w:rsidR="00D22EC6">
        <w:rPr>
          <w:rFonts w:ascii="Times New Roman" w:hAnsi="Times New Roman" w:cs="Times New Roman"/>
          <w:sz w:val="24"/>
          <w:szCs w:val="24"/>
        </w:rPr>
        <w:t>.</w:t>
      </w:r>
      <w:r w:rsidR="00A80DA4" w:rsidRPr="00A80DA4">
        <w:t xml:space="preserve"> </w:t>
      </w:r>
    </w:p>
    <w:p w14:paraId="2451CBEB" w14:textId="77777777" w:rsidR="00DD4B5D" w:rsidRPr="00D22EC6" w:rsidRDefault="00DD4B5D" w:rsidP="00DD4B5D">
      <w:pPr>
        <w:pStyle w:val="ListParagraph"/>
        <w:numPr>
          <w:ilvl w:val="0"/>
          <w:numId w:val="34"/>
        </w:numPr>
        <w:autoSpaceDE w:val="0"/>
        <w:autoSpaceDN w:val="0"/>
        <w:adjustRightInd w:val="0"/>
        <w:rPr>
          <w:rFonts w:ascii="Times New Roman" w:hAnsi="Times New Roman" w:cs="Times New Roman"/>
          <w:sz w:val="24"/>
          <w:szCs w:val="24"/>
        </w:rPr>
      </w:pPr>
      <w:r w:rsidRPr="00D22EC6">
        <w:rPr>
          <w:rFonts w:ascii="Times New Roman" w:hAnsi="Times New Roman" w:cs="Times New Roman"/>
          <w:sz w:val="24"/>
          <w:szCs w:val="24"/>
        </w:rPr>
        <w:t>October 1, 2015 – Petition to Modify Order and Associated Conditions to Comply</w:t>
      </w:r>
      <w:r w:rsidR="00E64736" w:rsidRPr="00D22EC6">
        <w:rPr>
          <w:rFonts w:ascii="Times New Roman" w:hAnsi="Times New Roman" w:cs="Times New Roman"/>
          <w:sz w:val="24"/>
          <w:szCs w:val="24"/>
        </w:rPr>
        <w:t xml:space="preserve"> </w:t>
      </w:r>
    </w:p>
    <w:p w14:paraId="2451CBEC" w14:textId="77777777" w:rsidR="004E40F4" w:rsidRPr="004E40F4" w:rsidRDefault="00DD4B5D" w:rsidP="004E40F4">
      <w:pPr>
        <w:pStyle w:val="ListParagraph"/>
        <w:rPr>
          <w:rFonts w:ascii="Times New Roman" w:hAnsi="Times New Roman" w:cs="Times New Roman"/>
          <w:sz w:val="24"/>
          <w:szCs w:val="24"/>
        </w:rPr>
      </w:pPr>
      <w:r w:rsidRPr="00D22EC6">
        <w:rPr>
          <w:rFonts w:ascii="Times New Roman" w:hAnsi="Times New Roman" w:cs="Times New Roman"/>
          <w:sz w:val="24"/>
          <w:szCs w:val="24"/>
        </w:rPr>
        <w:t>with WAC 480-109 (housekeeping activit</w:t>
      </w:r>
      <w:r w:rsidR="00D22EC6">
        <w:rPr>
          <w:rFonts w:ascii="Times New Roman" w:hAnsi="Times New Roman" w:cs="Times New Roman"/>
          <w:sz w:val="24"/>
          <w:szCs w:val="24"/>
        </w:rPr>
        <w:t>y), related to docket UE-132047.</w:t>
      </w:r>
      <w:r w:rsidR="004E40F4">
        <w:rPr>
          <w:rFonts w:ascii="Times New Roman" w:hAnsi="Times New Roman" w:cs="Times New Roman"/>
          <w:sz w:val="24"/>
          <w:szCs w:val="24"/>
        </w:rPr>
        <w:t xml:space="preserve"> </w:t>
      </w:r>
      <w:r w:rsidR="004E40F4" w:rsidRPr="00DF13A8">
        <w:rPr>
          <w:rFonts w:ascii="Times New Roman" w:hAnsi="Times New Roman" w:cs="Times New Roman"/>
          <w:sz w:val="24"/>
          <w:szCs w:val="24"/>
        </w:rPr>
        <w:t xml:space="preserve">This filing was administrative </w:t>
      </w:r>
      <w:r w:rsidR="00DF13A8" w:rsidRPr="00DF13A8">
        <w:rPr>
          <w:rFonts w:ascii="Times New Roman" w:hAnsi="Times New Roman" w:cs="Times New Roman"/>
          <w:sz w:val="24"/>
          <w:szCs w:val="24"/>
        </w:rPr>
        <w:t>and was driven by the need for C</w:t>
      </w:r>
      <w:r w:rsidR="004E40F4" w:rsidRPr="00DF13A8">
        <w:rPr>
          <w:rFonts w:ascii="Times New Roman" w:hAnsi="Times New Roman" w:cs="Times New Roman"/>
          <w:sz w:val="24"/>
          <w:szCs w:val="24"/>
        </w:rPr>
        <w:t>ommission consideration in advance of the Company’s submittal of the its new Ten-Year Conservation Potential and 2016-2017 Biennial Conservation Target (Ten-Year Conservation Plan) on October 30, 2015.</w:t>
      </w:r>
    </w:p>
    <w:p w14:paraId="2451CBED" w14:textId="77777777" w:rsidR="003F1C00" w:rsidRPr="00FC3268" w:rsidRDefault="00DD4B5D" w:rsidP="00311DA4">
      <w:pPr>
        <w:pStyle w:val="ListParagraph"/>
        <w:numPr>
          <w:ilvl w:val="0"/>
          <w:numId w:val="45"/>
        </w:numPr>
        <w:autoSpaceDE w:val="0"/>
        <w:autoSpaceDN w:val="0"/>
        <w:rPr>
          <w:rFonts w:ascii="Times New Roman" w:hAnsi="Times New Roman" w:cs="Times New Roman"/>
          <w:sz w:val="24"/>
          <w:szCs w:val="24"/>
        </w:rPr>
      </w:pPr>
      <w:r w:rsidRPr="00FC3268">
        <w:rPr>
          <w:rFonts w:ascii="Times New Roman" w:hAnsi="Times New Roman" w:cs="Times New Roman"/>
          <w:sz w:val="24"/>
          <w:szCs w:val="24"/>
        </w:rPr>
        <w:t xml:space="preserve">October 30, 2015 – </w:t>
      </w:r>
      <w:r w:rsidR="002115B2" w:rsidRPr="00FC3268">
        <w:rPr>
          <w:rFonts w:ascii="Times New Roman" w:hAnsi="Times New Roman" w:cs="Times New Roman"/>
          <w:sz w:val="24"/>
          <w:szCs w:val="24"/>
        </w:rPr>
        <w:t>2015 Biennial Conser</w:t>
      </w:r>
      <w:r w:rsidR="005340D2" w:rsidRPr="00FC3268">
        <w:rPr>
          <w:rFonts w:ascii="Times New Roman" w:hAnsi="Times New Roman" w:cs="Times New Roman"/>
          <w:sz w:val="24"/>
          <w:szCs w:val="24"/>
        </w:rPr>
        <w:t>vation Plan which included the C</w:t>
      </w:r>
      <w:r w:rsidR="002115B2" w:rsidRPr="00FC3268">
        <w:rPr>
          <w:rFonts w:ascii="Times New Roman" w:hAnsi="Times New Roman" w:cs="Times New Roman"/>
          <w:sz w:val="24"/>
          <w:szCs w:val="24"/>
        </w:rPr>
        <w:t>ompany's Ten-Year Conservation Potential</w:t>
      </w:r>
      <w:r w:rsidR="005340D2" w:rsidRPr="00FC3268">
        <w:rPr>
          <w:rFonts w:ascii="Times New Roman" w:hAnsi="Times New Roman" w:cs="Times New Roman"/>
          <w:sz w:val="24"/>
          <w:szCs w:val="24"/>
        </w:rPr>
        <w:t>,</w:t>
      </w:r>
      <w:r w:rsidR="002115B2" w:rsidRPr="00FC3268">
        <w:rPr>
          <w:rFonts w:ascii="Times New Roman" w:hAnsi="Times New Roman" w:cs="Times New Roman"/>
          <w:sz w:val="24"/>
          <w:szCs w:val="24"/>
        </w:rPr>
        <w:t xml:space="preserve"> 2016-2017 Biennial Con</w:t>
      </w:r>
      <w:r w:rsidR="005340D2" w:rsidRPr="00FC3268">
        <w:rPr>
          <w:rFonts w:ascii="Times New Roman" w:hAnsi="Times New Roman" w:cs="Times New Roman"/>
          <w:sz w:val="24"/>
          <w:szCs w:val="24"/>
        </w:rPr>
        <w:t>servation Target (Plan), and</w:t>
      </w:r>
      <w:r w:rsidR="002115B2" w:rsidRPr="00FC3268">
        <w:rPr>
          <w:rFonts w:ascii="Times New Roman" w:hAnsi="Times New Roman" w:cs="Times New Roman"/>
          <w:sz w:val="24"/>
          <w:szCs w:val="24"/>
        </w:rPr>
        <w:t xml:space="preserve"> DSM </w:t>
      </w:r>
      <w:r w:rsidR="005340D2" w:rsidRPr="00FC3268">
        <w:rPr>
          <w:rFonts w:ascii="Times New Roman" w:hAnsi="Times New Roman" w:cs="Times New Roman"/>
          <w:sz w:val="24"/>
          <w:szCs w:val="24"/>
        </w:rPr>
        <w:t>Business Plan were filed</w:t>
      </w:r>
      <w:r w:rsidR="00616952" w:rsidRPr="00FC3268">
        <w:rPr>
          <w:rFonts w:ascii="Times New Roman" w:hAnsi="Times New Roman" w:cs="Times New Roman"/>
          <w:sz w:val="24"/>
          <w:szCs w:val="24"/>
        </w:rPr>
        <w:t xml:space="preserve"> </w:t>
      </w:r>
      <w:r w:rsidR="006F432A">
        <w:rPr>
          <w:rFonts w:ascii="Times New Roman" w:hAnsi="Times New Roman" w:cs="Times New Roman"/>
          <w:sz w:val="24"/>
          <w:szCs w:val="24"/>
        </w:rPr>
        <w:t>under d</w:t>
      </w:r>
      <w:r w:rsidR="005340D2" w:rsidRPr="00FC3268">
        <w:rPr>
          <w:rFonts w:ascii="Times New Roman" w:hAnsi="Times New Roman" w:cs="Times New Roman"/>
          <w:sz w:val="24"/>
          <w:szCs w:val="24"/>
        </w:rPr>
        <w:t>ocket UE-132047, Order 01.</w:t>
      </w:r>
      <w:r w:rsidR="003F1C00" w:rsidRPr="00FC3268">
        <w:rPr>
          <w:rFonts w:ascii="Times New Roman" w:hAnsi="Times New Roman" w:cs="Times New Roman"/>
          <w:sz w:val="24"/>
          <w:szCs w:val="24"/>
        </w:rPr>
        <w:t xml:space="preserve"> The DSM Business Plan was provided as Appendix 7 to the Plan.  </w:t>
      </w:r>
      <w:r w:rsidR="005340D2" w:rsidRPr="00FC3268">
        <w:rPr>
          <w:rFonts w:ascii="Times New Roman" w:hAnsi="Times New Roman" w:cs="Times New Roman"/>
          <w:sz w:val="24"/>
          <w:szCs w:val="24"/>
        </w:rPr>
        <w:t xml:space="preserve">The </w:t>
      </w:r>
      <w:r w:rsidR="00EB21E4" w:rsidRPr="00FC3268">
        <w:rPr>
          <w:rFonts w:ascii="Times New Roman" w:hAnsi="Times New Roman" w:cs="Times New Roman"/>
          <w:sz w:val="24"/>
          <w:szCs w:val="24"/>
        </w:rPr>
        <w:t>Biennial</w:t>
      </w:r>
      <w:r w:rsidR="005340D2" w:rsidRPr="00FC3268">
        <w:rPr>
          <w:rFonts w:ascii="Times New Roman" w:hAnsi="Times New Roman" w:cs="Times New Roman"/>
          <w:sz w:val="24"/>
          <w:szCs w:val="24"/>
        </w:rPr>
        <w:t xml:space="preserve"> Conservation Plan and 10-year c</w:t>
      </w:r>
      <w:r w:rsidR="00EB21E4" w:rsidRPr="00FC3268">
        <w:rPr>
          <w:rFonts w:ascii="Times New Roman" w:hAnsi="Times New Roman" w:cs="Times New Roman"/>
          <w:sz w:val="24"/>
          <w:szCs w:val="24"/>
        </w:rPr>
        <w:t>onservation target</w:t>
      </w:r>
      <w:r w:rsidR="005340D2" w:rsidRPr="00FC3268">
        <w:rPr>
          <w:rFonts w:ascii="Times New Roman" w:hAnsi="Times New Roman" w:cs="Times New Roman"/>
          <w:sz w:val="24"/>
          <w:szCs w:val="24"/>
        </w:rPr>
        <w:t xml:space="preserve"> was approved</w:t>
      </w:r>
      <w:r w:rsidR="00EB21E4" w:rsidRPr="00FC3268">
        <w:rPr>
          <w:rFonts w:ascii="Times New Roman" w:hAnsi="Times New Roman" w:cs="Times New Roman"/>
          <w:sz w:val="24"/>
          <w:szCs w:val="24"/>
        </w:rPr>
        <w:t xml:space="preserve"> at the open meeting </w:t>
      </w:r>
      <w:r w:rsidR="006F432A">
        <w:rPr>
          <w:rFonts w:ascii="Times New Roman" w:hAnsi="Times New Roman" w:cs="Times New Roman"/>
          <w:sz w:val="24"/>
          <w:szCs w:val="24"/>
        </w:rPr>
        <w:t xml:space="preserve">on </w:t>
      </w:r>
      <w:r w:rsidR="00EB21E4" w:rsidRPr="00FC3268">
        <w:rPr>
          <w:rFonts w:ascii="Times New Roman" w:hAnsi="Times New Roman" w:cs="Times New Roman"/>
          <w:sz w:val="24"/>
          <w:szCs w:val="24"/>
        </w:rPr>
        <w:t>December 17, 2015. </w:t>
      </w:r>
    </w:p>
    <w:p w14:paraId="2451CBEE" w14:textId="77777777" w:rsidR="00DD4B5D" w:rsidRPr="00FC3268" w:rsidRDefault="00DD4B5D" w:rsidP="00EB5C0B">
      <w:pPr>
        <w:pStyle w:val="ListParagraph"/>
        <w:numPr>
          <w:ilvl w:val="0"/>
          <w:numId w:val="34"/>
        </w:numPr>
        <w:autoSpaceDE w:val="0"/>
        <w:autoSpaceDN w:val="0"/>
        <w:adjustRightInd w:val="0"/>
        <w:rPr>
          <w:rFonts w:ascii="Times New Roman" w:hAnsi="Times New Roman" w:cs="Times New Roman"/>
          <w:sz w:val="24"/>
          <w:szCs w:val="24"/>
        </w:rPr>
      </w:pPr>
      <w:r w:rsidRPr="00FC3268">
        <w:rPr>
          <w:rFonts w:ascii="Times New Roman" w:hAnsi="Times New Roman" w:cs="Times New Roman"/>
          <w:sz w:val="24"/>
          <w:szCs w:val="24"/>
        </w:rPr>
        <w:t xml:space="preserve">November 13, 2015 </w:t>
      </w:r>
      <w:r w:rsidR="006F432A" w:rsidRPr="000F3D30">
        <w:rPr>
          <w:rFonts w:ascii="Times New Roman" w:hAnsi="Times New Roman" w:cs="Times New Roman"/>
          <w:sz w:val="24"/>
          <w:szCs w:val="24"/>
        </w:rPr>
        <w:t xml:space="preserve">– </w:t>
      </w:r>
      <w:r w:rsidRPr="00FC3268">
        <w:rPr>
          <w:rFonts w:ascii="Times New Roman" w:hAnsi="Times New Roman" w:cs="Times New Roman"/>
          <w:sz w:val="24"/>
          <w:szCs w:val="24"/>
        </w:rPr>
        <w:t>Schedule 114-Residential Energy Efficiency Rider-Optional for Qualifying Low Income Customers, Advice 15-03, docket UE-152173</w:t>
      </w:r>
      <w:r w:rsidR="00D22EC6" w:rsidRPr="00FC3268">
        <w:rPr>
          <w:rFonts w:ascii="Times New Roman" w:hAnsi="Times New Roman" w:cs="Times New Roman"/>
          <w:sz w:val="24"/>
          <w:szCs w:val="24"/>
        </w:rPr>
        <w:t>.</w:t>
      </w:r>
      <w:r w:rsidR="00EB5C0B" w:rsidRPr="00FC3268">
        <w:rPr>
          <w:rFonts w:ascii="Calibri" w:hAnsi="Calibri" w:cs="Times New Roman"/>
        </w:rPr>
        <w:t xml:space="preserve"> </w:t>
      </w:r>
      <w:r w:rsidR="005340D2" w:rsidRPr="00FC3268">
        <w:rPr>
          <w:rFonts w:ascii="Times New Roman" w:hAnsi="Times New Roman" w:cs="Times New Roman"/>
          <w:sz w:val="24"/>
          <w:szCs w:val="24"/>
        </w:rPr>
        <w:t>The filing</w:t>
      </w:r>
      <w:r w:rsidR="00EB5C0B" w:rsidRPr="00FC3268">
        <w:rPr>
          <w:rFonts w:ascii="Times New Roman" w:hAnsi="Times New Roman" w:cs="Times New Roman"/>
          <w:sz w:val="24"/>
          <w:szCs w:val="24"/>
        </w:rPr>
        <w:t xml:space="preserve"> revise</w:t>
      </w:r>
      <w:r w:rsidR="005340D2" w:rsidRPr="00FC3268">
        <w:rPr>
          <w:rFonts w:ascii="Times New Roman" w:hAnsi="Times New Roman" w:cs="Times New Roman"/>
          <w:sz w:val="24"/>
          <w:szCs w:val="24"/>
        </w:rPr>
        <w:t>d</w:t>
      </w:r>
      <w:r w:rsidR="00EB5C0B" w:rsidRPr="00FC3268">
        <w:rPr>
          <w:rFonts w:ascii="Times New Roman" w:hAnsi="Times New Roman" w:cs="Times New Roman"/>
          <w:sz w:val="24"/>
          <w:szCs w:val="24"/>
        </w:rPr>
        <w:t xml:space="preserve"> the Low Income Weatherization program (Schedule 114) in an effort to: a) better align eligibility and/or requirements with other sources of funding, b) match eligible efficiency measures with updated technologies, c) respond to requests from our partnering agencies, </w:t>
      </w:r>
      <w:r w:rsidR="00EB5C0B" w:rsidRPr="00FC3268">
        <w:rPr>
          <w:rFonts w:ascii="Times New Roman" w:hAnsi="Times New Roman" w:cs="Times New Roman"/>
          <w:sz w:val="24"/>
          <w:szCs w:val="24"/>
        </w:rPr>
        <w:lastRenderedPageBreak/>
        <w:t xml:space="preserve">and d) update measure life information used to calculated savings to investment ratios.  The proposed changes were </w:t>
      </w:r>
      <w:r w:rsidR="006F432A">
        <w:rPr>
          <w:rFonts w:ascii="Times New Roman" w:hAnsi="Times New Roman" w:cs="Times New Roman"/>
          <w:sz w:val="24"/>
          <w:szCs w:val="24"/>
        </w:rPr>
        <w:t xml:space="preserve">allowed to go into effect on January 1, 2016, as part of the no action agenda at the </w:t>
      </w:r>
      <w:r w:rsidR="005340D2" w:rsidRPr="00FC3268">
        <w:rPr>
          <w:rFonts w:ascii="Times New Roman" w:hAnsi="Times New Roman" w:cs="Times New Roman"/>
          <w:sz w:val="24"/>
          <w:szCs w:val="24"/>
        </w:rPr>
        <w:t>December 30, 2015</w:t>
      </w:r>
      <w:r w:rsidR="006F432A">
        <w:rPr>
          <w:rFonts w:ascii="Times New Roman" w:hAnsi="Times New Roman" w:cs="Times New Roman"/>
          <w:sz w:val="24"/>
          <w:szCs w:val="24"/>
        </w:rPr>
        <w:t xml:space="preserve"> open meeting. </w:t>
      </w:r>
    </w:p>
    <w:p w14:paraId="2451CBEF" w14:textId="77777777" w:rsidR="004515A8" w:rsidRPr="004515A8" w:rsidRDefault="00DD4B5D" w:rsidP="004515A8">
      <w:pPr>
        <w:pStyle w:val="ListParagraph"/>
        <w:numPr>
          <w:ilvl w:val="0"/>
          <w:numId w:val="34"/>
        </w:numPr>
        <w:autoSpaceDE w:val="0"/>
        <w:autoSpaceDN w:val="0"/>
        <w:adjustRightInd w:val="0"/>
        <w:rPr>
          <w:rFonts w:ascii="Times New Roman" w:hAnsi="Times New Roman" w:cs="Times New Roman"/>
          <w:sz w:val="24"/>
          <w:szCs w:val="24"/>
        </w:rPr>
      </w:pPr>
      <w:r w:rsidRPr="00FC3268">
        <w:rPr>
          <w:rFonts w:ascii="Times New Roman" w:hAnsi="Times New Roman" w:cs="Times New Roman"/>
          <w:sz w:val="24"/>
          <w:szCs w:val="24"/>
        </w:rPr>
        <w:t>November 19, 2015 – Cancel Schedule 107-Refrigerator</w:t>
      </w:r>
      <w:r w:rsidRPr="00D22EC6">
        <w:rPr>
          <w:rFonts w:ascii="Times New Roman" w:hAnsi="Times New Roman" w:cs="Times New Roman"/>
          <w:sz w:val="24"/>
          <w:szCs w:val="24"/>
        </w:rPr>
        <w:t xml:space="preserve"> Recycling Program Service, Advice</w:t>
      </w:r>
      <w:r>
        <w:rPr>
          <w:rFonts w:ascii="Times New Roman" w:hAnsi="Times New Roman" w:cs="Times New Roman"/>
          <w:sz w:val="24"/>
          <w:szCs w:val="24"/>
        </w:rPr>
        <w:t xml:space="preserve"> 15-04, docket UE-152237</w:t>
      </w:r>
      <w:r w:rsidR="00D22EC6">
        <w:rPr>
          <w:rFonts w:ascii="Times New Roman" w:hAnsi="Times New Roman" w:cs="Times New Roman"/>
          <w:sz w:val="24"/>
          <w:szCs w:val="24"/>
        </w:rPr>
        <w:t>.</w:t>
      </w:r>
      <w:r w:rsidR="004515A8">
        <w:rPr>
          <w:rFonts w:ascii="Times New Roman" w:hAnsi="Times New Roman" w:cs="Times New Roman"/>
          <w:sz w:val="24"/>
          <w:szCs w:val="24"/>
        </w:rPr>
        <w:t xml:space="preserve"> </w:t>
      </w:r>
      <w:r w:rsidR="004515A8" w:rsidRPr="00CA71FC">
        <w:rPr>
          <w:rFonts w:ascii="Times New Roman" w:hAnsi="Times New Roman" w:cs="Times New Roman"/>
          <w:sz w:val="24"/>
          <w:szCs w:val="24"/>
        </w:rPr>
        <w:t>As part of the planning process for the 2016-2017 biennial period, the Company filed Advice No. 15-04 to cancel Schedule 107 effective January 1, 2016, based on forecasted sub-optimal cost effectiveness utilizing new (and lower) unit energy savings from the Company’s program evaluation.  The Commission approved it at the December 30, 2015 open meeting.</w:t>
      </w:r>
    </w:p>
    <w:p w14:paraId="2451CBF0" w14:textId="77777777" w:rsidR="00DD4B5D" w:rsidRPr="00D22EC6" w:rsidRDefault="00DD4B5D" w:rsidP="00D22EC6">
      <w:pPr>
        <w:autoSpaceDE w:val="0"/>
        <w:autoSpaceDN w:val="0"/>
        <w:adjustRightInd w:val="0"/>
        <w:ind w:left="360"/>
        <w:rPr>
          <w:rFonts w:ascii="Times New Roman" w:hAnsi="Times New Roman" w:cs="Times New Roman"/>
          <w:sz w:val="24"/>
          <w:szCs w:val="24"/>
        </w:rPr>
      </w:pPr>
    </w:p>
    <w:p w14:paraId="2451CBF1" w14:textId="77777777" w:rsidR="00DD4B5D" w:rsidRPr="00ED56DE" w:rsidRDefault="00DD4B5D" w:rsidP="00DD4B5D">
      <w:pPr>
        <w:rPr>
          <w:rFonts w:ascii="Times New Roman" w:hAnsi="Times New Roman" w:cs="Times New Roman"/>
          <w:sz w:val="24"/>
          <w:szCs w:val="24"/>
        </w:rPr>
      </w:pPr>
    </w:p>
    <w:p w14:paraId="2451CBF2" w14:textId="77777777" w:rsidR="00DD4B5D" w:rsidRPr="00AC0FA4" w:rsidRDefault="00DD4B5D" w:rsidP="00DD4B5D">
      <w:pPr>
        <w:rPr>
          <w:rFonts w:ascii="Times New Roman" w:hAnsi="Times New Roman" w:cs="Times New Roman"/>
          <w:b/>
          <w:i/>
          <w:color w:val="0070C0"/>
          <w:sz w:val="24"/>
          <w:szCs w:val="24"/>
        </w:rPr>
      </w:pPr>
      <w:r w:rsidRPr="00AC0FA4">
        <w:rPr>
          <w:rFonts w:ascii="Times New Roman" w:hAnsi="Times New Roman" w:cs="Times New Roman"/>
          <w:b/>
          <w:i/>
          <w:color w:val="0070C0"/>
          <w:sz w:val="24"/>
          <w:szCs w:val="24"/>
        </w:rPr>
        <w:t>Advisory Group Activities</w:t>
      </w:r>
    </w:p>
    <w:p w14:paraId="2451CBF3" w14:textId="77777777" w:rsidR="00DD4B5D" w:rsidRPr="00ED56DE" w:rsidRDefault="00DD4B5D" w:rsidP="00DD4B5D">
      <w:pPr>
        <w:rPr>
          <w:rFonts w:ascii="Times New Roman" w:hAnsi="Times New Roman" w:cs="Times New Roman"/>
          <w:i/>
          <w:sz w:val="24"/>
          <w:szCs w:val="24"/>
        </w:rPr>
      </w:pPr>
    </w:p>
    <w:p w14:paraId="2451CBF4" w14:textId="77777777" w:rsidR="00DD4B5D" w:rsidRDefault="00DD4B5D" w:rsidP="00B55504">
      <w:pPr>
        <w:jc w:val="both"/>
        <w:rPr>
          <w:rFonts w:ascii="Times New Roman" w:hAnsi="Times New Roman" w:cs="Times New Roman"/>
          <w:sz w:val="24"/>
          <w:szCs w:val="24"/>
        </w:rPr>
      </w:pPr>
      <w:r>
        <w:rPr>
          <w:rFonts w:ascii="Times New Roman" w:hAnsi="Times New Roman" w:cs="Times New Roman"/>
          <w:sz w:val="24"/>
          <w:szCs w:val="24"/>
        </w:rPr>
        <w:t>At a minimum of four times per year</w:t>
      </w:r>
      <w:r w:rsidRPr="00EC397A">
        <w:rPr>
          <w:rFonts w:ascii="Times New Roman" w:hAnsi="Times New Roman" w:cs="Times New Roman"/>
          <w:sz w:val="24"/>
          <w:szCs w:val="24"/>
        </w:rPr>
        <w:t xml:space="preserve">, the Company </w:t>
      </w:r>
      <w:r w:rsidRPr="00ED56DE">
        <w:rPr>
          <w:rFonts w:ascii="Times New Roman" w:hAnsi="Times New Roman" w:cs="Times New Roman"/>
          <w:sz w:val="24"/>
          <w:szCs w:val="24"/>
        </w:rPr>
        <w:t xml:space="preserve">seeks </w:t>
      </w:r>
      <w:r>
        <w:rPr>
          <w:rFonts w:ascii="Times New Roman" w:hAnsi="Times New Roman" w:cs="Times New Roman"/>
          <w:sz w:val="24"/>
          <w:szCs w:val="24"/>
        </w:rPr>
        <w:t xml:space="preserve">regular </w:t>
      </w:r>
      <w:r w:rsidRPr="00ED56DE">
        <w:rPr>
          <w:rFonts w:ascii="Times New Roman" w:hAnsi="Times New Roman" w:cs="Times New Roman"/>
          <w:sz w:val="24"/>
          <w:szCs w:val="24"/>
        </w:rPr>
        <w:t xml:space="preserve">input regarding its energy efficiency programs from </w:t>
      </w:r>
      <w:r>
        <w:rPr>
          <w:rFonts w:ascii="Times New Roman" w:hAnsi="Times New Roman" w:cs="Times New Roman"/>
          <w:sz w:val="24"/>
          <w:szCs w:val="24"/>
        </w:rPr>
        <w:t>its</w:t>
      </w:r>
      <w:r w:rsidRPr="00ED56DE">
        <w:rPr>
          <w:rFonts w:ascii="Times New Roman" w:hAnsi="Times New Roman" w:cs="Times New Roman"/>
          <w:sz w:val="24"/>
          <w:szCs w:val="24"/>
        </w:rPr>
        <w:t xml:space="preserve"> Washington </w:t>
      </w:r>
      <w:r w:rsidR="00000A3F">
        <w:rPr>
          <w:rFonts w:ascii="Times New Roman" w:hAnsi="Times New Roman" w:cs="Times New Roman"/>
          <w:sz w:val="24"/>
          <w:szCs w:val="24"/>
        </w:rPr>
        <w:t>DSM</w:t>
      </w:r>
      <w:r w:rsidRPr="00ED56DE">
        <w:rPr>
          <w:rFonts w:ascii="Times New Roman" w:hAnsi="Times New Roman" w:cs="Times New Roman"/>
          <w:sz w:val="24"/>
          <w:szCs w:val="24"/>
        </w:rPr>
        <w:t xml:space="preserve"> Advisory Group. This group includes representatives from a variety of constituent organizations. The Company collaborated with </w:t>
      </w:r>
      <w:r>
        <w:rPr>
          <w:rFonts w:ascii="Times New Roman" w:hAnsi="Times New Roman" w:cs="Times New Roman"/>
          <w:sz w:val="24"/>
          <w:szCs w:val="24"/>
        </w:rPr>
        <w:t>its</w:t>
      </w:r>
      <w:r w:rsidRPr="00ED56DE">
        <w:rPr>
          <w:rFonts w:ascii="Times New Roman" w:hAnsi="Times New Roman" w:cs="Times New Roman"/>
          <w:sz w:val="24"/>
          <w:szCs w:val="24"/>
        </w:rPr>
        <w:t xml:space="preserve"> DSM Advisory Group throughout 201</w:t>
      </w:r>
      <w:r>
        <w:rPr>
          <w:rFonts w:ascii="Times New Roman" w:hAnsi="Times New Roman" w:cs="Times New Roman"/>
          <w:sz w:val="24"/>
          <w:szCs w:val="24"/>
        </w:rPr>
        <w:t>5</w:t>
      </w:r>
      <w:r w:rsidRPr="00ED56DE">
        <w:rPr>
          <w:rFonts w:ascii="Times New Roman" w:hAnsi="Times New Roman" w:cs="Times New Roman"/>
          <w:sz w:val="24"/>
          <w:szCs w:val="24"/>
        </w:rPr>
        <w:t xml:space="preserve"> on the following matters:</w:t>
      </w:r>
    </w:p>
    <w:p w14:paraId="2451CBF5" w14:textId="77777777" w:rsidR="00DD4B5D" w:rsidRPr="00ED56DE" w:rsidRDefault="00DD4B5D" w:rsidP="00B55504">
      <w:pPr>
        <w:jc w:val="both"/>
        <w:rPr>
          <w:rFonts w:ascii="Times New Roman" w:hAnsi="Times New Roman" w:cs="Times New Roman"/>
          <w:sz w:val="24"/>
          <w:szCs w:val="24"/>
        </w:rPr>
      </w:pPr>
    </w:p>
    <w:p w14:paraId="2451CBF6" w14:textId="77777777" w:rsidR="00DD4B5D" w:rsidRPr="00ED56DE" w:rsidRDefault="00DD4B5D" w:rsidP="00DD4B5D">
      <w:pPr>
        <w:rPr>
          <w:rFonts w:ascii="Times New Roman" w:hAnsi="Times New Roman" w:cs="Times New Roman"/>
          <w:sz w:val="24"/>
          <w:szCs w:val="24"/>
          <w:u w:val="single"/>
        </w:rPr>
      </w:pPr>
      <w:r>
        <w:rPr>
          <w:rFonts w:ascii="Times New Roman" w:hAnsi="Times New Roman" w:cs="Times New Roman"/>
          <w:sz w:val="24"/>
          <w:szCs w:val="24"/>
          <w:u w:val="single"/>
        </w:rPr>
        <w:t>March 18, 2015</w:t>
      </w:r>
    </w:p>
    <w:p w14:paraId="2451CBF7"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Commercial building benchmarking software;</w:t>
      </w:r>
    </w:p>
    <w:p w14:paraId="2451CBF8"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2014 annual report summary;</w:t>
      </w:r>
    </w:p>
    <w:p w14:paraId="2451CBF9"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Cost recovery tariff;</w:t>
      </w:r>
    </w:p>
    <w:p w14:paraId="2451CBFA"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2015 conservation potential study;</w:t>
      </w:r>
    </w:p>
    <w:p w14:paraId="2451CBFB"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2015 IRP preferred portfolio and implementation plan;</w:t>
      </w:r>
    </w:p>
    <w:p w14:paraId="2451CBFC"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Program evaluation update;</w:t>
      </w:r>
    </w:p>
    <w:p w14:paraId="2451CBFD"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Tracked savings, frozen/flexible baselines, UES values;</w:t>
      </w:r>
    </w:p>
    <w:p w14:paraId="2451CBFE" w14:textId="77777777" w:rsidR="00DD4B5D" w:rsidRPr="009128AE" w:rsidRDefault="008838B5"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Home energy reports.</w:t>
      </w:r>
    </w:p>
    <w:p w14:paraId="2451CBFF" w14:textId="77777777" w:rsidR="00DD4B5D" w:rsidRDefault="00DD4B5D" w:rsidP="00DD4B5D">
      <w:pPr>
        <w:rPr>
          <w:rFonts w:ascii="Times New Roman" w:hAnsi="Times New Roman" w:cs="Times New Roman"/>
          <w:sz w:val="24"/>
          <w:szCs w:val="24"/>
          <w:u w:val="single"/>
        </w:rPr>
      </w:pPr>
    </w:p>
    <w:p w14:paraId="2451CC00" w14:textId="77777777" w:rsidR="00DD4B5D" w:rsidRPr="00ED56DE" w:rsidRDefault="00DD4B5D" w:rsidP="00DD4B5D">
      <w:pPr>
        <w:rPr>
          <w:rFonts w:ascii="Times New Roman" w:hAnsi="Times New Roman" w:cs="Times New Roman"/>
          <w:sz w:val="24"/>
          <w:szCs w:val="24"/>
          <w:u w:val="single"/>
        </w:rPr>
      </w:pPr>
      <w:r>
        <w:rPr>
          <w:rFonts w:ascii="Times New Roman" w:hAnsi="Times New Roman" w:cs="Times New Roman"/>
          <w:sz w:val="24"/>
          <w:szCs w:val="24"/>
          <w:u w:val="single"/>
        </w:rPr>
        <w:t>June 9, 2015</w:t>
      </w:r>
    </w:p>
    <w:p w14:paraId="2451CC01"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Target setting and new rules;</w:t>
      </w:r>
    </w:p>
    <w:p w14:paraId="2451CC02"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Review of preferred portfolio and adjustment process;</w:t>
      </w:r>
    </w:p>
    <w:p w14:paraId="2451CC03" w14:textId="77777777" w:rsidR="00DD4B5D" w:rsidRPr="009128AE" w:rsidRDefault="00E8600B"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NEEA;</w:t>
      </w:r>
    </w:p>
    <w:p w14:paraId="2451CC04"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Scope/design for 2016 conservation potential assessment;</w:t>
      </w:r>
    </w:p>
    <w:p w14:paraId="2451CC05"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Home energy reports expansion update;</w:t>
      </w:r>
    </w:p>
    <w:p w14:paraId="2451CC06"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System benefits charge filing explanation;</w:t>
      </w:r>
    </w:p>
    <w:p w14:paraId="2451CC07"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2014 annual report;</w:t>
      </w:r>
    </w:p>
    <w:p w14:paraId="2451CC08"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Program evaluations;</w:t>
      </w:r>
    </w:p>
    <w:p w14:paraId="2451CC09" w14:textId="77777777" w:rsidR="00DD4B5D" w:rsidRPr="009128AE" w:rsidRDefault="00DD4B5D" w:rsidP="00DD4B5D">
      <w:pPr>
        <w:pStyle w:val="ListParagraph"/>
        <w:numPr>
          <w:ilvl w:val="0"/>
          <w:numId w:val="33"/>
        </w:numPr>
        <w:rPr>
          <w:rFonts w:ascii="Times New Roman" w:hAnsi="Times New Roman" w:cs="Times New Roman"/>
          <w:sz w:val="24"/>
          <w:szCs w:val="24"/>
          <w:u w:val="single"/>
        </w:rPr>
      </w:pPr>
      <w:r>
        <w:rPr>
          <w:rFonts w:ascii="Times New Roman" w:hAnsi="Times New Roman" w:cs="Times New Roman"/>
          <w:sz w:val="24"/>
          <w:szCs w:val="24"/>
        </w:rPr>
        <w:t>Frozen/flex</w:t>
      </w:r>
      <w:r w:rsidR="008838B5">
        <w:rPr>
          <w:rFonts w:ascii="Times New Roman" w:hAnsi="Times New Roman" w:cs="Times New Roman"/>
          <w:sz w:val="24"/>
          <w:szCs w:val="24"/>
        </w:rPr>
        <w:t>ible UES – preliminary analysis.</w:t>
      </w:r>
    </w:p>
    <w:p w14:paraId="2451CC0A" w14:textId="77777777" w:rsidR="00DD4B5D" w:rsidRPr="00ED56DE" w:rsidRDefault="00DD4B5D" w:rsidP="00DD4B5D">
      <w:pPr>
        <w:pStyle w:val="ListParagraph"/>
        <w:rPr>
          <w:rFonts w:ascii="Times New Roman" w:hAnsi="Times New Roman" w:cs="Times New Roman"/>
          <w:sz w:val="24"/>
          <w:szCs w:val="24"/>
          <w:u w:val="single"/>
        </w:rPr>
      </w:pPr>
    </w:p>
    <w:p w14:paraId="2451CC0B" w14:textId="77777777" w:rsidR="00DD4B5D" w:rsidRPr="00ED56DE" w:rsidRDefault="00DD4B5D" w:rsidP="00DD4B5D">
      <w:pPr>
        <w:rPr>
          <w:rFonts w:ascii="Times New Roman" w:hAnsi="Times New Roman" w:cs="Times New Roman"/>
          <w:sz w:val="24"/>
          <w:szCs w:val="24"/>
          <w:u w:val="single"/>
        </w:rPr>
      </w:pPr>
      <w:r>
        <w:rPr>
          <w:rFonts w:ascii="Times New Roman" w:hAnsi="Times New Roman" w:cs="Times New Roman"/>
          <w:sz w:val="24"/>
          <w:szCs w:val="24"/>
          <w:u w:val="single"/>
        </w:rPr>
        <w:t>August 20, 2015</w:t>
      </w:r>
    </w:p>
    <w:p w14:paraId="2451CC0C" w14:textId="77777777" w:rsidR="00DD4B5D" w:rsidRDefault="00DD4B5D" w:rsidP="00DD4B5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Forecast, proposed adjustments and target;</w:t>
      </w:r>
    </w:p>
    <w:p w14:paraId="2451CC0D" w14:textId="77777777" w:rsidR="00DD4B5D" w:rsidRDefault="00DD4B5D" w:rsidP="00DD4B5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Updated information on adjustments;</w:t>
      </w:r>
    </w:p>
    <w:p w14:paraId="2451CC0E" w14:textId="77777777" w:rsidR="00DD4B5D" w:rsidRDefault="00DD4B5D" w:rsidP="00DD4B5D">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Residen</w:t>
      </w:r>
      <w:r w:rsidR="006F432A">
        <w:rPr>
          <w:rFonts w:ascii="Times New Roman" w:hAnsi="Times New Roman" w:cs="Times New Roman"/>
          <w:sz w:val="24"/>
          <w:szCs w:val="24"/>
        </w:rPr>
        <w:t>tial lighting – August 18, 2015</w:t>
      </w:r>
      <w:r>
        <w:rPr>
          <w:rFonts w:ascii="Times New Roman" w:hAnsi="Times New Roman" w:cs="Times New Roman"/>
          <w:sz w:val="24"/>
          <w:szCs w:val="24"/>
        </w:rPr>
        <w:t xml:space="preserve"> regional technical forum meeting</w:t>
      </w:r>
    </w:p>
    <w:p w14:paraId="2451CC0F" w14:textId="77777777" w:rsidR="00DD4B5D" w:rsidRDefault="00DD4B5D" w:rsidP="00DD4B5D">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Appliance recycling – draft evaluation results</w:t>
      </w:r>
    </w:p>
    <w:p w14:paraId="2451CC10" w14:textId="77777777" w:rsidR="00DD4B5D" w:rsidRDefault="00DD4B5D" w:rsidP="00DD4B5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NEEA treatment;</w:t>
      </w:r>
    </w:p>
    <w:p w14:paraId="2451CC11" w14:textId="77777777" w:rsidR="00DD4B5D" w:rsidRDefault="008838B5" w:rsidP="00DD4B5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2015 decrement values.</w:t>
      </w:r>
    </w:p>
    <w:p w14:paraId="2451CC12" w14:textId="77777777" w:rsidR="00DD4B5D" w:rsidRPr="00ED56DE" w:rsidRDefault="00DD4B5D" w:rsidP="00DD4B5D">
      <w:pPr>
        <w:pStyle w:val="ListParagraph"/>
        <w:rPr>
          <w:rFonts w:ascii="Times New Roman" w:hAnsi="Times New Roman" w:cs="Times New Roman"/>
          <w:sz w:val="24"/>
          <w:szCs w:val="24"/>
          <w:u w:val="single"/>
        </w:rPr>
      </w:pPr>
    </w:p>
    <w:p w14:paraId="2451CC13" w14:textId="77777777" w:rsidR="00DD4B5D" w:rsidRPr="00AD7257" w:rsidRDefault="00DD4B5D" w:rsidP="00DD4B5D">
      <w:pPr>
        <w:rPr>
          <w:rFonts w:ascii="Times New Roman" w:hAnsi="Times New Roman" w:cs="Times New Roman"/>
          <w:sz w:val="24"/>
          <w:szCs w:val="24"/>
          <w:u w:val="single"/>
        </w:rPr>
      </w:pPr>
      <w:r w:rsidRPr="00AD7257">
        <w:rPr>
          <w:rFonts w:ascii="Times New Roman" w:hAnsi="Times New Roman" w:cs="Times New Roman"/>
          <w:sz w:val="24"/>
          <w:szCs w:val="24"/>
          <w:u w:val="single"/>
        </w:rPr>
        <w:t>September 14, 2015</w:t>
      </w:r>
    </w:p>
    <w:p w14:paraId="2451CC14"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 xml:space="preserve">2015 home energy reports/Opower economics; </w:t>
      </w:r>
    </w:p>
    <w:p w14:paraId="2451CC15"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2016-2017 home energy reports /Opower forecast;</w:t>
      </w:r>
    </w:p>
    <w:p w14:paraId="2451CC16"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Next/final round of adjustments to 10-year forecast;</w:t>
      </w:r>
    </w:p>
    <w:p w14:paraId="2451CC17"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 xml:space="preserve">Proposed 2-year target; </w:t>
      </w:r>
    </w:p>
    <w:p w14:paraId="2451CC18"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Proposed pilot measure (heat pump dryers);</w:t>
      </w:r>
    </w:p>
    <w:p w14:paraId="2451CC19" w14:textId="77777777" w:rsidR="00DD4B5D" w:rsidRDefault="00DD4B5D" w:rsidP="00DD4B5D">
      <w:pPr>
        <w:pStyle w:val="ListParagraph"/>
        <w:numPr>
          <w:ilvl w:val="0"/>
          <w:numId w:val="33"/>
        </w:numPr>
        <w:rPr>
          <w:rFonts w:ascii="Times New Roman" w:hAnsi="Times New Roman" w:cs="Times New Roman"/>
          <w:sz w:val="24"/>
          <w:szCs w:val="24"/>
        </w:rPr>
      </w:pPr>
      <w:r w:rsidRPr="009128AE">
        <w:rPr>
          <w:rFonts w:ascii="Times New Roman" w:hAnsi="Times New Roman" w:cs="Times New Roman"/>
          <w:sz w:val="24"/>
          <w:szCs w:val="24"/>
        </w:rPr>
        <w:t xml:space="preserve">Low Income Program </w:t>
      </w:r>
      <w:r w:rsidR="00CA71FC">
        <w:rPr>
          <w:rFonts w:ascii="Times New Roman" w:hAnsi="Times New Roman" w:cs="Times New Roman"/>
          <w:sz w:val="24"/>
          <w:szCs w:val="24"/>
        </w:rPr>
        <w:t>Evaluation for program y</w:t>
      </w:r>
      <w:r w:rsidRPr="009128AE">
        <w:rPr>
          <w:rFonts w:ascii="Times New Roman" w:hAnsi="Times New Roman" w:cs="Times New Roman"/>
          <w:sz w:val="24"/>
          <w:szCs w:val="24"/>
        </w:rPr>
        <w:t>ears 2011-2</w:t>
      </w:r>
      <w:r w:rsidR="008838B5">
        <w:rPr>
          <w:rFonts w:ascii="Times New Roman" w:hAnsi="Times New Roman" w:cs="Times New Roman"/>
          <w:sz w:val="24"/>
          <w:szCs w:val="24"/>
        </w:rPr>
        <w:t>012.</w:t>
      </w:r>
    </w:p>
    <w:p w14:paraId="2451CC1A" w14:textId="77777777" w:rsidR="00DD4B5D" w:rsidRPr="003652FA" w:rsidRDefault="00DD4B5D" w:rsidP="00DD4B5D">
      <w:pPr>
        <w:ind w:left="720"/>
        <w:rPr>
          <w:rFonts w:ascii="Times New Roman" w:hAnsi="Times New Roman" w:cs="Times New Roman"/>
          <w:sz w:val="24"/>
          <w:szCs w:val="24"/>
        </w:rPr>
      </w:pPr>
    </w:p>
    <w:p w14:paraId="2451CC1B" w14:textId="77777777" w:rsidR="00DD4B5D" w:rsidRPr="003652FA" w:rsidRDefault="00DD4B5D" w:rsidP="00DD4B5D">
      <w:pPr>
        <w:rPr>
          <w:rFonts w:ascii="Times New Roman" w:hAnsi="Times New Roman" w:cs="Times New Roman"/>
          <w:sz w:val="24"/>
          <w:szCs w:val="24"/>
          <w:u w:val="single"/>
        </w:rPr>
      </w:pPr>
      <w:r w:rsidRPr="003652FA">
        <w:rPr>
          <w:rFonts w:ascii="Times New Roman" w:hAnsi="Times New Roman" w:cs="Times New Roman"/>
          <w:sz w:val="24"/>
          <w:szCs w:val="24"/>
          <w:u w:val="single"/>
        </w:rPr>
        <w:t>December 21, 2015</w:t>
      </w:r>
    </w:p>
    <w:p w14:paraId="2451CC1C" w14:textId="77777777" w:rsidR="00DD4B5D" w:rsidRPr="009128AE" w:rsidRDefault="00DD4B5D" w:rsidP="00DD4B5D">
      <w:pPr>
        <w:pStyle w:val="ListParagraph"/>
        <w:numPr>
          <w:ilvl w:val="0"/>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Communications and outreach plan for 2016-2017;</w:t>
      </w:r>
    </w:p>
    <w:p w14:paraId="2451CC1D" w14:textId="77777777" w:rsidR="00DD4B5D" w:rsidRPr="009128AE" w:rsidRDefault="00DD4B5D" w:rsidP="00DD4B5D">
      <w:pPr>
        <w:pStyle w:val="ListParagraph"/>
        <w:numPr>
          <w:ilvl w:val="1"/>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Advertising</w:t>
      </w:r>
      <w:r w:rsidR="008838B5">
        <w:rPr>
          <w:rFonts w:ascii="Times New Roman" w:hAnsi="Times New Roman" w:cs="Times New Roman"/>
          <w:sz w:val="24"/>
          <w:szCs w:val="24"/>
        </w:rPr>
        <w:t>;</w:t>
      </w:r>
    </w:p>
    <w:p w14:paraId="2451CC1E" w14:textId="77777777" w:rsidR="00DD4B5D" w:rsidRPr="009128AE" w:rsidRDefault="00DD4B5D" w:rsidP="00DD4B5D">
      <w:pPr>
        <w:pStyle w:val="ListParagraph"/>
        <w:numPr>
          <w:ilvl w:val="1"/>
          <w:numId w:val="39"/>
        </w:numPr>
        <w:contextualSpacing w:val="0"/>
        <w:rPr>
          <w:rFonts w:ascii="Times New Roman" w:hAnsi="Times New Roman" w:cs="Times New Roman"/>
          <w:sz w:val="24"/>
          <w:szCs w:val="24"/>
        </w:rPr>
      </w:pPr>
      <w:r w:rsidRPr="00E8600B">
        <w:rPr>
          <w:rFonts w:ascii="Times New Roman" w:hAnsi="Times New Roman" w:cs="Times New Roman"/>
          <w:i/>
          <w:sz w:val="24"/>
          <w:szCs w:val="24"/>
        </w:rPr>
        <w:t>watt</w:t>
      </w:r>
      <w:r w:rsidRPr="00E8600B">
        <w:rPr>
          <w:rFonts w:ascii="Times New Roman" w:hAnsi="Times New Roman" w:cs="Times New Roman"/>
          <w:sz w:val="24"/>
          <w:szCs w:val="24"/>
        </w:rPr>
        <w:t>s</w:t>
      </w:r>
      <w:r w:rsidRPr="009128AE">
        <w:rPr>
          <w:rFonts w:ascii="Times New Roman" w:hAnsi="Times New Roman" w:cs="Times New Roman"/>
          <w:sz w:val="24"/>
          <w:szCs w:val="24"/>
        </w:rPr>
        <w:t>mart Business</w:t>
      </w:r>
      <w:r w:rsidR="008838B5">
        <w:rPr>
          <w:rFonts w:ascii="Times New Roman" w:hAnsi="Times New Roman" w:cs="Times New Roman"/>
          <w:sz w:val="24"/>
          <w:szCs w:val="24"/>
        </w:rPr>
        <w:t>;</w:t>
      </w:r>
    </w:p>
    <w:p w14:paraId="2451CC1F" w14:textId="77777777" w:rsidR="00DD4B5D" w:rsidRPr="009128AE" w:rsidRDefault="00DD4B5D" w:rsidP="00DD4B5D">
      <w:pPr>
        <w:pStyle w:val="ListParagraph"/>
        <w:numPr>
          <w:ilvl w:val="1"/>
          <w:numId w:val="39"/>
        </w:numPr>
        <w:contextualSpacing w:val="0"/>
        <w:rPr>
          <w:rFonts w:ascii="Times New Roman" w:hAnsi="Times New Roman" w:cs="Times New Roman"/>
          <w:sz w:val="24"/>
          <w:szCs w:val="24"/>
        </w:rPr>
      </w:pPr>
      <w:r w:rsidRPr="009128AE">
        <w:rPr>
          <w:rFonts w:ascii="Times New Roman" w:hAnsi="Times New Roman" w:cs="Times New Roman"/>
          <w:sz w:val="24"/>
          <w:szCs w:val="24"/>
        </w:rPr>
        <w:t>Education</w:t>
      </w:r>
      <w:r w:rsidR="008838B5">
        <w:rPr>
          <w:rFonts w:ascii="Times New Roman" w:hAnsi="Times New Roman" w:cs="Times New Roman"/>
          <w:sz w:val="24"/>
          <w:szCs w:val="24"/>
        </w:rPr>
        <w:t>.</w:t>
      </w:r>
    </w:p>
    <w:p w14:paraId="2451CC20" w14:textId="77777777" w:rsidR="00CB1F11" w:rsidRDefault="00CB1F11" w:rsidP="00CB1F11">
      <w:pPr>
        <w:rPr>
          <w:rFonts w:ascii="Times New Roman" w:hAnsi="Times New Roman" w:cs="Times New Roman"/>
          <w:sz w:val="24"/>
          <w:szCs w:val="24"/>
        </w:rPr>
      </w:pPr>
    </w:p>
    <w:p w14:paraId="2451CC21" w14:textId="77777777" w:rsidR="008838B5" w:rsidRDefault="008838B5" w:rsidP="00CB1F11">
      <w:pPr>
        <w:rPr>
          <w:rFonts w:ascii="Times New Roman" w:hAnsi="Times New Roman" w:cs="Times New Roman"/>
          <w:sz w:val="24"/>
          <w:szCs w:val="24"/>
        </w:rPr>
      </w:pPr>
    </w:p>
    <w:p w14:paraId="2451CC22" w14:textId="77777777" w:rsidR="008838B5" w:rsidRDefault="008838B5" w:rsidP="00CB1F11">
      <w:pPr>
        <w:rPr>
          <w:rFonts w:ascii="Times New Roman" w:hAnsi="Times New Roman" w:cs="Times New Roman"/>
          <w:sz w:val="24"/>
          <w:szCs w:val="24"/>
        </w:rPr>
        <w:sectPr w:rsidR="008838B5" w:rsidSect="008F3BD4">
          <w:headerReference w:type="default" r:id="rId29"/>
          <w:headerReference w:type="first" r:id="rId30"/>
          <w:pgSz w:w="12240" w:h="15840"/>
          <w:pgMar w:top="1440" w:right="1440" w:bottom="1440" w:left="1440" w:header="720" w:footer="720" w:gutter="0"/>
          <w:cols w:space="720"/>
          <w:titlePg/>
          <w:docGrid w:linePitch="360"/>
        </w:sectPr>
      </w:pPr>
    </w:p>
    <w:p w14:paraId="2451CC23" w14:textId="77777777" w:rsidR="008838B5" w:rsidRPr="007716B1" w:rsidRDefault="008838B5" w:rsidP="008838B5">
      <w:pPr>
        <w:pStyle w:val="Heading1"/>
        <w:spacing w:before="240"/>
      </w:pPr>
      <w:bookmarkStart w:id="4" w:name="_Toc449510470"/>
      <w:r>
        <w:lastRenderedPageBreak/>
        <w:t>DSM Expenditures</w:t>
      </w:r>
      <w:bookmarkEnd w:id="4"/>
    </w:p>
    <w:p w14:paraId="2451CC24" w14:textId="77777777" w:rsidR="00600ACC" w:rsidRPr="00CF7E29" w:rsidRDefault="00600ACC" w:rsidP="00600ACC">
      <w:pPr>
        <w:pStyle w:val="Heading2"/>
      </w:pPr>
      <w:bookmarkStart w:id="5" w:name="_Toc449356459"/>
      <w:bookmarkStart w:id="6" w:name="_Toc449510471"/>
      <w:r w:rsidRPr="00645738">
        <w:t>System Benefits Charge Balancing Account Summary</w:t>
      </w:r>
      <w:bookmarkEnd w:id="5"/>
      <w:bookmarkEnd w:id="6"/>
      <w:r w:rsidRPr="00CF7E29">
        <w:t xml:space="preserve"> </w:t>
      </w:r>
    </w:p>
    <w:p w14:paraId="2451CC25" w14:textId="77777777" w:rsidR="00600ACC" w:rsidRDefault="00600ACC" w:rsidP="00600ACC">
      <w:pPr>
        <w:jc w:val="both"/>
        <w:rPr>
          <w:rFonts w:ascii="Times New Roman" w:eastAsia="MS Mincho" w:hAnsi="Times New Roman" w:cs="Times New Roman"/>
          <w:sz w:val="24"/>
          <w:szCs w:val="24"/>
          <w:lang w:eastAsia="ja-JP"/>
        </w:rPr>
      </w:pPr>
    </w:p>
    <w:p w14:paraId="2451CC26" w14:textId="77777777" w:rsidR="00DD4B5D" w:rsidRDefault="008838B5" w:rsidP="00DD4B5D">
      <w:pPr>
        <w:jc w:val="both"/>
      </w:pPr>
      <w:r>
        <w:rPr>
          <w:rFonts w:ascii="Times New Roman" w:eastAsia="MS Mincho" w:hAnsi="Times New Roman" w:cs="Times New Roman"/>
          <w:sz w:val="24"/>
          <w:szCs w:val="24"/>
          <w:lang w:eastAsia="ja-JP"/>
        </w:rPr>
        <w:t>DSM</w:t>
      </w:r>
      <w:r w:rsidR="00DD4B5D" w:rsidRPr="007012E2">
        <w:rPr>
          <w:rFonts w:ascii="Times New Roman" w:eastAsia="MS Mincho" w:hAnsi="Times New Roman" w:cs="Times New Roman"/>
          <w:sz w:val="24"/>
          <w:szCs w:val="24"/>
          <w:lang w:eastAsia="ja-JP"/>
        </w:rPr>
        <w:t xml:space="preserve"> activities are funded through Schedule 191, </w:t>
      </w:r>
      <w:r w:rsidR="00DD4B5D">
        <w:rPr>
          <w:rFonts w:ascii="Times New Roman" w:eastAsia="MS Mincho" w:hAnsi="Times New Roman" w:cs="Times New Roman"/>
          <w:sz w:val="24"/>
          <w:szCs w:val="24"/>
          <w:lang w:eastAsia="ja-JP"/>
        </w:rPr>
        <w:t xml:space="preserve">the </w:t>
      </w:r>
      <w:r w:rsidR="00DD4B5D" w:rsidRPr="007012E2">
        <w:rPr>
          <w:rFonts w:ascii="Times New Roman" w:eastAsia="MS Mincho" w:hAnsi="Times New Roman" w:cs="Times New Roman"/>
          <w:sz w:val="24"/>
          <w:szCs w:val="24"/>
          <w:lang w:eastAsia="ja-JP"/>
        </w:rPr>
        <w:t>System Benefits Charge</w:t>
      </w:r>
      <w:r w:rsidR="00DD4B5D">
        <w:rPr>
          <w:rFonts w:ascii="Times New Roman" w:eastAsia="MS Mincho" w:hAnsi="Times New Roman" w:cs="Times New Roman"/>
          <w:sz w:val="24"/>
          <w:szCs w:val="24"/>
          <w:lang w:eastAsia="ja-JP"/>
        </w:rPr>
        <w:t xml:space="preserve"> Adjustment collections</w:t>
      </w:r>
      <w:r w:rsidR="00DD4B5D" w:rsidRPr="007012E2">
        <w:rPr>
          <w:rFonts w:ascii="Times New Roman" w:eastAsia="MS Mincho" w:hAnsi="Times New Roman" w:cs="Times New Roman"/>
          <w:sz w:val="24"/>
          <w:szCs w:val="24"/>
          <w:lang w:eastAsia="ja-JP"/>
        </w:rPr>
        <w:t xml:space="preserve">. Expenditures are charged as incurred and collected </w:t>
      </w:r>
      <w:r w:rsidR="00DD4B5D">
        <w:rPr>
          <w:rFonts w:ascii="Times New Roman" w:eastAsia="MS Mincho" w:hAnsi="Times New Roman" w:cs="Times New Roman"/>
          <w:sz w:val="24"/>
          <w:szCs w:val="24"/>
          <w:lang w:eastAsia="ja-JP"/>
        </w:rPr>
        <w:t xml:space="preserve">through </w:t>
      </w:r>
      <w:r w:rsidR="00DD4B5D" w:rsidRPr="007012E2">
        <w:rPr>
          <w:rFonts w:ascii="Times New Roman" w:eastAsia="MS Mincho" w:hAnsi="Times New Roman" w:cs="Times New Roman"/>
          <w:sz w:val="24"/>
          <w:szCs w:val="24"/>
          <w:lang w:eastAsia="ja-JP"/>
        </w:rPr>
        <w:t xml:space="preserve">the Systems Benefit Charge. The balancing account is the mechanism used </w:t>
      </w:r>
      <w:r w:rsidR="00DD4B5D" w:rsidRPr="00400674">
        <w:rPr>
          <w:rFonts w:ascii="Times New Roman" w:eastAsia="MS Mincho" w:hAnsi="Times New Roman" w:cs="Times New Roman"/>
          <w:sz w:val="24"/>
          <w:szCs w:val="24"/>
          <w:lang w:eastAsia="ja-JP"/>
        </w:rPr>
        <w:t xml:space="preserve">for managing the revenue collected and expenses incurred in the provision of DSM </w:t>
      </w:r>
      <w:r w:rsidR="00DD4B5D">
        <w:rPr>
          <w:rFonts w:ascii="Times New Roman" w:eastAsia="MS Mincho" w:hAnsi="Times New Roman" w:cs="Times New Roman"/>
          <w:sz w:val="24"/>
          <w:szCs w:val="24"/>
          <w:lang w:eastAsia="ja-JP"/>
        </w:rPr>
        <w:t>resources</w:t>
      </w:r>
      <w:r w:rsidR="00DD4B5D" w:rsidRPr="005F3AB9">
        <w:rPr>
          <w:rFonts w:ascii="Times New Roman" w:eastAsia="MS Mincho" w:hAnsi="Times New Roman" w:cs="Times New Roman"/>
          <w:sz w:val="24"/>
          <w:szCs w:val="24"/>
          <w:lang w:eastAsia="ja-JP"/>
        </w:rPr>
        <w:t>.</w:t>
      </w:r>
      <w:r w:rsidR="00DD4B5D" w:rsidRPr="00A70F43">
        <w:rPr>
          <w:rFonts w:ascii="Times New Roman" w:hAnsi="Times New Roman" w:cs="Times New Roman"/>
          <w:sz w:val="24"/>
          <w:szCs w:val="24"/>
        </w:rPr>
        <w:t xml:space="preserve"> </w:t>
      </w:r>
      <w:r w:rsidR="00DD4B5D" w:rsidRPr="00400674">
        <w:rPr>
          <w:rFonts w:ascii="Times New Roman" w:eastAsia="MS Mincho" w:hAnsi="Times New Roman" w:cs="Times New Roman"/>
          <w:sz w:val="24"/>
          <w:szCs w:val="24"/>
          <w:lang w:eastAsia="ja-JP"/>
        </w:rPr>
        <w:t xml:space="preserve">The balancing account activity for </w:t>
      </w:r>
      <w:r w:rsidR="00DD4B5D">
        <w:rPr>
          <w:rFonts w:ascii="Times New Roman" w:eastAsia="MS Mincho" w:hAnsi="Times New Roman" w:cs="Times New Roman"/>
          <w:sz w:val="24"/>
          <w:szCs w:val="24"/>
          <w:lang w:eastAsia="ja-JP"/>
        </w:rPr>
        <w:t>2015</w:t>
      </w:r>
      <w:r w:rsidR="00DD4B5D" w:rsidRPr="00400674">
        <w:rPr>
          <w:rFonts w:ascii="Times New Roman" w:eastAsia="MS Mincho" w:hAnsi="Times New Roman" w:cs="Times New Roman"/>
          <w:sz w:val="24"/>
          <w:szCs w:val="24"/>
          <w:lang w:eastAsia="ja-JP"/>
        </w:rPr>
        <w:t xml:space="preserve"> is </w:t>
      </w:r>
      <w:r w:rsidR="00DD4B5D" w:rsidRPr="007012E2">
        <w:rPr>
          <w:rFonts w:ascii="Times New Roman" w:eastAsia="MS Mincho" w:hAnsi="Times New Roman" w:cs="Times New Roman"/>
          <w:sz w:val="24"/>
          <w:szCs w:val="24"/>
          <w:lang w:eastAsia="ja-JP"/>
        </w:rPr>
        <w:t xml:space="preserve">outlined in </w:t>
      </w:r>
      <w:r w:rsidR="00DD4B5D" w:rsidRPr="000B0D84">
        <w:rPr>
          <w:rFonts w:ascii="Times New Roman" w:eastAsia="MS Mincho" w:hAnsi="Times New Roman" w:cs="Times New Roman"/>
          <w:sz w:val="24"/>
          <w:szCs w:val="24"/>
          <w:lang w:eastAsia="ja-JP"/>
        </w:rPr>
        <w:t xml:space="preserve">Table </w:t>
      </w:r>
      <w:r w:rsidR="00DD4B5D">
        <w:rPr>
          <w:rFonts w:ascii="Times New Roman" w:eastAsia="MS Mincho" w:hAnsi="Times New Roman" w:cs="Times New Roman"/>
          <w:sz w:val="24"/>
          <w:szCs w:val="24"/>
          <w:lang w:eastAsia="ja-JP"/>
        </w:rPr>
        <w:t>3</w:t>
      </w:r>
      <w:r w:rsidR="00DD4B5D" w:rsidRPr="007012E2">
        <w:rPr>
          <w:rFonts w:ascii="Times New Roman" w:eastAsia="MS Mincho" w:hAnsi="Times New Roman" w:cs="Times New Roman"/>
          <w:sz w:val="24"/>
          <w:szCs w:val="24"/>
          <w:lang w:eastAsia="ja-JP"/>
        </w:rPr>
        <w:t>.</w:t>
      </w:r>
      <w:r w:rsidR="00DD4B5D">
        <w:rPr>
          <w:rFonts w:ascii="Times New Roman" w:eastAsia="MS Mincho" w:hAnsi="Times New Roman" w:cs="Times New Roman"/>
          <w:sz w:val="24"/>
          <w:szCs w:val="24"/>
          <w:lang w:eastAsia="ja-JP"/>
        </w:rPr>
        <w:t xml:space="preserve"> The end of year balance in the balancing account, on an accrual basis, was an unde</w:t>
      </w:r>
      <w:r w:rsidR="002C50C4">
        <w:rPr>
          <w:rFonts w:ascii="Times New Roman" w:eastAsia="MS Mincho" w:hAnsi="Times New Roman" w:cs="Times New Roman"/>
          <w:sz w:val="24"/>
          <w:szCs w:val="24"/>
          <w:lang w:eastAsia="ja-JP"/>
        </w:rPr>
        <w:t>r-collection of expenses of $1.9</w:t>
      </w:r>
      <w:r w:rsidR="00DD4B5D">
        <w:rPr>
          <w:rFonts w:ascii="Times New Roman" w:eastAsia="MS Mincho" w:hAnsi="Times New Roman" w:cs="Times New Roman"/>
          <w:sz w:val="24"/>
          <w:szCs w:val="24"/>
          <w:lang w:eastAsia="ja-JP"/>
        </w:rPr>
        <w:t xml:space="preserve"> million (monies owed the Company). </w:t>
      </w:r>
    </w:p>
    <w:p w14:paraId="2451CC27" w14:textId="77777777" w:rsidR="00600ACC" w:rsidRDefault="00600ACC" w:rsidP="00600ACC">
      <w:pPr>
        <w:jc w:val="both"/>
        <w:rPr>
          <w:rFonts w:ascii="Times New Roman" w:eastAsia="MS Mincho" w:hAnsi="Times New Roman" w:cs="Times New Roman"/>
          <w:sz w:val="24"/>
          <w:szCs w:val="24"/>
          <w:lang w:eastAsia="ja-JP"/>
        </w:rPr>
      </w:pPr>
    </w:p>
    <w:p w14:paraId="2451CC28" w14:textId="77777777" w:rsidR="00405AF2" w:rsidRDefault="00405AF2" w:rsidP="00600ACC">
      <w:pPr>
        <w:jc w:val="both"/>
        <w:rPr>
          <w:rFonts w:ascii="Times New Roman" w:eastAsia="MS Mincho" w:hAnsi="Times New Roman" w:cs="Times New Roman"/>
          <w:sz w:val="24"/>
          <w:szCs w:val="24"/>
          <w:lang w:eastAsia="ja-JP"/>
        </w:rPr>
      </w:pPr>
    </w:p>
    <w:p w14:paraId="2451CC29" w14:textId="77777777" w:rsidR="00600ACC" w:rsidRPr="007716B1" w:rsidRDefault="00600ACC" w:rsidP="00600ACC">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3</w:t>
      </w:r>
    </w:p>
    <w:p w14:paraId="2451CC2A" w14:textId="77777777" w:rsidR="00600ACC" w:rsidRDefault="00600ACC" w:rsidP="00600ACC">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System Benefit Charge Balancing Account Summary</w:t>
      </w:r>
    </w:p>
    <w:p w14:paraId="2451CC2B" w14:textId="77777777" w:rsidR="00600ACC" w:rsidRDefault="00600ACC" w:rsidP="005D2B63">
      <w:pPr>
        <w:jc w:val="center"/>
        <w:rPr>
          <w:rFonts w:ascii="Times New Roman" w:hAnsi="Times New Roman" w:cs="Times New Roman"/>
          <w:sz w:val="24"/>
          <w:szCs w:val="24"/>
        </w:rPr>
      </w:pPr>
    </w:p>
    <w:p w14:paraId="2451CC2C" w14:textId="77777777" w:rsidR="00600ACC" w:rsidRPr="007716B1" w:rsidRDefault="000E5F2C" w:rsidP="000E5F2C">
      <w:pPr>
        <w:jc w:val="center"/>
        <w:rPr>
          <w:rFonts w:ascii="Times New Roman" w:hAnsi="Times New Roman" w:cs="Times New Roman"/>
          <w:sz w:val="24"/>
          <w:szCs w:val="24"/>
        </w:rPr>
      </w:pPr>
      <w:r w:rsidRPr="000E5F2C">
        <w:rPr>
          <w:noProof/>
        </w:rPr>
        <w:drawing>
          <wp:inline distT="0" distB="0" distL="0" distR="0" wp14:anchorId="2451CFD7" wp14:editId="2451CFD8">
            <wp:extent cx="5897657" cy="3725920"/>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9193" cy="3739526"/>
                    </a:xfrm>
                    <a:prstGeom prst="rect">
                      <a:avLst/>
                    </a:prstGeom>
                    <a:noFill/>
                    <a:ln>
                      <a:noFill/>
                    </a:ln>
                  </pic:spPr>
                </pic:pic>
              </a:graphicData>
            </a:graphic>
          </wp:inline>
        </w:drawing>
      </w:r>
    </w:p>
    <w:p w14:paraId="2451CC2D" w14:textId="77777777" w:rsidR="00600ACC" w:rsidRDefault="00600ACC" w:rsidP="00600ACC">
      <w:pPr>
        <w:rPr>
          <w:rFonts w:ascii="Times New Roman" w:hAnsi="Times New Roman" w:cs="Times New Roman"/>
          <w:color w:val="548DD4" w:themeColor="text2" w:themeTint="99"/>
          <w:sz w:val="24"/>
          <w:szCs w:val="24"/>
        </w:rPr>
      </w:pPr>
    </w:p>
    <w:p w14:paraId="2451CC2E" w14:textId="77777777" w:rsidR="00600ACC" w:rsidRPr="007012E2" w:rsidRDefault="00600ACC" w:rsidP="00600ACC">
      <w:pPr>
        <w:spacing w:line="276" w:lineRule="auto"/>
        <w:rPr>
          <w:rFonts w:ascii="Times New Roman" w:eastAsia="MS Mincho" w:hAnsi="Times New Roman" w:cs="Times New Roman"/>
          <w:sz w:val="24"/>
          <w:szCs w:val="24"/>
          <w:lang w:eastAsia="ja-JP"/>
        </w:rPr>
      </w:pPr>
      <w:r w:rsidRPr="007012E2">
        <w:rPr>
          <w:rFonts w:ascii="Times New Roman" w:eastAsia="MS Mincho" w:hAnsi="Times New Roman" w:cs="Times New Roman"/>
          <w:sz w:val="24"/>
          <w:szCs w:val="24"/>
          <w:lang w:eastAsia="ja-JP"/>
        </w:rPr>
        <w:t>Column Explanations:</w:t>
      </w:r>
    </w:p>
    <w:p w14:paraId="2451CC2F" w14:textId="77777777" w:rsidR="00600ACC" w:rsidRPr="007012E2" w:rsidRDefault="00600ACC" w:rsidP="00600ACC">
      <w:pPr>
        <w:spacing w:line="276" w:lineRule="auto"/>
        <w:ind w:left="450"/>
        <w:jc w:val="both"/>
        <w:rPr>
          <w:rFonts w:ascii="Times New Roman" w:eastAsia="MS Mincho" w:hAnsi="Times New Roman" w:cs="Times New Roman"/>
          <w:lang w:eastAsia="ja-JP"/>
        </w:rPr>
      </w:pPr>
      <w:r w:rsidRPr="007012E2">
        <w:rPr>
          <w:rFonts w:ascii="Times New Roman" w:eastAsia="MS Mincho" w:hAnsi="Times New Roman" w:cs="Times New Roman"/>
          <w:u w:val="single"/>
          <w:lang w:eastAsia="ja-JP"/>
        </w:rPr>
        <w:t>Deferred Expenditures</w:t>
      </w:r>
      <w:r w:rsidRPr="007012E2">
        <w:rPr>
          <w:rFonts w:ascii="Times New Roman" w:eastAsia="MS Mincho" w:hAnsi="Times New Roman" w:cs="Times New Roman"/>
          <w:lang w:eastAsia="ja-JP"/>
        </w:rPr>
        <w:t>: Monthly expenditures for all program activities</w:t>
      </w:r>
      <w:r w:rsidR="00052B05">
        <w:rPr>
          <w:rFonts w:ascii="Times New Roman" w:eastAsia="MS Mincho" w:hAnsi="Times New Roman" w:cs="Times New Roman"/>
          <w:lang w:eastAsia="ja-JP"/>
        </w:rPr>
        <w:t xml:space="preserve"> posted in 201</w:t>
      </w:r>
      <w:r w:rsidR="00B55504">
        <w:rPr>
          <w:rFonts w:ascii="Times New Roman" w:eastAsia="MS Mincho" w:hAnsi="Times New Roman" w:cs="Times New Roman"/>
          <w:lang w:eastAsia="ja-JP"/>
        </w:rPr>
        <w:t>5</w:t>
      </w:r>
      <w:r w:rsidRPr="007012E2">
        <w:rPr>
          <w:rFonts w:ascii="Times New Roman" w:eastAsia="MS Mincho" w:hAnsi="Times New Roman" w:cs="Times New Roman"/>
          <w:lang w:eastAsia="ja-JP"/>
        </w:rPr>
        <w:t xml:space="preserve">, including funding </w:t>
      </w:r>
      <w:r w:rsidR="00B55504" w:rsidRPr="007012E2">
        <w:rPr>
          <w:rFonts w:ascii="Times New Roman" w:eastAsia="MS Mincho" w:hAnsi="Times New Roman" w:cs="Times New Roman"/>
          <w:lang w:eastAsia="ja-JP"/>
        </w:rPr>
        <w:t xml:space="preserve">for </w:t>
      </w:r>
      <w:r w:rsidR="00B55504">
        <w:rPr>
          <w:rFonts w:ascii="Times New Roman" w:eastAsia="MS Mincho" w:hAnsi="Times New Roman" w:cs="Times New Roman"/>
          <w:lang w:eastAsia="ja-JP"/>
        </w:rPr>
        <w:t xml:space="preserve">the </w:t>
      </w:r>
      <w:r w:rsidR="00B55504" w:rsidRPr="007012E2">
        <w:rPr>
          <w:rFonts w:ascii="Times New Roman" w:eastAsia="MS Mincho" w:hAnsi="Times New Roman" w:cs="Times New Roman"/>
          <w:lang w:eastAsia="ja-JP"/>
        </w:rPr>
        <w:t>Northwest</w:t>
      </w:r>
      <w:r w:rsidRPr="007012E2">
        <w:rPr>
          <w:rFonts w:ascii="Times New Roman" w:eastAsia="MS Mincho" w:hAnsi="Times New Roman" w:cs="Times New Roman"/>
          <w:lang w:eastAsia="ja-JP"/>
        </w:rPr>
        <w:t xml:space="preserve"> Energy Efficiency Alliance.</w:t>
      </w:r>
    </w:p>
    <w:p w14:paraId="2451CC30" w14:textId="77777777" w:rsidR="00600ACC" w:rsidRPr="007012E2" w:rsidRDefault="00600ACC" w:rsidP="00600ACC">
      <w:pPr>
        <w:spacing w:line="276" w:lineRule="auto"/>
        <w:ind w:left="450"/>
        <w:jc w:val="both"/>
        <w:rPr>
          <w:rFonts w:ascii="Times New Roman" w:eastAsia="MS Mincho" w:hAnsi="Times New Roman" w:cs="Times New Roman"/>
          <w:lang w:eastAsia="ja-JP"/>
        </w:rPr>
      </w:pPr>
      <w:r w:rsidRPr="007012E2">
        <w:rPr>
          <w:rFonts w:ascii="Times New Roman" w:eastAsia="MS Mincho" w:hAnsi="Times New Roman" w:cs="Times New Roman"/>
          <w:u w:val="single"/>
          <w:lang w:eastAsia="ja-JP"/>
        </w:rPr>
        <w:t>Revenue Collected</w:t>
      </w:r>
      <w:r w:rsidRPr="007012E2">
        <w:rPr>
          <w:rFonts w:ascii="Times New Roman" w:eastAsia="MS Mincho" w:hAnsi="Times New Roman" w:cs="Times New Roman"/>
          <w:lang w:eastAsia="ja-JP"/>
        </w:rPr>
        <w:t>: Revenue collected through Schedule 191, System Benefits Charge</w:t>
      </w:r>
      <w:r w:rsidR="008259C6">
        <w:rPr>
          <w:rFonts w:ascii="Times New Roman" w:eastAsia="MS Mincho" w:hAnsi="Times New Roman" w:cs="Times New Roman"/>
          <w:lang w:eastAsia="ja-JP"/>
        </w:rPr>
        <w:t xml:space="preserve"> Adjustment</w:t>
      </w:r>
      <w:r w:rsidRPr="007012E2">
        <w:rPr>
          <w:rFonts w:ascii="Times New Roman" w:eastAsia="MS Mincho" w:hAnsi="Times New Roman" w:cs="Times New Roman"/>
          <w:lang w:eastAsia="ja-JP"/>
        </w:rPr>
        <w:t xml:space="preserve">. </w:t>
      </w:r>
    </w:p>
    <w:p w14:paraId="2451CC31" w14:textId="77777777" w:rsidR="00600ACC" w:rsidRPr="007012E2" w:rsidRDefault="00600ACC" w:rsidP="00600ACC">
      <w:pPr>
        <w:spacing w:line="276" w:lineRule="auto"/>
        <w:ind w:left="450"/>
        <w:jc w:val="both"/>
        <w:rPr>
          <w:rFonts w:ascii="Times New Roman" w:eastAsia="MS Mincho" w:hAnsi="Times New Roman" w:cs="Times New Roman"/>
          <w:lang w:eastAsia="ja-JP"/>
        </w:rPr>
      </w:pPr>
      <w:r w:rsidRPr="007012E2">
        <w:rPr>
          <w:rFonts w:ascii="Times New Roman" w:eastAsia="MS Mincho" w:hAnsi="Times New Roman" w:cs="Times New Roman"/>
          <w:u w:val="single"/>
          <w:lang w:eastAsia="ja-JP"/>
        </w:rPr>
        <w:t>Carrying Charge</w:t>
      </w:r>
      <w:r w:rsidRPr="007012E2">
        <w:rPr>
          <w:rFonts w:ascii="Times New Roman" w:eastAsia="MS Mincho" w:hAnsi="Times New Roman" w:cs="Times New Roman"/>
          <w:lang w:eastAsia="ja-JP"/>
        </w:rPr>
        <w:t>: On July 29, 2010 in Docket UE-001457, the Commission ordered that the</w:t>
      </w:r>
      <w:r w:rsidR="008265D5">
        <w:rPr>
          <w:rFonts w:ascii="Times New Roman" w:eastAsia="MS Mincho" w:hAnsi="Times New Roman" w:cs="Times New Roman"/>
          <w:lang w:eastAsia="ja-JP"/>
        </w:rPr>
        <w:t xml:space="preserve"> one-way</w:t>
      </w:r>
      <w:r w:rsidRPr="007012E2">
        <w:rPr>
          <w:rFonts w:ascii="Times New Roman" w:eastAsia="MS Mincho" w:hAnsi="Times New Roman" w:cs="Times New Roman"/>
          <w:lang w:eastAsia="ja-JP"/>
        </w:rPr>
        <w:t xml:space="preserve"> carrying charge on negative balances (balances owing to customers) be eliminated going forward.</w:t>
      </w:r>
    </w:p>
    <w:p w14:paraId="2451CC32" w14:textId="77777777" w:rsidR="00600ACC" w:rsidRPr="006A41A0" w:rsidRDefault="00600ACC" w:rsidP="00600ACC">
      <w:pPr>
        <w:spacing w:line="276" w:lineRule="auto"/>
        <w:ind w:left="450"/>
        <w:jc w:val="both"/>
        <w:rPr>
          <w:rFonts w:ascii="Times New Roman" w:eastAsia="MS Mincho" w:hAnsi="Times New Roman" w:cs="Times New Roman"/>
          <w:lang w:eastAsia="ja-JP"/>
        </w:rPr>
      </w:pPr>
      <w:r w:rsidRPr="007012E2">
        <w:rPr>
          <w:rFonts w:ascii="Times New Roman" w:eastAsia="MS Mincho" w:hAnsi="Times New Roman" w:cs="Times New Roman"/>
          <w:u w:val="single"/>
          <w:lang w:eastAsia="ja-JP"/>
        </w:rPr>
        <w:lastRenderedPageBreak/>
        <w:t>Accumulative Balance</w:t>
      </w:r>
      <w:r w:rsidRPr="007012E2">
        <w:rPr>
          <w:rFonts w:ascii="Times New Roman" w:eastAsia="MS Mincho" w:hAnsi="Times New Roman" w:cs="Times New Roman"/>
          <w:lang w:eastAsia="ja-JP"/>
        </w:rPr>
        <w:t>: A running total of account activities</w:t>
      </w:r>
      <w:r w:rsidR="00911894">
        <w:rPr>
          <w:rFonts w:ascii="Times New Roman" w:eastAsia="MS Mincho" w:hAnsi="Times New Roman" w:cs="Times New Roman"/>
          <w:lang w:eastAsia="ja-JP"/>
        </w:rPr>
        <w:t xml:space="preserve"> on a “cash” basis</w:t>
      </w:r>
      <w:r w:rsidRPr="007012E2">
        <w:rPr>
          <w:rFonts w:ascii="Times New Roman" w:eastAsia="MS Mincho" w:hAnsi="Times New Roman" w:cs="Times New Roman"/>
          <w:lang w:eastAsia="ja-JP"/>
        </w:rPr>
        <w:t xml:space="preserve">. A negative </w:t>
      </w:r>
      <w:r w:rsidRPr="0017482B">
        <w:rPr>
          <w:rFonts w:ascii="Times New Roman" w:eastAsia="MS Mincho" w:hAnsi="Times New Roman" w:cs="Times New Roman"/>
          <w:lang w:eastAsia="ja-JP"/>
        </w:rPr>
        <w:t>accumulative balance means cumulative revenue exceeds cumulative expenditures; positive a</w:t>
      </w:r>
      <w:r w:rsidRPr="006A41A0">
        <w:rPr>
          <w:rFonts w:ascii="Times New Roman" w:eastAsia="MS Mincho" w:hAnsi="Times New Roman" w:cs="Times New Roman"/>
          <w:lang w:eastAsia="ja-JP"/>
        </w:rPr>
        <w:t>ccumulative balance means cumulative expenditures exceed cumulative revenue.</w:t>
      </w:r>
    </w:p>
    <w:p w14:paraId="2451CC33" w14:textId="77777777" w:rsidR="00954308" w:rsidRDefault="0017482B" w:rsidP="00600ACC">
      <w:pPr>
        <w:spacing w:line="276" w:lineRule="auto"/>
        <w:ind w:left="450"/>
        <w:jc w:val="both"/>
        <w:rPr>
          <w:rFonts w:ascii="Times New Roman" w:eastAsiaTheme="minorEastAsia" w:hAnsi="Times New Roman" w:cs="Times New Roman"/>
          <w:lang w:bidi="en-US"/>
        </w:rPr>
      </w:pPr>
      <w:r>
        <w:rPr>
          <w:rFonts w:ascii="Times New Roman" w:eastAsia="MS Mincho" w:hAnsi="Times New Roman" w:cs="Times New Roman"/>
          <w:u w:val="single"/>
          <w:lang w:eastAsia="ja-JP"/>
        </w:rPr>
        <w:t xml:space="preserve">Monthly Net </w:t>
      </w:r>
      <w:r w:rsidR="00600ACC" w:rsidRPr="0017482B">
        <w:rPr>
          <w:rFonts w:ascii="Times New Roman" w:eastAsia="MS Mincho" w:hAnsi="Times New Roman" w:cs="Times New Roman"/>
          <w:u w:val="single"/>
          <w:lang w:eastAsia="ja-JP"/>
        </w:rPr>
        <w:t>Accrued Costs</w:t>
      </w:r>
      <w:r w:rsidR="00600ACC" w:rsidRPr="0017482B">
        <w:rPr>
          <w:rFonts w:ascii="Times New Roman" w:eastAsia="MS Mincho" w:hAnsi="Times New Roman" w:cs="Times New Roman"/>
          <w:lang w:eastAsia="ja-JP"/>
        </w:rPr>
        <w:t xml:space="preserve">:  </w:t>
      </w:r>
      <w:r w:rsidRPr="0017482B">
        <w:rPr>
          <w:rFonts w:ascii="Times New Roman" w:eastAsiaTheme="minorEastAsia" w:hAnsi="Times New Roman" w:cs="Times New Roman"/>
          <w:lang w:bidi="en-US"/>
        </w:rPr>
        <w:t>Two</w:t>
      </w:r>
      <w:r w:rsidRPr="00831FD1">
        <w:rPr>
          <w:rFonts w:ascii="Times New Roman" w:eastAsiaTheme="minorEastAsia" w:hAnsi="Times New Roman" w:cs="Times New Roman"/>
          <w:lang w:bidi="en-US"/>
        </w:rPr>
        <w:t xml:space="preserve"> accrual entries are made each month for expenditures of energy efficiency programs. </w:t>
      </w:r>
      <w:r>
        <w:rPr>
          <w:rFonts w:ascii="Times New Roman" w:eastAsiaTheme="minorEastAsia" w:hAnsi="Times New Roman" w:cs="Times New Roman"/>
          <w:lang w:bidi="en-US"/>
        </w:rPr>
        <w:t>One</w:t>
      </w:r>
      <w:r w:rsidRPr="00831FD1">
        <w:rPr>
          <w:rFonts w:ascii="Times New Roman" w:eastAsiaTheme="minorEastAsia" w:hAnsi="Times New Roman" w:cs="Times New Roman"/>
          <w:lang w:bidi="en-US"/>
        </w:rPr>
        <w:t xml:space="preserve"> estimates the incurred cost not yet processed, and the </w:t>
      </w:r>
      <w:r>
        <w:rPr>
          <w:rFonts w:ascii="Times New Roman" w:eastAsiaTheme="minorEastAsia" w:hAnsi="Times New Roman" w:cs="Times New Roman"/>
          <w:lang w:bidi="en-US"/>
        </w:rPr>
        <w:t>other</w:t>
      </w:r>
      <w:r w:rsidRPr="00831FD1">
        <w:rPr>
          <w:rFonts w:ascii="Times New Roman" w:eastAsiaTheme="minorEastAsia" w:hAnsi="Times New Roman" w:cs="Times New Roman"/>
          <w:lang w:bidi="en-US"/>
        </w:rPr>
        <w:t xml:space="preserve"> reverses the estimate from the previous month. The amount shown here is the net of the two entries. </w:t>
      </w:r>
    </w:p>
    <w:p w14:paraId="2451CC34" w14:textId="77777777" w:rsidR="00600ACC" w:rsidRPr="007012E2" w:rsidRDefault="00600ACC" w:rsidP="00600ACC">
      <w:pPr>
        <w:spacing w:line="276" w:lineRule="auto"/>
        <w:ind w:left="450"/>
        <w:jc w:val="both"/>
        <w:rPr>
          <w:rFonts w:ascii="Times New Roman" w:eastAsia="MS Mincho" w:hAnsi="Times New Roman" w:cs="Times New Roman"/>
          <w:lang w:eastAsia="ja-JP"/>
        </w:rPr>
      </w:pPr>
      <w:r w:rsidRPr="007012E2">
        <w:rPr>
          <w:rFonts w:ascii="Times New Roman" w:eastAsia="MS Mincho" w:hAnsi="Times New Roman" w:cs="Times New Roman"/>
          <w:u w:val="single"/>
          <w:lang w:eastAsia="ja-JP"/>
        </w:rPr>
        <w:t>Accrual Basis Accumulative Balance</w:t>
      </w:r>
      <w:r w:rsidRPr="007012E2">
        <w:rPr>
          <w:rFonts w:ascii="Times New Roman" w:eastAsia="MS Mincho" w:hAnsi="Times New Roman" w:cs="Times New Roman"/>
          <w:lang w:eastAsia="ja-JP"/>
        </w:rPr>
        <w:t>:  Current balance of account including accrued costs.</w:t>
      </w:r>
    </w:p>
    <w:p w14:paraId="2451CC35" w14:textId="77777777" w:rsidR="00600ACC" w:rsidRDefault="00600ACC" w:rsidP="00600ACC">
      <w:pPr>
        <w:jc w:val="both"/>
        <w:rPr>
          <w:rFonts w:ascii="Times New Roman" w:eastAsia="MS Mincho" w:hAnsi="Times New Roman" w:cs="Times New Roman"/>
          <w:sz w:val="24"/>
          <w:szCs w:val="24"/>
          <w:lang w:eastAsia="ja-JP"/>
        </w:rPr>
      </w:pPr>
    </w:p>
    <w:p w14:paraId="2451CC36" w14:textId="77777777" w:rsidR="00600ACC" w:rsidRPr="007716B1" w:rsidRDefault="00600ACC" w:rsidP="009D1B07">
      <w:pPr>
        <w:rPr>
          <w:rFonts w:ascii="Times New Roman" w:hAnsi="Times New Roman" w:cs="Times New Roman"/>
          <w:color w:val="548DD4" w:themeColor="text2" w:themeTint="99"/>
          <w:sz w:val="24"/>
          <w:szCs w:val="24"/>
        </w:rPr>
        <w:sectPr w:rsidR="00600ACC" w:rsidRPr="007716B1" w:rsidSect="008F3BD4">
          <w:headerReference w:type="default" r:id="rId32"/>
          <w:headerReference w:type="first" r:id="rId33"/>
          <w:pgSz w:w="12240" w:h="15840"/>
          <w:pgMar w:top="1440" w:right="1440" w:bottom="1440" w:left="1440" w:header="720" w:footer="720" w:gutter="0"/>
          <w:cols w:space="720"/>
          <w:titlePg/>
          <w:docGrid w:linePitch="360"/>
        </w:sectPr>
      </w:pPr>
    </w:p>
    <w:p w14:paraId="2451CC37" w14:textId="77777777" w:rsidR="001E0592" w:rsidRPr="007716B1" w:rsidRDefault="001E0592" w:rsidP="00EB7445">
      <w:pPr>
        <w:pStyle w:val="Heading1"/>
        <w:spacing w:before="240"/>
        <w:rPr>
          <w:b w:val="0"/>
          <w:sz w:val="24"/>
        </w:rPr>
      </w:pPr>
      <w:bookmarkStart w:id="7" w:name="_Toc449510472"/>
      <w:r w:rsidRPr="00645738">
        <w:lastRenderedPageBreak/>
        <w:t>Planning Process</w:t>
      </w:r>
      <w:bookmarkEnd w:id="7"/>
    </w:p>
    <w:p w14:paraId="2451CC38" w14:textId="77777777" w:rsidR="001E0592" w:rsidRPr="007716B1" w:rsidRDefault="001E0592" w:rsidP="00CE0B1A">
      <w:pPr>
        <w:pStyle w:val="Heading2"/>
      </w:pPr>
      <w:bookmarkStart w:id="8" w:name="_Toc449510473"/>
      <w:r>
        <w:t>Integrated Resource Plan</w:t>
      </w:r>
      <w:bookmarkEnd w:id="8"/>
    </w:p>
    <w:p w14:paraId="2451CC39" w14:textId="77777777" w:rsidR="001E0592" w:rsidRPr="007716B1" w:rsidRDefault="001E0592" w:rsidP="001E0592">
      <w:pPr>
        <w:jc w:val="both"/>
        <w:rPr>
          <w:rFonts w:ascii="Times New Roman" w:hAnsi="Times New Roman" w:cs="Times New Roman"/>
          <w:color w:val="548DD4" w:themeColor="text2" w:themeTint="99"/>
          <w:sz w:val="24"/>
          <w:szCs w:val="24"/>
        </w:rPr>
      </w:pPr>
    </w:p>
    <w:p w14:paraId="2451CC3A"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 xml:space="preserve">The Company develops a biennial integrated resource plan </w:t>
      </w:r>
      <w:r w:rsidR="006F432A">
        <w:rPr>
          <w:rFonts w:ascii="Times New Roman" w:hAnsi="Times New Roman" w:cs="Times New Roman"/>
          <w:sz w:val="24"/>
          <w:szCs w:val="24"/>
        </w:rPr>
        <w:t>(</w:t>
      </w:r>
      <w:r>
        <w:rPr>
          <w:rFonts w:ascii="Times New Roman" w:hAnsi="Times New Roman" w:cs="Times New Roman"/>
          <w:sz w:val="24"/>
          <w:szCs w:val="24"/>
        </w:rPr>
        <w:t>IRP</w:t>
      </w:r>
      <w:r w:rsidR="006F432A">
        <w:rPr>
          <w:rFonts w:ascii="Times New Roman" w:hAnsi="Times New Roman" w:cs="Times New Roman"/>
          <w:sz w:val="24"/>
          <w:szCs w:val="24"/>
        </w:rPr>
        <w:t>)</w:t>
      </w:r>
      <w:r>
        <w:rPr>
          <w:rFonts w:ascii="Times New Roman" w:hAnsi="Times New Roman" w:cs="Times New Roman"/>
          <w:sz w:val="24"/>
          <w:szCs w:val="24"/>
        </w:rPr>
        <w:t xml:space="preserve"> as a means of balancing cost, risk, uncertainty, supply reliability/deliverability and long-run public policy goals.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plan presents a framework of future actions to ensure the Company continues to provide reliable, reasonable-cost service with manageable risks to the Company’s customers. Energy efficiency and peak management opportunities are incorporated into the IRP based on their availability, characteristics and costs.</w:t>
      </w:r>
    </w:p>
    <w:p w14:paraId="2451CC3B" w14:textId="77777777" w:rsidR="00DD4B5D" w:rsidRPr="007716B1" w:rsidRDefault="00DD4B5D" w:rsidP="00DD4B5D">
      <w:pPr>
        <w:jc w:val="both"/>
        <w:rPr>
          <w:rFonts w:ascii="Times New Roman" w:hAnsi="Times New Roman" w:cs="Times New Roman"/>
          <w:sz w:val="24"/>
          <w:szCs w:val="24"/>
        </w:rPr>
      </w:pPr>
    </w:p>
    <w:p w14:paraId="2451CC3C"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Energy efficiency and peak management resources are divided into four general classes:</w:t>
      </w:r>
    </w:p>
    <w:p w14:paraId="2451CC3D" w14:textId="77777777" w:rsidR="00DD4B5D" w:rsidRPr="007716B1" w:rsidRDefault="00DD4B5D" w:rsidP="00DD4B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Class 1 DSM (Resources from fully dispatchable or scheduled firm capacity product offerings/programs) – Capacity savings occur as a result of active Company control or advanced scheduling. After customers agree to participate, the timing and persistence of the load reduction is involuntary on their part within the agreed limits and parameters.</w:t>
      </w:r>
    </w:p>
    <w:p w14:paraId="2451CC3E" w14:textId="77777777" w:rsidR="00DD4B5D" w:rsidRPr="007716B1" w:rsidRDefault="00DD4B5D" w:rsidP="00DD4B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Class 2 DSM (Resources from non-dispatchable, firm energy and capacity product offerings/programs) – Sustainable energy and related capacity savings are achieved through facilitation of technological advancements in equipment, appliances, lighting and structures or repeatable and predictable voluntary actions by customers to manage the energy use at their facility or home, also commonly referred to as energy efficiency resources.</w:t>
      </w:r>
    </w:p>
    <w:p w14:paraId="2451CC3F" w14:textId="77777777" w:rsidR="00DD4B5D" w:rsidRPr="007716B1" w:rsidRDefault="00DD4B5D" w:rsidP="00DD4B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Class 3 DSM (Resources from price responsive energy and capacity product offerings/programs) – Short-duration energy and capacity savings from actions taken by customers voluntarily based on pricing incentives or signals.</w:t>
      </w:r>
    </w:p>
    <w:p w14:paraId="2451CC40" w14:textId="77777777" w:rsidR="00DD4B5D" w:rsidRPr="007716B1" w:rsidRDefault="00DD4B5D" w:rsidP="00DD4B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Class 4 DSM (Resources from non-incented behavioral-based savings achieved through broad energy education and communication effort) – Energy and/or capacity reduction typically achieved from voluntary actions taken by customers to reduce costs or benefit the environment through education, communication and/or public pleas.</w:t>
      </w:r>
    </w:p>
    <w:p w14:paraId="2451CC41" w14:textId="77777777" w:rsidR="00DD4B5D" w:rsidRPr="007716B1" w:rsidRDefault="00DD4B5D" w:rsidP="00DD4B5D">
      <w:pPr>
        <w:jc w:val="both"/>
        <w:rPr>
          <w:rFonts w:ascii="Times New Roman" w:hAnsi="Times New Roman" w:cs="Times New Roman"/>
          <w:sz w:val="24"/>
          <w:szCs w:val="24"/>
        </w:rPr>
      </w:pPr>
    </w:p>
    <w:p w14:paraId="2451CC42" w14:textId="77777777" w:rsidR="00DD4B5D" w:rsidRDefault="00DD4B5D" w:rsidP="00DD4B5D">
      <w:pPr>
        <w:jc w:val="both"/>
        <w:rPr>
          <w:rFonts w:ascii="Times New Roman" w:hAnsi="Times New Roman" w:cs="Times New Roman"/>
          <w:sz w:val="24"/>
          <w:szCs w:val="24"/>
        </w:rPr>
      </w:pPr>
      <w:r>
        <w:rPr>
          <w:rFonts w:ascii="Times New Roman" w:hAnsi="Times New Roman" w:cs="Times New Roman"/>
          <w:sz w:val="24"/>
          <w:szCs w:val="24"/>
        </w:rPr>
        <w:t>Class, 1, 2</w:t>
      </w:r>
      <w:r w:rsidR="006F432A">
        <w:rPr>
          <w:rFonts w:ascii="Times New Roman" w:hAnsi="Times New Roman" w:cs="Times New Roman"/>
          <w:sz w:val="24"/>
          <w:szCs w:val="24"/>
        </w:rPr>
        <w:t>,</w:t>
      </w:r>
      <w:r>
        <w:rPr>
          <w:rFonts w:ascii="Times New Roman" w:hAnsi="Times New Roman" w:cs="Times New Roman"/>
          <w:sz w:val="24"/>
          <w:szCs w:val="24"/>
        </w:rPr>
        <w:t xml:space="preserve"> and 3 DSM resources are included as resource options in the resource planning process. Class 4 DSM actions are not considered explicitly in the resource planning process, however, the impacts are captured naturally in long-term load growth patterns and forecasts. </w:t>
      </w:r>
    </w:p>
    <w:p w14:paraId="2451CC43" w14:textId="77777777" w:rsidR="00DD4B5D" w:rsidRDefault="00DD4B5D" w:rsidP="00DD4B5D">
      <w:pPr>
        <w:jc w:val="both"/>
        <w:rPr>
          <w:rFonts w:ascii="Times New Roman" w:hAnsi="Times New Roman" w:cs="Times New Roman"/>
          <w:sz w:val="24"/>
          <w:szCs w:val="24"/>
        </w:rPr>
      </w:pPr>
    </w:p>
    <w:p w14:paraId="2451CC44"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As technical support for the IRP, a third-party demand-side resource potential assessment (Potentials Assessment) is conducted to estimate the magnitude, timing and cost of energy efficiency and peak management resources.</w:t>
      </w:r>
      <w:r w:rsidRPr="007716B1">
        <w:rPr>
          <w:rStyle w:val="FootnoteReference"/>
          <w:rFonts w:ascii="Times New Roman" w:hAnsi="Times New Roman" w:cs="Times New Roman"/>
          <w:sz w:val="24"/>
          <w:szCs w:val="24"/>
        </w:rPr>
        <w:footnoteReference w:id="12"/>
      </w:r>
      <w:r w:rsidRPr="007716B1">
        <w:rPr>
          <w:rFonts w:ascii="Times New Roman" w:hAnsi="Times New Roman" w:cs="Times New Roman"/>
          <w:sz w:val="24"/>
          <w:szCs w:val="24"/>
        </w:rPr>
        <w:t xml:space="preserve"> The main focus of the </w:t>
      </w:r>
      <w:r>
        <w:rPr>
          <w:rFonts w:ascii="Times New Roman" w:hAnsi="Times New Roman" w:cs="Times New Roman"/>
          <w:sz w:val="24"/>
          <w:szCs w:val="24"/>
        </w:rPr>
        <w:t>Potentials Assessment</w:t>
      </w:r>
      <w:r w:rsidRPr="007716B1">
        <w:rPr>
          <w:rFonts w:ascii="Times New Roman" w:hAnsi="Times New Roman" w:cs="Times New Roman"/>
          <w:sz w:val="24"/>
          <w:szCs w:val="24"/>
        </w:rPr>
        <w:t xml:space="preserve"> </w:t>
      </w:r>
      <w:r>
        <w:rPr>
          <w:rFonts w:ascii="Times New Roman" w:hAnsi="Times New Roman" w:cs="Times New Roman"/>
          <w:sz w:val="24"/>
          <w:szCs w:val="24"/>
        </w:rPr>
        <w:t>is</w:t>
      </w:r>
      <w:r w:rsidRPr="007716B1">
        <w:rPr>
          <w:rFonts w:ascii="Times New Roman" w:hAnsi="Times New Roman" w:cs="Times New Roman"/>
          <w:sz w:val="24"/>
          <w:szCs w:val="24"/>
        </w:rPr>
        <w:t xml:space="preserve"> on resources with sufficient reliability characteristics </w:t>
      </w:r>
      <w:r>
        <w:rPr>
          <w:rFonts w:ascii="Times New Roman" w:hAnsi="Times New Roman" w:cs="Times New Roman"/>
          <w:sz w:val="24"/>
          <w:szCs w:val="24"/>
        </w:rPr>
        <w:t xml:space="preserve">that are anticipated to be technically feasible and assumed achievable during the IRP’s 20-year planning horizon. The estimated achievable energy efficiency potential identified in the 2015 Potentials Assessment for Washington is </w:t>
      </w:r>
      <w:r>
        <w:rPr>
          <w:rFonts w:ascii="Times New Roman" w:hAnsi="Times New Roman" w:cs="Times New Roman"/>
          <w:sz w:val="24"/>
          <w:szCs w:val="24"/>
        </w:rPr>
        <w:lastRenderedPageBreak/>
        <w:t>948</w:t>
      </w:r>
      <w:r w:rsidR="006F432A">
        <w:rPr>
          <w:rFonts w:ascii="Times New Roman" w:hAnsi="Times New Roman" w:cs="Times New Roman"/>
          <w:sz w:val="24"/>
          <w:szCs w:val="24"/>
        </w:rPr>
        <w:t> </w:t>
      </w:r>
      <w:r>
        <w:rPr>
          <w:rFonts w:ascii="Times New Roman" w:hAnsi="Times New Roman" w:cs="Times New Roman"/>
          <w:sz w:val="24"/>
          <w:szCs w:val="24"/>
        </w:rPr>
        <w:t>GWh by 2034, or 21 percent of projected baseline loads</w:t>
      </w:r>
      <w:r w:rsidRPr="00474C62">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7716B1">
        <w:rPr>
          <w:rFonts w:ascii="Times New Roman" w:hAnsi="Times New Roman" w:cs="Times New Roman"/>
          <w:sz w:val="24"/>
          <w:szCs w:val="24"/>
        </w:rPr>
        <w:t xml:space="preserve"> By definition this </w:t>
      </w:r>
      <w:r>
        <w:rPr>
          <w:rFonts w:ascii="Times New Roman" w:hAnsi="Times New Roman" w:cs="Times New Roman"/>
          <w:sz w:val="24"/>
          <w:szCs w:val="24"/>
        </w:rPr>
        <w:t>is</w:t>
      </w:r>
      <w:r w:rsidRPr="007716B1">
        <w:rPr>
          <w:rFonts w:ascii="Times New Roman" w:hAnsi="Times New Roman" w:cs="Times New Roman"/>
          <w:sz w:val="24"/>
          <w:szCs w:val="24"/>
        </w:rPr>
        <w:t xml:space="preserve"> the energy efficiency potential that </w:t>
      </w:r>
      <w:r>
        <w:rPr>
          <w:rFonts w:ascii="Times New Roman" w:hAnsi="Times New Roman" w:cs="Times New Roman"/>
          <w:sz w:val="24"/>
          <w:szCs w:val="24"/>
        </w:rPr>
        <w:t xml:space="preserve">may be </w:t>
      </w:r>
      <w:r w:rsidRPr="007716B1">
        <w:rPr>
          <w:rFonts w:ascii="Times New Roman" w:hAnsi="Times New Roman" w:cs="Times New Roman"/>
          <w:sz w:val="24"/>
          <w:szCs w:val="24"/>
        </w:rPr>
        <w:t>achievable to acquire during the 20-year planning horizon</w:t>
      </w:r>
      <w:r>
        <w:rPr>
          <w:rFonts w:ascii="Times New Roman" w:hAnsi="Times New Roman" w:cs="Times New Roman"/>
          <w:sz w:val="24"/>
          <w:szCs w:val="24"/>
        </w:rPr>
        <w:t>; prior to screening for cost-effectiveness through the Company’s integrated resource planning process</w:t>
      </w:r>
      <w:r w:rsidRPr="007716B1">
        <w:rPr>
          <w:rFonts w:ascii="Times New Roman" w:hAnsi="Times New Roman" w:cs="Times New Roman"/>
          <w:sz w:val="24"/>
          <w:szCs w:val="24"/>
        </w:rPr>
        <w:t>.</w:t>
      </w:r>
    </w:p>
    <w:p w14:paraId="2451CC45" w14:textId="77777777" w:rsidR="00DD4B5D" w:rsidRPr="007716B1" w:rsidRDefault="00DD4B5D" w:rsidP="00DD4B5D">
      <w:pPr>
        <w:jc w:val="both"/>
        <w:rPr>
          <w:rFonts w:ascii="Times New Roman" w:hAnsi="Times New Roman" w:cs="Times New Roman"/>
          <w:sz w:val="24"/>
          <w:szCs w:val="24"/>
        </w:rPr>
      </w:pPr>
    </w:p>
    <w:p w14:paraId="2451CC46" w14:textId="77777777" w:rsidR="00DD4B5D" w:rsidRPr="007716B1" w:rsidRDefault="00DD4B5D" w:rsidP="00DD4B5D">
      <w:pPr>
        <w:jc w:val="both"/>
        <w:rPr>
          <w:rFonts w:ascii="Times New Roman" w:hAnsi="Times New Roman" w:cs="Times New Roman"/>
          <w:sz w:val="24"/>
          <w:szCs w:val="24"/>
        </w:rPr>
      </w:pPr>
      <w:r w:rsidRPr="007716B1">
        <w:rPr>
          <w:rFonts w:ascii="Times New Roman" w:hAnsi="Times New Roman" w:cs="Times New Roman"/>
          <w:sz w:val="24"/>
          <w:szCs w:val="24"/>
        </w:rPr>
        <w:t xml:space="preserve">The achievable technical potential </w:t>
      </w:r>
      <w:r>
        <w:rPr>
          <w:rFonts w:ascii="Times New Roman" w:hAnsi="Times New Roman" w:cs="Times New Roman"/>
          <w:sz w:val="24"/>
          <w:szCs w:val="24"/>
        </w:rPr>
        <w:t xml:space="preserve">of Class 2 (energy efficiency) resources for Washington </w:t>
      </w:r>
      <w:r w:rsidRPr="007716B1">
        <w:rPr>
          <w:rFonts w:ascii="Times New Roman" w:hAnsi="Times New Roman" w:cs="Times New Roman"/>
          <w:sz w:val="24"/>
          <w:szCs w:val="24"/>
        </w:rPr>
        <w:t xml:space="preserve">by sector is shown in </w:t>
      </w:r>
      <w:r>
        <w:rPr>
          <w:rFonts w:ascii="Times New Roman" w:hAnsi="Times New Roman" w:cs="Times New Roman"/>
          <w:sz w:val="24"/>
          <w:szCs w:val="24"/>
        </w:rPr>
        <w:t>T</w:t>
      </w:r>
      <w:r w:rsidRPr="007716B1">
        <w:rPr>
          <w:rFonts w:ascii="Times New Roman" w:hAnsi="Times New Roman" w:cs="Times New Roman"/>
          <w:sz w:val="24"/>
          <w:szCs w:val="24"/>
        </w:rPr>
        <w:t xml:space="preserve">able </w:t>
      </w:r>
      <w:r>
        <w:rPr>
          <w:rFonts w:ascii="Times New Roman" w:hAnsi="Times New Roman" w:cs="Times New Roman"/>
          <w:sz w:val="24"/>
          <w:szCs w:val="24"/>
        </w:rPr>
        <w:t>4</w:t>
      </w:r>
      <w:r w:rsidRPr="007716B1">
        <w:rPr>
          <w:rFonts w:ascii="Times New Roman" w:hAnsi="Times New Roman" w:cs="Times New Roman"/>
          <w:sz w:val="24"/>
          <w:szCs w:val="24"/>
        </w:rPr>
        <w:t>. The 201</w:t>
      </w:r>
      <w:r>
        <w:rPr>
          <w:rFonts w:ascii="Times New Roman" w:hAnsi="Times New Roman" w:cs="Times New Roman"/>
          <w:sz w:val="24"/>
          <w:szCs w:val="24"/>
        </w:rPr>
        <w:t>5</w:t>
      </w:r>
      <w:r w:rsidRPr="007716B1">
        <w:rPr>
          <w:rFonts w:ascii="Times New Roman" w:hAnsi="Times New Roman" w:cs="Times New Roman"/>
          <w:sz w:val="24"/>
          <w:szCs w:val="24"/>
        </w:rPr>
        <w:t xml:space="preserve"> </w:t>
      </w:r>
      <w:r>
        <w:rPr>
          <w:rFonts w:ascii="Times New Roman" w:hAnsi="Times New Roman" w:cs="Times New Roman"/>
          <w:sz w:val="24"/>
          <w:szCs w:val="24"/>
        </w:rPr>
        <w:t>P</w:t>
      </w:r>
      <w:r w:rsidRPr="007716B1">
        <w:rPr>
          <w:rFonts w:ascii="Times New Roman" w:hAnsi="Times New Roman" w:cs="Times New Roman"/>
          <w:sz w:val="24"/>
          <w:szCs w:val="24"/>
        </w:rPr>
        <w:t>otential</w:t>
      </w:r>
      <w:r>
        <w:rPr>
          <w:rFonts w:ascii="Times New Roman" w:hAnsi="Times New Roman" w:cs="Times New Roman"/>
          <w:sz w:val="24"/>
          <w:szCs w:val="24"/>
        </w:rPr>
        <w:t>s</w:t>
      </w:r>
      <w:r w:rsidRPr="007716B1">
        <w:rPr>
          <w:rFonts w:ascii="Times New Roman" w:hAnsi="Times New Roman" w:cs="Times New Roman"/>
          <w:sz w:val="24"/>
          <w:szCs w:val="24"/>
        </w:rPr>
        <w:t xml:space="preserve"> </w:t>
      </w:r>
      <w:r>
        <w:rPr>
          <w:rFonts w:ascii="Times New Roman" w:hAnsi="Times New Roman" w:cs="Times New Roman"/>
          <w:sz w:val="24"/>
          <w:szCs w:val="24"/>
        </w:rPr>
        <w:t>Assessment</w:t>
      </w:r>
      <w:r w:rsidRPr="007716B1">
        <w:rPr>
          <w:rFonts w:ascii="Times New Roman" w:hAnsi="Times New Roman" w:cs="Times New Roman"/>
          <w:sz w:val="24"/>
          <w:szCs w:val="24"/>
        </w:rPr>
        <w:t xml:space="preserve"> indicates that </w:t>
      </w:r>
      <w:r w:rsidR="00210B55">
        <w:rPr>
          <w:rFonts w:ascii="Times New Roman" w:hAnsi="Times New Roman" w:cs="Times New Roman"/>
          <w:sz w:val="24"/>
          <w:szCs w:val="24"/>
        </w:rPr>
        <w:t xml:space="preserve">approximately nine </w:t>
      </w:r>
      <w:r>
        <w:rPr>
          <w:rFonts w:ascii="Times New Roman" w:hAnsi="Times New Roman" w:cs="Times New Roman"/>
          <w:sz w:val="24"/>
          <w:szCs w:val="24"/>
        </w:rPr>
        <w:t>percent</w:t>
      </w:r>
      <w:r w:rsidRPr="007716B1">
        <w:rPr>
          <w:rFonts w:ascii="Times New Roman" w:hAnsi="Times New Roman" w:cs="Times New Roman"/>
          <w:sz w:val="24"/>
          <w:szCs w:val="24"/>
        </w:rPr>
        <w:t xml:space="preserve"> of the achievable technical potential for the </w:t>
      </w:r>
      <w:r>
        <w:rPr>
          <w:rFonts w:ascii="Times New Roman" w:hAnsi="Times New Roman" w:cs="Times New Roman"/>
          <w:sz w:val="24"/>
          <w:szCs w:val="24"/>
        </w:rPr>
        <w:t>C</w:t>
      </w:r>
      <w:r w:rsidRPr="007716B1">
        <w:rPr>
          <w:rFonts w:ascii="Times New Roman" w:hAnsi="Times New Roman" w:cs="Times New Roman"/>
          <w:sz w:val="24"/>
          <w:szCs w:val="24"/>
        </w:rPr>
        <w:t>ompany</w:t>
      </w:r>
      <w:r>
        <w:rPr>
          <w:rFonts w:ascii="Times New Roman" w:hAnsi="Times New Roman" w:cs="Times New Roman"/>
          <w:sz w:val="24"/>
          <w:szCs w:val="24"/>
        </w:rPr>
        <w:t>, excluding Oregon,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7716B1">
        <w:rPr>
          <w:rFonts w:ascii="Times New Roman" w:hAnsi="Times New Roman" w:cs="Times New Roman"/>
          <w:sz w:val="24"/>
          <w:szCs w:val="24"/>
        </w:rPr>
        <w:t xml:space="preserve">is </w:t>
      </w:r>
      <w:r>
        <w:rPr>
          <w:rFonts w:ascii="Times New Roman" w:hAnsi="Times New Roman" w:cs="Times New Roman"/>
          <w:sz w:val="24"/>
          <w:szCs w:val="24"/>
        </w:rPr>
        <w:t>available within its Washington service area</w:t>
      </w:r>
      <w:r w:rsidRPr="007716B1">
        <w:rPr>
          <w:rFonts w:ascii="Times New Roman" w:hAnsi="Times New Roman" w:cs="Times New Roman"/>
          <w:sz w:val="24"/>
          <w:szCs w:val="24"/>
        </w:rPr>
        <w:t>.</w:t>
      </w:r>
      <w:r w:rsidRPr="007716B1">
        <w:rPr>
          <w:rStyle w:val="FootnoteReference"/>
          <w:rFonts w:ascii="Times New Roman" w:hAnsi="Times New Roman" w:cs="Times New Roman"/>
          <w:sz w:val="24"/>
          <w:szCs w:val="24"/>
        </w:rPr>
        <w:footnoteReference w:id="15"/>
      </w:r>
    </w:p>
    <w:p w14:paraId="2451CC47" w14:textId="77777777" w:rsidR="00DD4B5D" w:rsidRPr="007716B1" w:rsidRDefault="00DD4B5D" w:rsidP="00DD4B5D">
      <w:pPr>
        <w:jc w:val="both"/>
        <w:rPr>
          <w:rFonts w:ascii="Times New Roman" w:hAnsi="Times New Roman" w:cs="Times New Roman"/>
          <w:sz w:val="24"/>
          <w:szCs w:val="24"/>
        </w:rPr>
      </w:pPr>
    </w:p>
    <w:p w14:paraId="2451CC48" w14:textId="77777777" w:rsidR="00DD4B5D" w:rsidRPr="007716B1" w:rsidRDefault="00DD4B5D" w:rsidP="00DD4B5D">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4</w:t>
      </w:r>
    </w:p>
    <w:p w14:paraId="2451CC49" w14:textId="77777777" w:rsidR="00DD4B5D" w:rsidRPr="007716B1" w:rsidRDefault="00DD4B5D" w:rsidP="00DD4B5D">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Washington Energy Efficiency Achievable Technical Potential by Sector</w:t>
      </w:r>
    </w:p>
    <w:p w14:paraId="2451CC4A" w14:textId="77777777" w:rsidR="00DD4B5D" w:rsidRPr="007716B1" w:rsidRDefault="00DD4B5D" w:rsidP="00DD4B5D">
      <w:pPr>
        <w:rPr>
          <w:rFonts w:ascii="Times New Roman" w:hAnsi="Times New Roman" w:cs="Times New Roman"/>
          <w:sz w:val="24"/>
          <w:szCs w:val="24"/>
        </w:rPr>
      </w:pPr>
    </w:p>
    <w:tbl>
      <w:tblPr>
        <w:tblStyle w:val="TableGrid"/>
        <w:tblW w:w="7740" w:type="dxa"/>
        <w:tblInd w:w="91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314"/>
        <w:gridCol w:w="2086"/>
        <w:gridCol w:w="2340"/>
      </w:tblGrid>
      <w:tr w:rsidR="00DD4B5D" w:rsidRPr="007716B1" w14:paraId="2451CC4E" w14:textId="77777777" w:rsidTr="00986EBF">
        <w:tc>
          <w:tcPr>
            <w:tcW w:w="3314" w:type="dxa"/>
            <w:shd w:val="clear" w:color="auto" w:fill="C6D9F1" w:themeFill="text2" w:themeFillTint="33"/>
            <w:vAlign w:val="bottom"/>
          </w:tcPr>
          <w:p w14:paraId="2451CC4B" w14:textId="77777777" w:rsidR="00DD4B5D" w:rsidRPr="00986EBF" w:rsidRDefault="00DD4B5D" w:rsidP="00DD4B5D">
            <w:pPr>
              <w:jc w:val="center"/>
              <w:rPr>
                <w:rFonts w:cs="Times New Roman"/>
                <w:b/>
                <w:sz w:val="20"/>
                <w:szCs w:val="24"/>
              </w:rPr>
            </w:pPr>
            <w:r w:rsidRPr="00986EBF">
              <w:rPr>
                <w:rFonts w:cs="Times New Roman"/>
                <w:b/>
                <w:sz w:val="20"/>
                <w:szCs w:val="24"/>
              </w:rPr>
              <w:t>Sector</w:t>
            </w:r>
          </w:p>
        </w:tc>
        <w:tc>
          <w:tcPr>
            <w:tcW w:w="2086" w:type="dxa"/>
            <w:shd w:val="clear" w:color="auto" w:fill="C6D9F1" w:themeFill="text2" w:themeFillTint="33"/>
            <w:vAlign w:val="bottom"/>
          </w:tcPr>
          <w:p w14:paraId="2451CC4C" w14:textId="77777777" w:rsidR="00DD4B5D" w:rsidRPr="00986EBF" w:rsidRDefault="00DD4B5D" w:rsidP="00DD4B5D">
            <w:pPr>
              <w:jc w:val="center"/>
              <w:rPr>
                <w:rFonts w:cs="Times New Roman"/>
                <w:b/>
                <w:sz w:val="20"/>
                <w:szCs w:val="24"/>
              </w:rPr>
            </w:pPr>
            <w:r w:rsidRPr="00986EBF">
              <w:rPr>
                <w:rFonts w:cs="Times New Roman"/>
                <w:b/>
                <w:sz w:val="20"/>
                <w:szCs w:val="24"/>
              </w:rPr>
              <w:t>Cumulative GWh in 2034</w:t>
            </w:r>
          </w:p>
        </w:tc>
        <w:tc>
          <w:tcPr>
            <w:tcW w:w="2340" w:type="dxa"/>
            <w:shd w:val="clear" w:color="auto" w:fill="C6D9F1" w:themeFill="text2" w:themeFillTint="33"/>
            <w:vAlign w:val="bottom"/>
          </w:tcPr>
          <w:p w14:paraId="2451CC4D" w14:textId="77777777" w:rsidR="00DD4B5D" w:rsidRPr="00986EBF" w:rsidRDefault="00DD4B5D" w:rsidP="00DD4B5D">
            <w:pPr>
              <w:jc w:val="center"/>
              <w:rPr>
                <w:rFonts w:cs="Times New Roman"/>
                <w:b/>
                <w:sz w:val="20"/>
                <w:szCs w:val="24"/>
              </w:rPr>
            </w:pPr>
            <w:r w:rsidRPr="00986EBF">
              <w:rPr>
                <w:rFonts w:cs="Times New Roman"/>
                <w:b/>
                <w:sz w:val="20"/>
                <w:szCs w:val="24"/>
              </w:rPr>
              <w:t>Percent of Baseline Sales</w:t>
            </w:r>
          </w:p>
        </w:tc>
      </w:tr>
      <w:tr w:rsidR="00DD4B5D" w:rsidRPr="007716B1" w14:paraId="2451CC52" w14:textId="77777777" w:rsidTr="00DD4B5D">
        <w:tc>
          <w:tcPr>
            <w:tcW w:w="3314" w:type="dxa"/>
          </w:tcPr>
          <w:p w14:paraId="2451CC4F" w14:textId="77777777" w:rsidR="00DD4B5D" w:rsidRPr="00986EBF" w:rsidRDefault="00DD4B5D" w:rsidP="00DD4B5D">
            <w:pPr>
              <w:rPr>
                <w:rFonts w:cs="Times New Roman"/>
                <w:sz w:val="20"/>
                <w:szCs w:val="24"/>
              </w:rPr>
            </w:pPr>
            <w:r w:rsidRPr="00986EBF">
              <w:rPr>
                <w:rFonts w:cs="Times New Roman"/>
                <w:sz w:val="20"/>
                <w:szCs w:val="24"/>
              </w:rPr>
              <w:t>Residential</w:t>
            </w:r>
          </w:p>
        </w:tc>
        <w:tc>
          <w:tcPr>
            <w:tcW w:w="2086" w:type="dxa"/>
          </w:tcPr>
          <w:p w14:paraId="2451CC50" w14:textId="77777777" w:rsidR="00DD4B5D" w:rsidRPr="00986EBF" w:rsidRDefault="00DD4B5D" w:rsidP="00DD4B5D">
            <w:pPr>
              <w:jc w:val="center"/>
              <w:rPr>
                <w:rFonts w:cs="Times New Roman"/>
                <w:sz w:val="20"/>
                <w:szCs w:val="24"/>
              </w:rPr>
            </w:pPr>
            <w:r w:rsidRPr="00986EBF">
              <w:rPr>
                <w:rFonts w:cs="Times New Roman"/>
                <w:sz w:val="20"/>
                <w:szCs w:val="24"/>
              </w:rPr>
              <w:t>392</w:t>
            </w:r>
          </w:p>
        </w:tc>
        <w:tc>
          <w:tcPr>
            <w:tcW w:w="2340" w:type="dxa"/>
          </w:tcPr>
          <w:p w14:paraId="2451CC51" w14:textId="77777777" w:rsidR="00DD4B5D" w:rsidRPr="00986EBF" w:rsidRDefault="00DD4B5D" w:rsidP="00DD4B5D">
            <w:pPr>
              <w:jc w:val="center"/>
              <w:rPr>
                <w:rFonts w:cs="Times New Roman"/>
                <w:sz w:val="20"/>
                <w:szCs w:val="24"/>
              </w:rPr>
            </w:pPr>
            <w:r w:rsidRPr="00986EBF">
              <w:rPr>
                <w:rFonts w:cs="Times New Roman"/>
                <w:sz w:val="20"/>
                <w:szCs w:val="24"/>
              </w:rPr>
              <w:t>21%</w:t>
            </w:r>
          </w:p>
        </w:tc>
      </w:tr>
      <w:tr w:rsidR="00DD4B5D" w:rsidRPr="007716B1" w14:paraId="2451CC56" w14:textId="77777777" w:rsidTr="00DD4B5D">
        <w:tc>
          <w:tcPr>
            <w:tcW w:w="3314" w:type="dxa"/>
          </w:tcPr>
          <w:p w14:paraId="2451CC53" w14:textId="77777777" w:rsidR="00DD4B5D" w:rsidRPr="00986EBF" w:rsidRDefault="00DD4B5D" w:rsidP="00DD4B5D">
            <w:pPr>
              <w:rPr>
                <w:rFonts w:cs="Times New Roman"/>
                <w:sz w:val="20"/>
                <w:szCs w:val="24"/>
              </w:rPr>
            </w:pPr>
            <w:r w:rsidRPr="00986EBF">
              <w:rPr>
                <w:rFonts w:cs="Times New Roman"/>
                <w:sz w:val="20"/>
                <w:szCs w:val="24"/>
              </w:rPr>
              <w:t>Commercial</w:t>
            </w:r>
          </w:p>
        </w:tc>
        <w:tc>
          <w:tcPr>
            <w:tcW w:w="2086" w:type="dxa"/>
          </w:tcPr>
          <w:p w14:paraId="2451CC54" w14:textId="77777777" w:rsidR="00DD4B5D" w:rsidRPr="00986EBF" w:rsidRDefault="00DD4B5D" w:rsidP="00DD4B5D">
            <w:pPr>
              <w:jc w:val="center"/>
              <w:rPr>
                <w:rFonts w:cs="Times New Roman"/>
                <w:sz w:val="20"/>
                <w:szCs w:val="24"/>
              </w:rPr>
            </w:pPr>
            <w:r w:rsidRPr="00986EBF">
              <w:rPr>
                <w:rFonts w:cs="Times New Roman"/>
                <w:sz w:val="20"/>
                <w:szCs w:val="24"/>
              </w:rPr>
              <w:t>395</w:t>
            </w:r>
          </w:p>
        </w:tc>
        <w:tc>
          <w:tcPr>
            <w:tcW w:w="2340" w:type="dxa"/>
          </w:tcPr>
          <w:p w14:paraId="2451CC55" w14:textId="77777777" w:rsidR="00DD4B5D" w:rsidRPr="00986EBF" w:rsidRDefault="00DD4B5D" w:rsidP="00DD4B5D">
            <w:pPr>
              <w:jc w:val="center"/>
              <w:rPr>
                <w:rFonts w:cs="Times New Roman"/>
                <w:sz w:val="20"/>
                <w:szCs w:val="24"/>
              </w:rPr>
            </w:pPr>
            <w:r w:rsidRPr="00986EBF">
              <w:rPr>
                <w:rFonts w:cs="Times New Roman"/>
                <w:sz w:val="20"/>
                <w:szCs w:val="24"/>
              </w:rPr>
              <w:t>26%</w:t>
            </w:r>
          </w:p>
        </w:tc>
      </w:tr>
      <w:tr w:rsidR="00DD4B5D" w:rsidRPr="007716B1" w14:paraId="2451CC5A" w14:textId="77777777" w:rsidTr="00DD4B5D">
        <w:tc>
          <w:tcPr>
            <w:tcW w:w="3314" w:type="dxa"/>
          </w:tcPr>
          <w:p w14:paraId="2451CC57" w14:textId="77777777" w:rsidR="00DD4B5D" w:rsidRPr="00986EBF" w:rsidRDefault="00DD4B5D" w:rsidP="00DD4B5D">
            <w:pPr>
              <w:rPr>
                <w:rFonts w:cs="Times New Roman"/>
                <w:sz w:val="20"/>
                <w:szCs w:val="24"/>
              </w:rPr>
            </w:pPr>
            <w:r w:rsidRPr="00986EBF">
              <w:rPr>
                <w:rFonts w:cs="Times New Roman"/>
                <w:sz w:val="20"/>
                <w:szCs w:val="24"/>
              </w:rPr>
              <w:t>Industrial</w:t>
            </w:r>
          </w:p>
        </w:tc>
        <w:tc>
          <w:tcPr>
            <w:tcW w:w="2086" w:type="dxa"/>
          </w:tcPr>
          <w:p w14:paraId="2451CC58" w14:textId="77777777" w:rsidR="00DD4B5D" w:rsidRPr="00986EBF" w:rsidRDefault="00DD4B5D" w:rsidP="00DD4B5D">
            <w:pPr>
              <w:jc w:val="center"/>
              <w:rPr>
                <w:rFonts w:cs="Times New Roman"/>
                <w:sz w:val="20"/>
                <w:szCs w:val="24"/>
              </w:rPr>
            </w:pPr>
            <w:r w:rsidRPr="00986EBF">
              <w:rPr>
                <w:rFonts w:cs="Times New Roman"/>
                <w:sz w:val="20"/>
                <w:szCs w:val="24"/>
              </w:rPr>
              <w:t>145</w:t>
            </w:r>
          </w:p>
        </w:tc>
        <w:tc>
          <w:tcPr>
            <w:tcW w:w="2340" w:type="dxa"/>
          </w:tcPr>
          <w:p w14:paraId="2451CC59" w14:textId="77777777" w:rsidR="00DD4B5D" w:rsidRPr="00986EBF" w:rsidRDefault="00DD4B5D" w:rsidP="00DD4B5D">
            <w:pPr>
              <w:jc w:val="center"/>
              <w:rPr>
                <w:rFonts w:cs="Times New Roman"/>
                <w:sz w:val="20"/>
                <w:szCs w:val="24"/>
              </w:rPr>
            </w:pPr>
            <w:r w:rsidRPr="00986EBF">
              <w:rPr>
                <w:rFonts w:cs="Times New Roman"/>
                <w:sz w:val="20"/>
                <w:szCs w:val="24"/>
              </w:rPr>
              <w:t>13%</w:t>
            </w:r>
          </w:p>
        </w:tc>
      </w:tr>
      <w:tr w:rsidR="00DD4B5D" w:rsidRPr="007716B1" w14:paraId="2451CC5E" w14:textId="77777777" w:rsidTr="00DD4B5D">
        <w:tc>
          <w:tcPr>
            <w:tcW w:w="3314" w:type="dxa"/>
          </w:tcPr>
          <w:p w14:paraId="2451CC5B" w14:textId="77777777" w:rsidR="00DD4B5D" w:rsidRPr="00986EBF" w:rsidRDefault="00DD4B5D" w:rsidP="00DD4B5D">
            <w:pPr>
              <w:rPr>
                <w:rFonts w:cs="Times New Roman"/>
                <w:sz w:val="20"/>
                <w:szCs w:val="24"/>
              </w:rPr>
            </w:pPr>
            <w:r w:rsidRPr="00986EBF">
              <w:rPr>
                <w:rFonts w:cs="Times New Roman"/>
                <w:sz w:val="20"/>
                <w:szCs w:val="24"/>
              </w:rPr>
              <w:t>Irrigation</w:t>
            </w:r>
          </w:p>
        </w:tc>
        <w:tc>
          <w:tcPr>
            <w:tcW w:w="2086" w:type="dxa"/>
          </w:tcPr>
          <w:p w14:paraId="2451CC5C" w14:textId="77777777" w:rsidR="00DD4B5D" w:rsidRPr="00986EBF" w:rsidDel="001A7C83" w:rsidRDefault="00DD4B5D" w:rsidP="00DD4B5D">
            <w:pPr>
              <w:jc w:val="center"/>
              <w:rPr>
                <w:rFonts w:cs="Times New Roman"/>
                <w:sz w:val="20"/>
                <w:szCs w:val="24"/>
              </w:rPr>
            </w:pPr>
            <w:r w:rsidRPr="00986EBF">
              <w:rPr>
                <w:rFonts w:cs="Times New Roman"/>
                <w:sz w:val="20"/>
                <w:szCs w:val="24"/>
              </w:rPr>
              <w:t>13</w:t>
            </w:r>
          </w:p>
        </w:tc>
        <w:tc>
          <w:tcPr>
            <w:tcW w:w="2340" w:type="dxa"/>
          </w:tcPr>
          <w:p w14:paraId="2451CC5D" w14:textId="77777777" w:rsidR="00DD4B5D" w:rsidRPr="00986EBF" w:rsidDel="001A7C83" w:rsidRDefault="00DD4B5D" w:rsidP="00DD4B5D">
            <w:pPr>
              <w:jc w:val="center"/>
              <w:rPr>
                <w:rFonts w:cs="Times New Roman"/>
                <w:sz w:val="20"/>
                <w:szCs w:val="24"/>
              </w:rPr>
            </w:pPr>
            <w:r w:rsidRPr="00986EBF">
              <w:rPr>
                <w:rFonts w:cs="Times New Roman"/>
                <w:sz w:val="20"/>
                <w:szCs w:val="24"/>
              </w:rPr>
              <w:t>9%</w:t>
            </w:r>
          </w:p>
        </w:tc>
      </w:tr>
      <w:tr w:rsidR="00DD4B5D" w:rsidRPr="007716B1" w14:paraId="2451CC62" w14:textId="77777777" w:rsidTr="00DD4B5D">
        <w:tc>
          <w:tcPr>
            <w:tcW w:w="3314" w:type="dxa"/>
          </w:tcPr>
          <w:p w14:paraId="2451CC5F" w14:textId="77777777" w:rsidR="00DD4B5D" w:rsidRPr="00986EBF" w:rsidRDefault="00DD4B5D" w:rsidP="00DD4B5D">
            <w:pPr>
              <w:rPr>
                <w:rFonts w:cs="Times New Roman"/>
                <w:sz w:val="20"/>
                <w:szCs w:val="24"/>
              </w:rPr>
            </w:pPr>
            <w:r w:rsidRPr="00986EBF">
              <w:rPr>
                <w:rFonts w:cs="Times New Roman"/>
                <w:sz w:val="20"/>
                <w:szCs w:val="24"/>
              </w:rPr>
              <w:t>Street Lighting</w:t>
            </w:r>
          </w:p>
        </w:tc>
        <w:tc>
          <w:tcPr>
            <w:tcW w:w="2086" w:type="dxa"/>
          </w:tcPr>
          <w:p w14:paraId="2451CC60" w14:textId="77777777" w:rsidR="00DD4B5D" w:rsidRPr="00986EBF" w:rsidDel="001A7C83" w:rsidRDefault="00DD4B5D" w:rsidP="00DD4B5D">
            <w:pPr>
              <w:jc w:val="center"/>
              <w:rPr>
                <w:rFonts w:cs="Times New Roman"/>
                <w:sz w:val="20"/>
                <w:szCs w:val="24"/>
              </w:rPr>
            </w:pPr>
            <w:r w:rsidRPr="00986EBF">
              <w:rPr>
                <w:rFonts w:cs="Times New Roman"/>
                <w:sz w:val="20"/>
                <w:szCs w:val="24"/>
              </w:rPr>
              <w:t>3</w:t>
            </w:r>
          </w:p>
        </w:tc>
        <w:tc>
          <w:tcPr>
            <w:tcW w:w="2340" w:type="dxa"/>
          </w:tcPr>
          <w:p w14:paraId="2451CC61" w14:textId="77777777" w:rsidR="00DD4B5D" w:rsidRPr="00986EBF" w:rsidDel="001A7C83" w:rsidRDefault="00DD4B5D" w:rsidP="00DD4B5D">
            <w:pPr>
              <w:jc w:val="center"/>
              <w:rPr>
                <w:rFonts w:cs="Times New Roman"/>
                <w:sz w:val="20"/>
                <w:szCs w:val="24"/>
              </w:rPr>
            </w:pPr>
            <w:r w:rsidRPr="00986EBF">
              <w:rPr>
                <w:rFonts w:cs="Times New Roman"/>
                <w:sz w:val="20"/>
                <w:szCs w:val="24"/>
              </w:rPr>
              <w:t>30%</w:t>
            </w:r>
          </w:p>
        </w:tc>
      </w:tr>
    </w:tbl>
    <w:p w14:paraId="2451CC63" w14:textId="77777777" w:rsidR="00DD4B5D" w:rsidRPr="00E23D84" w:rsidRDefault="00DD4B5D" w:rsidP="00DD4B5D">
      <w:pPr>
        <w:ind w:left="810"/>
        <w:rPr>
          <w:rFonts w:ascii="Times New Roman" w:hAnsi="Times New Roman" w:cs="Times New Roman"/>
          <w:sz w:val="18"/>
          <w:szCs w:val="18"/>
        </w:rPr>
      </w:pPr>
    </w:p>
    <w:p w14:paraId="2451CC64" w14:textId="77777777" w:rsidR="00DD4B5D" w:rsidRDefault="00DD4B5D" w:rsidP="00DD4B5D">
      <w:pPr>
        <w:jc w:val="both"/>
        <w:rPr>
          <w:rFonts w:ascii="Times New Roman" w:hAnsi="Times New Roman" w:cs="Times New Roman"/>
          <w:sz w:val="24"/>
          <w:szCs w:val="24"/>
        </w:rPr>
      </w:pPr>
    </w:p>
    <w:p w14:paraId="2451CC65"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Demand-side resources vary in their reliability, load reduction and persistence over time. Based on the significant number of measures and resource options reviewed and evaluated in the Potentials Assessment, it is impractical to incorporate each as a stand-alone resource in the IRP. To address this issue, Class 2 DSM measures and Class 1 DSM programs are bundled by cost for modeling against competing supply-side resource options reducing the number of discrete resource options the IRP must consider to a more manageable number.</w:t>
      </w:r>
    </w:p>
    <w:p w14:paraId="2451CC66" w14:textId="77777777" w:rsidR="00DD4B5D" w:rsidRPr="007716B1" w:rsidRDefault="00DD4B5D" w:rsidP="00DD4B5D">
      <w:pPr>
        <w:jc w:val="both"/>
        <w:rPr>
          <w:rFonts w:ascii="Times New Roman" w:hAnsi="Times New Roman" w:cs="Times New Roman"/>
          <w:sz w:val="24"/>
          <w:szCs w:val="24"/>
        </w:rPr>
      </w:pPr>
    </w:p>
    <w:p w14:paraId="2451CC67"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The evaluation of Class 2 DSM (energy efficiency) resources within the IRP is also informed by state-specific evaluation criteria in the development of supply-curves. While all states generally use commonly accepted cost-effectiveness tests to evaluate DSM resources</w:t>
      </w:r>
      <w:r w:rsidRPr="007716B1">
        <w:rPr>
          <w:rFonts w:ascii="Times New Roman" w:hAnsi="Times New Roman" w:cs="Times New Roman"/>
          <w:sz w:val="24"/>
          <w:szCs w:val="24"/>
        </w:rPr>
        <w:t>, some states require variations in calculating or prioritizing the tests</w:t>
      </w:r>
      <w:r>
        <w:rPr>
          <w:rFonts w:ascii="Times New Roman" w:hAnsi="Times New Roman" w:cs="Times New Roman"/>
          <w:sz w:val="24"/>
          <w:szCs w:val="24"/>
        </w:rPr>
        <w:t>:</w:t>
      </w:r>
    </w:p>
    <w:p w14:paraId="2451CC68" w14:textId="77777777" w:rsidR="00DD4B5D" w:rsidRPr="007716B1" w:rsidRDefault="00DD4B5D" w:rsidP="00DD4B5D">
      <w:pPr>
        <w:jc w:val="both"/>
        <w:rPr>
          <w:rFonts w:ascii="Times New Roman" w:hAnsi="Times New Roman" w:cs="Times New Roman"/>
          <w:sz w:val="24"/>
          <w:szCs w:val="24"/>
        </w:rPr>
      </w:pPr>
    </w:p>
    <w:p w14:paraId="2451CC69" w14:textId="77777777" w:rsidR="00DD4B5D" w:rsidRDefault="008B5320" w:rsidP="00DD4B5D">
      <w:pPr>
        <w:pStyle w:val="ListParagraph"/>
        <w:numPr>
          <w:ilvl w:val="0"/>
          <w:numId w:val="2"/>
        </w:numPr>
        <w:jc w:val="both"/>
        <w:rPr>
          <w:rFonts w:ascii="Times New Roman" w:hAnsi="Times New Roman" w:cs="Times New Roman"/>
          <w:sz w:val="24"/>
          <w:szCs w:val="24"/>
        </w:rPr>
      </w:pPr>
      <w:r w:rsidRPr="00FE2BE0">
        <w:rPr>
          <w:rFonts w:ascii="Times New Roman" w:hAnsi="Times New Roman" w:cs="Times New Roman"/>
          <w:sz w:val="24"/>
          <w:szCs w:val="24"/>
        </w:rPr>
        <w:t>Washington</w:t>
      </w:r>
      <w:r>
        <w:rPr>
          <w:rFonts w:ascii="Times New Roman" w:hAnsi="Times New Roman" w:cs="Times New Roman"/>
          <w:sz w:val="24"/>
          <w:szCs w:val="24"/>
        </w:rPr>
        <w:t>,</w:t>
      </w:r>
      <w:r w:rsidRPr="00FE2BE0">
        <w:rPr>
          <w:rFonts w:ascii="Times New Roman" w:hAnsi="Times New Roman" w:cs="Times New Roman"/>
          <w:sz w:val="24"/>
          <w:szCs w:val="24"/>
        </w:rPr>
        <w:t xml:space="preserve"> </w:t>
      </w:r>
      <w:r>
        <w:rPr>
          <w:rFonts w:ascii="Times New Roman" w:hAnsi="Times New Roman" w:cs="Times New Roman"/>
          <w:sz w:val="24"/>
          <w:szCs w:val="24"/>
        </w:rPr>
        <w:t>Idaho</w:t>
      </w:r>
      <w:r w:rsidR="00210B55">
        <w:rPr>
          <w:rFonts w:ascii="Times New Roman" w:hAnsi="Times New Roman" w:cs="Times New Roman"/>
          <w:sz w:val="24"/>
          <w:szCs w:val="24"/>
        </w:rPr>
        <w:t>,</w:t>
      </w:r>
      <w:r>
        <w:rPr>
          <w:rFonts w:ascii="Times New Roman" w:hAnsi="Times New Roman" w:cs="Times New Roman"/>
          <w:sz w:val="24"/>
          <w:szCs w:val="24"/>
        </w:rPr>
        <w:t xml:space="preserve"> and</w:t>
      </w:r>
      <w:r w:rsidR="00DD4B5D" w:rsidRPr="00FE2BE0">
        <w:rPr>
          <w:rFonts w:ascii="Times New Roman" w:hAnsi="Times New Roman" w:cs="Times New Roman"/>
          <w:sz w:val="24"/>
          <w:szCs w:val="24"/>
        </w:rPr>
        <w:t xml:space="preserve"> Oregon u</w:t>
      </w:r>
      <w:r w:rsidR="00335208">
        <w:rPr>
          <w:rFonts w:ascii="Times New Roman" w:hAnsi="Times New Roman" w:cs="Times New Roman"/>
          <w:sz w:val="24"/>
          <w:szCs w:val="24"/>
        </w:rPr>
        <w:t>se</w:t>
      </w:r>
      <w:r w:rsidR="003E797B">
        <w:rPr>
          <w:rFonts w:ascii="Times New Roman" w:hAnsi="Times New Roman" w:cs="Times New Roman"/>
          <w:sz w:val="24"/>
          <w:szCs w:val="24"/>
        </w:rPr>
        <w:t xml:space="preserve"> the TRC</w:t>
      </w:r>
      <w:r w:rsidR="00DD4B5D" w:rsidRPr="00FE2BE0">
        <w:rPr>
          <w:rFonts w:ascii="Times New Roman" w:hAnsi="Times New Roman" w:cs="Times New Roman"/>
          <w:sz w:val="24"/>
          <w:szCs w:val="24"/>
        </w:rPr>
        <w:t xml:space="preserve"> test </w:t>
      </w:r>
      <w:r w:rsidR="00DD4B5D">
        <w:rPr>
          <w:rFonts w:ascii="Times New Roman" w:hAnsi="Times New Roman" w:cs="Times New Roman"/>
          <w:sz w:val="24"/>
          <w:szCs w:val="24"/>
        </w:rPr>
        <w:t xml:space="preserve">and consider the inclusion of </w:t>
      </w:r>
      <w:r w:rsidR="00DD4B5D" w:rsidRPr="00FE2BE0">
        <w:rPr>
          <w:rFonts w:ascii="Times New Roman" w:hAnsi="Times New Roman" w:cs="Times New Roman"/>
          <w:sz w:val="24"/>
          <w:szCs w:val="24"/>
        </w:rPr>
        <w:t>quantifiable non-energy benefits</w:t>
      </w:r>
      <w:r w:rsidR="00DD4B5D">
        <w:rPr>
          <w:rFonts w:ascii="Times New Roman" w:hAnsi="Times New Roman" w:cs="Times New Roman"/>
          <w:sz w:val="24"/>
          <w:szCs w:val="24"/>
        </w:rPr>
        <w:t xml:space="preserve">. </w:t>
      </w:r>
    </w:p>
    <w:p w14:paraId="2451CC6A" w14:textId="77777777" w:rsidR="00DD4B5D" w:rsidRPr="00FE2BE0" w:rsidRDefault="00DD4B5D" w:rsidP="00DD4B5D">
      <w:pPr>
        <w:pStyle w:val="ListParagraph"/>
        <w:numPr>
          <w:ilvl w:val="0"/>
          <w:numId w:val="2"/>
        </w:numPr>
        <w:jc w:val="both"/>
        <w:rPr>
          <w:rFonts w:ascii="Times New Roman" w:hAnsi="Times New Roman" w:cs="Times New Roman"/>
          <w:sz w:val="24"/>
          <w:szCs w:val="24"/>
        </w:rPr>
      </w:pPr>
      <w:r w:rsidRPr="00FE2BE0">
        <w:rPr>
          <w:rFonts w:ascii="Times New Roman" w:hAnsi="Times New Roman" w:cs="Times New Roman"/>
          <w:sz w:val="24"/>
          <w:szCs w:val="24"/>
        </w:rPr>
        <w:t>Oregon and Washington</w:t>
      </w:r>
      <w:r>
        <w:rPr>
          <w:rFonts w:ascii="Times New Roman" w:hAnsi="Times New Roman" w:cs="Times New Roman"/>
          <w:sz w:val="24"/>
          <w:szCs w:val="24"/>
        </w:rPr>
        <w:t xml:space="preserve">, in addition to considering quantifiable non-energy benefits, </w:t>
      </w:r>
      <w:r w:rsidRPr="00FE2BE0">
        <w:rPr>
          <w:rFonts w:ascii="Times New Roman" w:hAnsi="Times New Roman" w:cs="Times New Roman"/>
          <w:sz w:val="24"/>
          <w:szCs w:val="24"/>
        </w:rPr>
        <w:t>apply an additional 10</w:t>
      </w:r>
      <w:r w:rsidR="00740B23">
        <w:rPr>
          <w:rFonts w:ascii="Times New Roman" w:hAnsi="Times New Roman" w:cs="Times New Roman"/>
          <w:sz w:val="24"/>
          <w:szCs w:val="24"/>
        </w:rPr>
        <w:t xml:space="preserve"> percent</w:t>
      </w:r>
      <w:r w:rsidRPr="00FE2BE0">
        <w:rPr>
          <w:rFonts w:ascii="Times New Roman" w:hAnsi="Times New Roman" w:cs="Times New Roman"/>
          <w:sz w:val="24"/>
          <w:szCs w:val="24"/>
        </w:rPr>
        <w:t xml:space="preserve"> benefit to account for non-quantifiable externalities, consistent with the Northwest Power Act</w:t>
      </w:r>
      <w:r>
        <w:rPr>
          <w:rFonts w:ascii="Times New Roman" w:hAnsi="Times New Roman" w:cs="Times New Roman"/>
          <w:sz w:val="24"/>
          <w:szCs w:val="24"/>
        </w:rPr>
        <w:t>.</w:t>
      </w:r>
    </w:p>
    <w:p w14:paraId="2451CC6B" w14:textId="77777777" w:rsidR="00DD4B5D" w:rsidRPr="00A474E7" w:rsidRDefault="00DD4B5D" w:rsidP="00DD4B5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Wyoming and California utilize the standard TRC test excluding quantifiable non-energy benefits and the 10</w:t>
      </w:r>
      <w:r w:rsidR="00740B23">
        <w:rPr>
          <w:rFonts w:ascii="Times New Roman" w:hAnsi="Times New Roman" w:cs="Times New Roman"/>
          <w:sz w:val="24"/>
          <w:szCs w:val="24"/>
        </w:rPr>
        <w:t xml:space="preserve"> percent</w:t>
      </w:r>
      <w:r>
        <w:rPr>
          <w:rFonts w:ascii="Times New Roman" w:hAnsi="Times New Roman" w:cs="Times New Roman"/>
          <w:sz w:val="24"/>
          <w:szCs w:val="24"/>
        </w:rPr>
        <w:t xml:space="preserve"> benefit adder Oregon and Washington consider. </w:t>
      </w:r>
    </w:p>
    <w:p w14:paraId="2451CC6C" w14:textId="77777777" w:rsidR="008B5320" w:rsidRPr="007716B1" w:rsidRDefault="008B5320" w:rsidP="008B532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Utah utilizes the UCT as the primary determination of cost effectiveness.</w:t>
      </w:r>
    </w:p>
    <w:p w14:paraId="2451CC6D" w14:textId="77777777" w:rsidR="00DD4B5D" w:rsidRPr="007716B1" w:rsidRDefault="00DD4B5D" w:rsidP="00DD4B5D">
      <w:pPr>
        <w:jc w:val="both"/>
        <w:rPr>
          <w:rFonts w:ascii="Times New Roman" w:hAnsi="Times New Roman" w:cs="Times New Roman"/>
          <w:sz w:val="24"/>
          <w:szCs w:val="24"/>
        </w:rPr>
      </w:pPr>
    </w:p>
    <w:p w14:paraId="2451CC6E" w14:textId="77777777" w:rsidR="00DD4B5D" w:rsidRDefault="00DD4B5D" w:rsidP="00DD4B5D">
      <w:pPr>
        <w:jc w:val="both"/>
        <w:rPr>
          <w:rFonts w:ascii="Times New Roman" w:hAnsi="Times New Roman" w:cs="Times New Roman"/>
          <w:sz w:val="24"/>
          <w:szCs w:val="24"/>
        </w:rPr>
      </w:pPr>
      <w:r>
        <w:rPr>
          <w:rFonts w:ascii="Times New Roman" w:hAnsi="Times New Roman" w:cs="Times New Roman"/>
          <w:sz w:val="24"/>
          <w:szCs w:val="24"/>
        </w:rPr>
        <w:lastRenderedPageBreak/>
        <w:t>The Company evaluates program implementation cost-effectiveness (both prospectively and retrospectively) under a variety of tests to identify the relative impact and/or value (e.g. near-term rate impact, program value to participants, etc.) to customers and the Company.</w:t>
      </w:r>
    </w:p>
    <w:p w14:paraId="2451CC6F" w14:textId="77777777" w:rsidR="009C2D06" w:rsidRDefault="009C2D06" w:rsidP="009C2D06">
      <w:pPr>
        <w:jc w:val="both"/>
        <w:rPr>
          <w:rFonts w:ascii="Times New Roman" w:hAnsi="Times New Roman" w:cs="Times New Roman"/>
          <w:sz w:val="24"/>
          <w:szCs w:val="24"/>
        </w:rPr>
      </w:pPr>
    </w:p>
    <w:p w14:paraId="2451CC70" w14:textId="77777777" w:rsidR="00DD4B5D" w:rsidRPr="007B18BC" w:rsidRDefault="00DD4B5D" w:rsidP="00DD4B5D">
      <w:pPr>
        <w:pStyle w:val="NoSpacing"/>
        <w:outlineLvl w:val="1"/>
        <w:rPr>
          <w:rFonts w:ascii="Times New Roman" w:eastAsiaTheme="majorEastAsia" w:hAnsi="Times New Roman" w:cs="Times New Roman"/>
          <w:b/>
          <w:i/>
          <w:color w:val="548DD4" w:themeColor="text2" w:themeTint="99"/>
          <w:sz w:val="24"/>
          <w:szCs w:val="24"/>
        </w:rPr>
      </w:pPr>
      <w:bookmarkStart w:id="9" w:name="_Toc444691081"/>
      <w:bookmarkStart w:id="10" w:name="_Toc448505460"/>
      <w:bookmarkStart w:id="11" w:name="_Toc449510474"/>
      <w:r w:rsidRPr="007B18BC">
        <w:rPr>
          <w:rFonts w:ascii="Times New Roman" w:eastAsiaTheme="majorEastAsia" w:hAnsi="Times New Roman" w:cs="Times New Roman"/>
          <w:b/>
          <w:i/>
          <w:color w:val="548DD4" w:themeColor="text2" w:themeTint="99"/>
          <w:sz w:val="24"/>
          <w:szCs w:val="24"/>
        </w:rPr>
        <w:t>Estimated Peak Contributions</w:t>
      </w:r>
      <w:bookmarkEnd w:id="9"/>
      <w:bookmarkEnd w:id="10"/>
      <w:bookmarkEnd w:id="11"/>
    </w:p>
    <w:p w14:paraId="2451CC71" w14:textId="77777777" w:rsidR="00DD4B5D" w:rsidRDefault="00DD4B5D" w:rsidP="009C2D06">
      <w:pPr>
        <w:jc w:val="both"/>
        <w:rPr>
          <w:rFonts w:ascii="Times New Roman" w:hAnsi="Times New Roman" w:cs="Times New Roman"/>
          <w:sz w:val="24"/>
          <w:szCs w:val="24"/>
        </w:rPr>
      </w:pPr>
    </w:p>
    <w:p w14:paraId="2451CC72" w14:textId="77777777" w:rsidR="00DD4B5D" w:rsidRDefault="00DD4B5D" w:rsidP="00DD4B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reported </w:t>
      </w:r>
      <w:r w:rsidR="002C50C4">
        <w:rPr>
          <w:rFonts w:ascii="Times New Roman" w:hAnsi="Times New Roman" w:cs="Times New Roman"/>
          <w:sz w:val="24"/>
          <w:szCs w:val="24"/>
        </w:rPr>
        <w:t>capacity reduction</w:t>
      </w:r>
      <w:r>
        <w:rPr>
          <w:rFonts w:ascii="Times New Roman" w:hAnsi="Times New Roman" w:cs="Times New Roman"/>
          <w:sz w:val="24"/>
          <w:szCs w:val="24"/>
        </w:rPr>
        <w:t xml:space="preserve"> of </w:t>
      </w:r>
      <w:r w:rsidR="005F7DDE">
        <w:rPr>
          <w:rFonts w:ascii="Times New Roman" w:hAnsi="Times New Roman" w:cs="Times New Roman"/>
          <w:sz w:val="24"/>
          <w:szCs w:val="24"/>
        </w:rPr>
        <w:t xml:space="preserve">6.71 </w:t>
      </w:r>
      <w:r>
        <w:rPr>
          <w:rFonts w:ascii="Times New Roman" w:hAnsi="Times New Roman" w:cs="Times New Roman"/>
          <w:sz w:val="24"/>
          <w:szCs w:val="24"/>
        </w:rPr>
        <w:t>MW</w:t>
      </w:r>
      <w:r w:rsidRPr="000C4A5C">
        <w:rPr>
          <w:rFonts w:ascii="Times New Roman" w:hAnsi="Times New Roman" w:cs="Times New Roman"/>
          <w:sz w:val="24"/>
          <w:szCs w:val="24"/>
        </w:rPr>
        <w:t xml:space="preserve"> (a</w:t>
      </w:r>
      <w:r>
        <w:rPr>
          <w:rFonts w:ascii="Times New Roman" w:hAnsi="Times New Roman" w:cs="Times New Roman"/>
          <w:sz w:val="24"/>
          <w:szCs w:val="24"/>
        </w:rPr>
        <w:t>t generation) for energy efficiency programs during 2015 represents the estimated MW impact of the energy efficiency portfolio during PacifiCorp’s system peak period.</w:t>
      </w:r>
      <w:r w:rsidDel="00ED0A9F">
        <w:rPr>
          <w:rFonts w:ascii="Times New Roman" w:hAnsi="Times New Roman" w:cs="Times New Roman"/>
          <w:sz w:val="24"/>
          <w:szCs w:val="24"/>
        </w:rPr>
        <w:t xml:space="preserve"> </w:t>
      </w:r>
      <w:r>
        <w:rPr>
          <w:rFonts w:ascii="Times New Roman" w:hAnsi="Times New Roman" w:cs="Times New Roman"/>
          <w:sz w:val="24"/>
          <w:szCs w:val="24"/>
        </w:rPr>
        <w:t>An energy-to-capacity convers</w:t>
      </w:r>
      <w:r w:rsidR="00210B55">
        <w:rPr>
          <w:rFonts w:ascii="Times New Roman" w:hAnsi="Times New Roman" w:cs="Times New Roman"/>
          <w:sz w:val="24"/>
          <w:szCs w:val="24"/>
        </w:rPr>
        <w:t>ion factor developed from Class </w:t>
      </w:r>
      <w:r>
        <w:rPr>
          <w:rFonts w:ascii="Times New Roman" w:hAnsi="Times New Roman" w:cs="Times New Roman"/>
          <w:sz w:val="24"/>
          <w:szCs w:val="24"/>
        </w:rPr>
        <w:t>2 DSM selections in the 2015 IRP is used to translate 2015 energy savings to estimated demand reduction during the system peak. The utilization of this factor in the MW calculation assumes that the energy efficiency resources acquired through the Company’s programs have the same average load profile as those energy efficiency resources selected in the 2015 IRP. Utilization of this factor in determining the MW contribution of energy efficiency prog</w:t>
      </w:r>
      <w:r w:rsidR="0098385A">
        <w:rPr>
          <w:rFonts w:ascii="Times New Roman" w:hAnsi="Times New Roman" w:cs="Times New Roman"/>
          <w:sz w:val="24"/>
          <w:szCs w:val="24"/>
        </w:rPr>
        <w:t>rams for 2015 is detailed in T</w:t>
      </w:r>
      <w:r>
        <w:rPr>
          <w:rFonts w:ascii="Times New Roman" w:hAnsi="Times New Roman" w:cs="Times New Roman"/>
          <w:sz w:val="24"/>
          <w:szCs w:val="24"/>
        </w:rPr>
        <w:t xml:space="preserve">able </w:t>
      </w:r>
      <w:r w:rsidR="0098385A">
        <w:rPr>
          <w:rFonts w:ascii="Times New Roman" w:hAnsi="Times New Roman" w:cs="Times New Roman"/>
          <w:sz w:val="24"/>
          <w:szCs w:val="24"/>
        </w:rPr>
        <w:t xml:space="preserve">5 </w:t>
      </w:r>
      <w:r>
        <w:rPr>
          <w:rFonts w:ascii="Times New Roman" w:hAnsi="Times New Roman" w:cs="Times New Roman"/>
          <w:sz w:val="24"/>
          <w:szCs w:val="24"/>
        </w:rPr>
        <w:t xml:space="preserve">below. </w:t>
      </w:r>
    </w:p>
    <w:p w14:paraId="2451CC73" w14:textId="77777777" w:rsidR="002C50C4" w:rsidRDefault="002C50C4" w:rsidP="00DD4B5D">
      <w:pPr>
        <w:autoSpaceDE w:val="0"/>
        <w:autoSpaceDN w:val="0"/>
        <w:adjustRightInd w:val="0"/>
        <w:jc w:val="both"/>
        <w:rPr>
          <w:rFonts w:ascii="Times New Roman" w:hAnsi="Times New Roman" w:cs="Times New Roman"/>
          <w:sz w:val="24"/>
          <w:szCs w:val="24"/>
        </w:rPr>
      </w:pPr>
    </w:p>
    <w:p w14:paraId="2451CC74" w14:textId="77777777" w:rsidR="002C50C4" w:rsidRPr="007716B1" w:rsidRDefault="002C50C4" w:rsidP="002C50C4">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5</w:t>
      </w:r>
    </w:p>
    <w:p w14:paraId="2451CC75" w14:textId="77777777" w:rsidR="002C50C4" w:rsidRPr="007B18BC" w:rsidRDefault="002C50C4" w:rsidP="002C50C4">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Estimated Peak Contribution</w:t>
      </w:r>
    </w:p>
    <w:p w14:paraId="2451CC76" w14:textId="77777777" w:rsidR="00DD4B5D" w:rsidRDefault="00DD4B5D" w:rsidP="002C50C4">
      <w:pPr>
        <w:autoSpaceDE w:val="0"/>
        <w:autoSpaceDN w:val="0"/>
        <w:adjustRightInd w:val="0"/>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906"/>
        <w:gridCol w:w="1159"/>
      </w:tblGrid>
      <w:tr w:rsidR="00986EBF" w:rsidRPr="0068676A" w14:paraId="2451CC79" w14:textId="77777777" w:rsidTr="00986EBF">
        <w:trPr>
          <w:trHeight w:hRule="exact" w:val="302"/>
          <w:jc w:val="center"/>
        </w:trPr>
        <w:tc>
          <w:tcPr>
            <w:tcW w:w="0" w:type="auto"/>
            <w:shd w:val="clear" w:color="auto" w:fill="C6D9F1" w:themeFill="text2" w:themeFillTint="33"/>
            <w:noWrap/>
            <w:hideMark/>
          </w:tcPr>
          <w:p w14:paraId="2451CC77" w14:textId="77777777" w:rsidR="00986EBF" w:rsidRPr="00986EBF" w:rsidRDefault="00986EBF" w:rsidP="002C50C4">
            <w:pPr>
              <w:autoSpaceDE w:val="0"/>
              <w:autoSpaceDN w:val="0"/>
              <w:adjustRightInd w:val="0"/>
              <w:jc w:val="both"/>
              <w:rPr>
                <w:rFonts w:cs="Times New Roman"/>
                <w:b/>
                <w:bCs/>
                <w:sz w:val="20"/>
                <w:szCs w:val="20"/>
              </w:rPr>
            </w:pPr>
            <w:r w:rsidRPr="00986EBF">
              <w:rPr>
                <w:rFonts w:cs="Times New Roman"/>
                <w:b/>
                <w:bCs/>
                <w:sz w:val="20"/>
                <w:szCs w:val="20"/>
              </w:rPr>
              <w:t>Description</w:t>
            </w:r>
          </w:p>
        </w:tc>
        <w:tc>
          <w:tcPr>
            <w:tcW w:w="0" w:type="auto"/>
            <w:shd w:val="clear" w:color="auto" w:fill="C6D9F1" w:themeFill="text2" w:themeFillTint="33"/>
            <w:noWrap/>
            <w:hideMark/>
          </w:tcPr>
          <w:p w14:paraId="2451CC78" w14:textId="77777777" w:rsidR="00986EBF" w:rsidRPr="00986EBF" w:rsidRDefault="00986EBF" w:rsidP="002C50C4">
            <w:pPr>
              <w:autoSpaceDE w:val="0"/>
              <w:autoSpaceDN w:val="0"/>
              <w:adjustRightInd w:val="0"/>
              <w:jc w:val="both"/>
              <w:rPr>
                <w:rFonts w:cs="Times New Roman"/>
                <w:b/>
                <w:bCs/>
                <w:sz w:val="20"/>
                <w:szCs w:val="20"/>
              </w:rPr>
            </w:pPr>
            <w:r w:rsidRPr="00986EBF">
              <w:rPr>
                <w:rFonts w:cs="Times New Roman"/>
                <w:b/>
                <w:bCs/>
                <w:sz w:val="20"/>
                <w:szCs w:val="20"/>
              </w:rPr>
              <w:t>Value</w:t>
            </w:r>
          </w:p>
        </w:tc>
      </w:tr>
      <w:tr w:rsidR="00986EBF" w:rsidRPr="0068676A" w14:paraId="2451CC7D" w14:textId="77777777" w:rsidTr="00DD4B5D">
        <w:trPr>
          <w:trHeight w:hRule="exact" w:val="302"/>
          <w:jc w:val="center"/>
        </w:trPr>
        <w:tc>
          <w:tcPr>
            <w:tcW w:w="0" w:type="auto"/>
            <w:noWrap/>
            <w:hideMark/>
          </w:tcPr>
          <w:p w14:paraId="2451CC7A" w14:textId="77777777" w:rsidR="00986EBF" w:rsidRPr="00986EBF" w:rsidRDefault="00986EBF" w:rsidP="002C50C4">
            <w:pPr>
              <w:autoSpaceDE w:val="0"/>
              <w:autoSpaceDN w:val="0"/>
              <w:adjustRightInd w:val="0"/>
              <w:rPr>
                <w:rFonts w:cs="Times New Roman"/>
                <w:sz w:val="20"/>
                <w:szCs w:val="20"/>
              </w:rPr>
            </w:pPr>
            <w:r w:rsidRPr="00986EBF">
              <w:rPr>
                <w:rFonts w:cs="Times New Roman"/>
                <w:sz w:val="20"/>
                <w:szCs w:val="20"/>
              </w:rPr>
              <w:t>First year Energy Efficiency program MWh savings acquired during 2015</w:t>
            </w:r>
          </w:p>
        </w:tc>
        <w:tc>
          <w:tcPr>
            <w:tcW w:w="0" w:type="auto"/>
            <w:noWrap/>
          </w:tcPr>
          <w:p w14:paraId="2451CC7B" w14:textId="77777777" w:rsidR="005F7DDE" w:rsidRPr="005F7DDE" w:rsidRDefault="005F7DDE" w:rsidP="002C50C4">
            <w:pPr>
              <w:jc w:val="right"/>
              <w:rPr>
                <w:color w:val="000000"/>
                <w:sz w:val="20"/>
                <w:szCs w:val="20"/>
              </w:rPr>
            </w:pPr>
            <w:r w:rsidRPr="005F7DDE">
              <w:rPr>
                <w:color w:val="000000"/>
                <w:sz w:val="20"/>
                <w:szCs w:val="20"/>
              </w:rPr>
              <w:t>51,802</w:t>
            </w:r>
          </w:p>
          <w:p w14:paraId="2451CC7C" w14:textId="77777777" w:rsidR="00986EBF" w:rsidRPr="005F7DDE" w:rsidRDefault="00986EBF" w:rsidP="002C50C4">
            <w:pPr>
              <w:autoSpaceDE w:val="0"/>
              <w:autoSpaceDN w:val="0"/>
              <w:adjustRightInd w:val="0"/>
              <w:jc w:val="right"/>
              <w:rPr>
                <w:rFonts w:cs="Times New Roman"/>
                <w:sz w:val="20"/>
                <w:szCs w:val="20"/>
              </w:rPr>
            </w:pPr>
          </w:p>
        </w:tc>
      </w:tr>
      <w:tr w:rsidR="00986EBF" w:rsidRPr="0068676A" w14:paraId="2451CC81" w14:textId="77777777" w:rsidTr="00DD4B5D">
        <w:trPr>
          <w:trHeight w:hRule="exact" w:val="302"/>
          <w:jc w:val="center"/>
        </w:trPr>
        <w:tc>
          <w:tcPr>
            <w:tcW w:w="0" w:type="auto"/>
            <w:noWrap/>
            <w:hideMark/>
          </w:tcPr>
          <w:p w14:paraId="2451CC7E" w14:textId="77777777" w:rsidR="00986EBF" w:rsidRPr="00986EBF" w:rsidRDefault="00986EBF" w:rsidP="002C50C4">
            <w:pPr>
              <w:autoSpaceDE w:val="0"/>
              <w:autoSpaceDN w:val="0"/>
              <w:adjustRightInd w:val="0"/>
              <w:rPr>
                <w:rFonts w:cs="Times New Roman"/>
                <w:sz w:val="20"/>
                <w:szCs w:val="20"/>
              </w:rPr>
            </w:pPr>
            <w:r w:rsidRPr="00986EBF">
              <w:rPr>
                <w:rFonts w:cs="Times New Roman"/>
                <w:sz w:val="20"/>
                <w:szCs w:val="20"/>
              </w:rPr>
              <w:t>Conversion factor: Coincident MW/MWh</w:t>
            </w:r>
          </w:p>
        </w:tc>
        <w:tc>
          <w:tcPr>
            <w:tcW w:w="0" w:type="auto"/>
            <w:noWrap/>
          </w:tcPr>
          <w:p w14:paraId="2451CC7F" w14:textId="77777777" w:rsidR="005F7DDE" w:rsidRPr="005F7DDE" w:rsidRDefault="005F7DDE" w:rsidP="002C50C4">
            <w:pPr>
              <w:jc w:val="right"/>
              <w:rPr>
                <w:color w:val="000000"/>
                <w:sz w:val="20"/>
                <w:szCs w:val="20"/>
              </w:rPr>
            </w:pPr>
            <w:r w:rsidRPr="005F7DDE">
              <w:rPr>
                <w:color w:val="000000"/>
                <w:sz w:val="20"/>
                <w:szCs w:val="20"/>
              </w:rPr>
              <w:t>0.0001296</w:t>
            </w:r>
          </w:p>
          <w:p w14:paraId="2451CC80" w14:textId="77777777" w:rsidR="00986EBF" w:rsidRPr="005F7DDE" w:rsidRDefault="00986EBF" w:rsidP="002C50C4">
            <w:pPr>
              <w:autoSpaceDE w:val="0"/>
              <w:autoSpaceDN w:val="0"/>
              <w:adjustRightInd w:val="0"/>
              <w:jc w:val="right"/>
              <w:rPr>
                <w:rFonts w:cs="Times New Roman"/>
                <w:sz w:val="20"/>
                <w:szCs w:val="20"/>
              </w:rPr>
            </w:pPr>
          </w:p>
        </w:tc>
      </w:tr>
      <w:tr w:rsidR="005F7DDE" w:rsidRPr="0068676A" w14:paraId="2451CC84" w14:textId="77777777" w:rsidTr="00CB1948">
        <w:trPr>
          <w:trHeight w:hRule="exact" w:val="302"/>
          <w:jc w:val="center"/>
        </w:trPr>
        <w:tc>
          <w:tcPr>
            <w:tcW w:w="0" w:type="auto"/>
            <w:noWrap/>
            <w:hideMark/>
          </w:tcPr>
          <w:p w14:paraId="2451CC82" w14:textId="77777777" w:rsidR="005F7DDE" w:rsidRPr="00986EBF" w:rsidRDefault="005F7DDE" w:rsidP="002C50C4">
            <w:pPr>
              <w:autoSpaceDE w:val="0"/>
              <w:autoSpaceDN w:val="0"/>
              <w:adjustRightInd w:val="0"/>
              <w:rPr>
                <w:rFonts w:cs="Times New Roman"/>
                <w:sz w:val="20"/>
                <w:szCs w:val="20"/>
              </w:rPr>
            </w:pPr>
            <w:r w:rsidRPr="00986EBF">
              <w:rPr>
                <w:rFonts w:cs="Times New Roman"/>
                <w:sz w:val="20"/>
                <w:szCs w:val="20"/>
              </w:rPr>
              <w:t xml:space="preserve">Estimated coincident peak MW contribution of 2015 Energy Efficiency acquisitions </w:t>
            </w:r>
          </w:p>
        </w:tc>
        <w:tc>
          <w:tcPr>
            <w:tcW w:w="0" w:type="auto"/>
            <w:noWrap/>
            <w:vAlign w:val="bottom"/>
          </w:tcPr>
          <w:p w14:paraId="2451CC83" w14:textId="77777777" w:rsidR="005F7DDE" w:rsidRPr="005F7DDE" w:rsidRDefault="005F7DDE" w:rsidP="002C50C4">
            <w:pPr>
              <w:rPr>
                <w:color w:val="000000"/>
                <w:sz w:val="20"/>
                <w:szCs w:val="20"/>
              </w:rPr>
            </w:pPr>
            <w:r w:rsidRPr="005F7DDE">
              <w:rPr>
                <w:color w:val="000000"/>
                <w:sz w:val="20"/>
                <w:szCs w:val="20"/>
              </w:rPr>
              <w:t xml:space="preserve">             6.71 </w:t>
            </w:r>
          </w:p>
        </w:tc>
      </w:tr>
    </w:tbl>
    <w:p w14:paraId="2451CC85" w14:textId="77777777" w:rsidR="00DD4B5D" w:rsidRDefault="00DD4B5D" w:rsidP="002C50C4">
      <w:pPr>
        <w:jc w:val="both"/>
        <w:rPr>
          <w:rFonts w:ascii="Times New Roman" w:hAnsi="Times New Roman" w:cs="Times New Roman"/>
          <w:sz w:val="24"/>
          <w:szCs w:val="24"/>
        </w:rPr>
      </w:pPr>
    </w:p>
    <w:p w14:paraId="2451CC86" w14:textId="77777777" w:rsidR="001E0592" w:rsidRPr="00461E6A" w:rsidRDefault="001E0592" w:rsidP="002C50C4">
      <w:pPr>
        <w:rPr>
          <w:rFonts w:ascii="Times New Roman" w:hAnsi="Times New Roman" w:cs="Times New Roman"/>
          <w:color w:val="548DD4" w:themeColor="text2" w:themeTint="99"/>
          <w:sz w:val="24"/>
          <w:szCs w:val="24"/>
        </w:rPr>
      </w:pPr>
    </w:p>
    <w:p w14:paraId="2451CC87" w14:textId="77777777" w:rsidR="001E0592" w:rsidRDefault="001E0592" w:rsidP="001E0592">
      <w:pPr>
        <w:jc w:val="both"/>
        <w:rPr>
          <w:rFonts w:ascii="Times New Roman" w:hAnsi="Times New Roman" w:cs="Times New Roman"/>
          <w:sz w:val="24"/>
          <w:szCs w:val="24"/>
        </w:rPr>
      </w:pPr>
    </w:p>
    <w:p w14:paraId="2451CC88" w14:textId="77777777" w:rsidR="00294086" w:rsidRDefault="00294086" w:rsidP="001E0592">
      <w:pPr>
        <w:jc w:val="both"/>
        <w:rPr>
          <w:rFonts w:ascii="Times New Roman" w:hAnsi="Times New Roman" w:cs="Times New Roman"/>
          <w:sz w:val="24"/>
          <w:szCs w:val="24"/>
        </w:rPr>
      </w:pPr>
    </w:p>
    <w:p w14:paraId="2451CC89" w14:textId="77777777" w:rsidR="00294086" w:rsidRDefault="00294086" w:rsidP="001E0592">
      <w:pPr>
        <w:jc w:val="both"/>
        <w:rPr>
          <w:rFonts w:ascii="Times New Roman" w:hAnsi="Times New Roman" w:cs="Times New Roman"/>
          <w:sz w:val="24"/>
          <w:szCs w:val="24"/>
        </w:rPr>
      </w:pPr>
    </w:p>
    <w:p w14:paraId="2451CC8A" w14:textId="77777777" w:rsidR="00294086" w:rsidRDefault="00294086" w:rsidP="001E0592">
      <w:pPr>
        <w:jc w:val="both"/>
        <w:rPr>
          <w:rFonts w:ascii="Times New Roman" w:hAnsi="Times New Roman" w:cs="Times New Roman"/>
          <w:sz w:val="24"/>
          <w:szCs w:val="24"/>
        </w:rPr>
      </w:pPr>
    </w:p>
    <w:p w14:paraId="2451CC8B" w14:textId="77777777" w:rsidR="00294086" w:rsidRDefault="00294086" w:rsidP="001E0592">
      <w:pPr>
        <w:jc w:val="both"/>
        <w:rPr>
          <w:rFonts w:ascii="Times New Roman" w:hAnsi="Times New Roman" w:cs="Times New Roman"/>
          <w:sz w:val="24"/>
          <w:szCs w:val="24"/>
        </w:rPr>
      </w:pPr>
    </w:p>
    <w:p w14:paraId="2451CC8C" w14:textId="77777777" w:rsidR="00294086" w:rsidRDefault="00294086" w:rsidP="001E0592">
      <w:pPr>
        <w:jc w:val="both"/>
        <w:rPr>
          <w:rFonts w:ascii="Times New Roman" w:hAnsi="Times New Roman" w:cs="Times New Roman"/>
          <w:sz w:val="24"/>
          <w:szCs w:val="24"/>
        </w:rPr>
      </w:pPr>
    </w:p>
    <w:p w14:paraId="2451CC8D" w14:textId="77777777" w:rsidR="00294086" w:rsidRDefault="00294086" w:rsidP="001E0592">
      <w:pPr>
        <w:jc w:val="both"/>
        <w:rPr>
          <w:rFonts w:ascii="Times New Roman" w:hAnsi="Times New Roman" w:cs="Times New Roman"/>
          <w:sz w:val="24"/>
          <w:szCs w:val="24"/>
        </w:rPr>
      </w:pPr>
    </w:p>
    <w:p w14:paraId="2451CC8E" w14:textId="77777777" w:rsidR="00294086" w:rsidRDefault="00294086" w:rsidP="001E0592">
      <w:pPr>
        <w:jc w:val="both"/>
        <w:rPr>
          <w:rFonts w:ascii="Times New Roman" w:hAnsi="Times New Roman" w:cs="Times New Roman"/>
          <w:sz w:val="24"/>
          <w:szCs w:val="24"/>
        </w:rPr>
      </w:pPr>
    </w:p>
    <w:p w14:paraId="2451CC8F" w14:textId="77777777" w:rsidR="00294086" w:rsidRDefault="00294086" w:rsidP="001E0592">
      <w:pPr>
        <w:jc w:val="both"/>
        <w:rPr>
          <w:rFonts w:ascii="Times New Roman" w:hAnsi="Times New Roman" w:cs="Times New Roman"/>
          <w:sz w:val="24"/>
          <w:szCs w:val="24"/>
        </w:rPr>
      </w:pPr>
    </w:p>
    <w:p w14:paraId="2451CC90" w14:textId="77777777" w:rsidR="00D33542" w:rsidRDefault="00D33542" w:rsidP="001E0592">
      <w:pPr>
        <w:jc w:val="both"/>
        <w:rPr>
          <w:rFonts w:ascii="Times New Roman" w:hAnsi="Times New Roman" w:cs="Times New Roman"/>
          <w:sz w:val="24"/>
          <w:szCs w:val="24"/>
        </w:rPr>
        <w:sectPr w:rsidR="00D33542" w:rsidSect="008F3BD4">
          <w:headerReference w:type="even" r:id="rId34"/>
          <w:headerReference w:type="default" r:id="rId35"/>
          <w:headerReference w:type="first" r:id="rId36"/>
          <w:pgSz w:w="12240" w:h="15840"/>
          <w:pgMar w:top="1440" w:right="1440" w:bottom="1440" w:left="1440" w:header="720" w:footer="720" w:gutter="0"/>
          <w:cols w:space="720"/>
          <w:titlePg/>
          <w:docGrid w:linePitch="360"/>
        </w:sectPr>
      </w:pPr>
    </w:p>
    <w:p w14:paraId="2451CC91" w14:textId="77777777" w:rsidR="00E54716" w:rsidRPr="007716B1" w:rsidRDefault="00D33542" w:rsidP="00EB7445">
      <w:pPr>
        <w:pStyle w:val="Heading1"/>
        <w:spacing w:before="240"/>
        <w:rPr>
          <w:b w:val="0"/>
          <w:sz w:val="24"/>
        </w:rPr>
      </w:pPr>
      <w:bookmarkStart w:id="12" w:name="_Toc449510475"/>
      <w:r>
        <w:lastRenderedPageBreak/>
        <w:t>E</w:t>
      </w:r>
      <w:r w:rsidR="00642377">
        <w:t>nergy Efficiency Programs</w:t>
      </w:r>
      <w:bookmarkEnd w:id="12"/>
    </w:p>
    <w:p w14:paraId="2451CC92" w14:textId="77777777" w:rsidR="00AC2E1F" w:rsidRPr="007716B1" w:rsidRDefault="00AC2E1F" w:rsidP="00DC40E5">
      <w:pPr>
        <w:jc w:val="both"/>
        <w:rPr>
          <w:rFonts w:ascii="Times New Roman" w:hAnsi="Times New Roman" w:cs="Times New Roman"/>
          <w:sz w:val="24"/>
          <w:szCs w:val="24"/>
        </w:rPr>
      </w:pPr>
    </w:p>
    <w:p w14:paraId="2451CC93" w14:textId="77777777" w:rsidR="00883465" w:rsidRDefault="00642377" w:rsidP="003E4AD6">
      <w:pPr>
        <w:jc w:val="both"/>
        <w:rPr>
          <w:rFonts w:ascii="Times New Roman" w:hAnsi="Times New Roman" w:cs="Times New Roman"/>
          <w:sz w:val="24"/>
          <w:szCs w:val="24"/>
        </w:rPr>
      </w:pPr>
      <w:r w:rsidRPr="003E4AD6">
        <w:rPr>
          <w:rFonts w:ascii="Times New Roman" w:hAnsi="Times New Roman" w:cs="Times New Roman"/>
          <w:sz w:val="24"/>
          <w:szCs w:val="24"/>
        </w:rPr>
        <w:t xml:space="preserve">Energy efficiency programs </w:t>
      </w:r>
      <w:r w:rsidR="00531A92">
        <w:rPr>
          <w:rFonts w:ascii="Times New Roman" w:hAnsi="Times New Roman" w:cs="Times New Roman"/>
          <w:sz w:val="24"/>
          <w:szCs w:val="24"/>
        </w:rPr>
        <w:t>were</w:t>
      </w:r>
      <w:r w:rsidR="00531A92" w:rsidRPr="003E4AD6">
        <w:rPr>
          <w:rFonts w:ascii="Times New Roman" w:hAnsi="Times New Roman" w:cs="Times New Roman"/>
          <w:sz w:val="24"/>
          <w:szCs w:val="24"/>
        </w:rPr>
        <w:t xml:space="preserve"> </w:t>
      </w:r>
      <w:r w:rsidRPr="003E4AD6">
        <w:rPr>
          <w:rFonts w:ascii="Times New Roman" w:hAnsi="Times New Roman" w:cs="Times New Roman"/>
          <w:sz w:val="24"/>
          <w:szCs w:val="24"/>
        </w:rPr>
        <w:t>offered to all major customer sectors: residential, commercial, industrial and agricultural. The overall energy e</w:t>
      </w:r>
      <w:r w:rsidR="002E00D4" w:rsidRPr="003E4AD6">
        <w:rPr>
          <w:rFonts w:ascii="Times New Roman" w:hAnsi="Times New Roman" w:cs="Times New Roman"/>
          <w:sz w:val="24"/>
          <w:szCs w:val="24"/>
        </w:rPr>
        <w:t>fficiency portfolio include</w:t>
      </w:r>
      <w:r w:rsidR="00531A92">
        <w:rPr>
          <w:rFonts w:ascii="Times New Roman" w:hAnsi="Times New Roman" w:cs="Times New Roman"/>
          <w:sz w:val="24"/>
          <w:szCs w:val="24"/>
        </w:rPr>
        <w:t>d</w:t>
      </w:r>
      <w:r w:rsidR="002E00D4" w:rsidRPr="003E4AD6">
        <w:rPr>
          <w:rFonts w:ascii="Times New Roman" w:hAnsi="Times New Roman" w:cs="Times New Roman"/>
          <w:sz w:val="24"/>
          <w:szCs w:val="24"/>
        </w:rPr>
        <w:t xml:space="preserve"> </w:t>
      </w:r>
      <w:r w:rsidR="00714292">
        <w:rPr>
          <w:rFonts w:ascii="Times New Roman" w:hAnsi="Times New Roman" w:cs="Times New Roman"/>
          <w:sz w:val="24"/>
          <w:szCs w:val="24"/>
        </w:rPr>
        <w:t>five</w:t>
      </w:r>
      <w:r w:rsidRPr="003E4AD6">
        <w:rPr>
          <w:rFonts w:ascii="Times New Roman" w:hAnsi="Times New Roman" w:cs="Times New Roman"/>
          <w:sz w:val="24"/>
          <w:szCs w:val="24"/>
        </w:rPr>
        <w:t xml:space="preserve"> programs: </w:t>
      </w:r>
      <w:r w:rsidR="003E4AD6" w:rsidRPr="003E4AD6">
        <w:rPr>
          <w:rFonts w:ascii="Times New Roman" w:hAnsi="Times New Roman" w:cs="Times New Roman"/>
          <w:i/>
          <w:sz w:val="24"/>
          <w:szCs w:val="24"/>
        </w:rPr>
        <w:t>Home Energy Savings,</w:t>
      </w:r>
      <w:r w:rsidRPr="003E4AD6">
        <w:rPr>
          <w:rFonts w:ascii="Times New Roman" w:hAnsi="Times New Roman" w:cs="Times New Roman"/>
          <w:i/>
          <w:sz w:val="24"/>
          <w:szCs w:val="24"/>
        </w:rPr>
        <w:t xml:space="preserve"> </w:t>
      </w:r>
      <w:r w:rsidRPr="003E4AD6">
        <w:rPr>
          <w:rFonts w:ascii="Times New Roman" w:hAnsi="Times New Roman" w:cs="Times New Roman"/>
          <w:sz w:val="24"/>
          <w:szCs w:val="24"/>
        </w:rPr>
        <w:t>Schedule 1</w:t>
      </w:r>
      <w:r w:rsidR="00FB39B6" w:rsidRPr="003E4AD6">
        <w:rPr>
          <w:rFonts w:ascii="Times New Roman" w:hAnsi="Times New Roman" w:cs="Times New Roman"/>
          <w:sz w:val="24"/>
          <w:szCs w:val="24"/>
        </w:rPr>
        <w:t>18</w:t>
      </w:r>
      <w:r w:rsidR="003E4AD6" w:rsidRPr="003E4AD6">
        <w:rPr>
          <w:rFonts w:ascii="Times New Roman" w:hAnsi="Times New Roman" w:cs="Times New Roman"/>
          <w:i/>
          <w:sz w:val="24"/>
          <w:szCs w:val="24"/>
        </w:rPr>
        <w:t>;</w:t>
      </w:r>
      <w:r w:rsidRPr="003E4AD6">
        <w:rPr>
          <w:rFonts w:ascii="Times New Roman" w:hAnsi="Times New Roman" w:cs="Times New Roman"/>
          <w:i/>
          <w:sz w:val="24"/>
          <w:szCs w:val="24"/>
        </w:rPr>
        <w:t xml:space="preserve"> </w:t>
      </w:r>
      <w:r w:rsidR="003E4AD6" w:rsidRPr="003E4AD6">
        <w:rPr>
          <w:rFonts w:ascii="Times New Roman" w:hAnsi="Times New Roman" w:cs="Times New Roman"/>
          <w:i/>
          <w:sz w:val="24"/>
          <w:szCs w:val="24"/>
        </w:rPr>
        <w:t>Home Energy Reports;</w:t>
      </w:r>
      <w:r w:rsidR="002E00D4" w:rsidRPr="003E4AD6">
        <w:rPr>
          <w:rFonts w:ascii="Times New Roman" w:hAnsi="Times New Roman" w:cs="Times New Roman"/>
          <w:i/>
          <w:sz w:val="24"/>
          <w:szCs w:val="24"/>
        </w:rPr>
        <w:t xml:space="preserve"> </w:t>
      </w:r>
      <w:r w:rsidRPr="003E4AD6">
        <w:rPr>
          <w:rFonts w:ascii="Times New Roman" w:hAnsi="Times New Roman" w:cs="Times New Roman"/>
          <w:i/>
          <w:sz w:val="24"/>
          <w:szCs w:val="24"/>
        </w:rPr>
        <w:t>Resi</w:t>
      </w:r>
      <w:r w:rsidR="003E4AD6" w:rsidRPr="003E4AD6">
        <w:rPr>
          <w:rFonts w:ascii="Times New Roman" w:hAnsi="Times New Roman" w:cs="Times New Roman"/>
          <w:i/>
          <w:sz w:val="24"/>
          <w:szCs w:val="24"/>
        </w:rPr>
        <w:t>dential Refrigerator Recycling,</w:t>
      </w:r>
      <w:r w:rsidRPr="003E4AD6">
        <w:rPr>
          <w:rFonts w:ascii="Times New Roman" w:hAnsi="Times New Roman" w:cs="Times New Roman"/>
          <w:i/>
          <w:sz w:val="24"/>
          <w:szCs w:val="24"/>
        </w:rPr>
        <w:t xml:space="preserve"> </w:t>
      </w:r>
      <w:r w:rsidRPr="003E4AD6">
        <w:rPr>
          <w:rFonts w:ascii="Times New Roman" w:hAnsi="Times New Roman" w:cs="Times New Roman"/>
          <w:sz w:val="24"/>
          <w:szCs w:val="24"/>
        </w:rPr>
        <w:t>Schedule 1</w:t>
      </w:r>
      <w:r w:rsidR="00FB39B6" w:rsidRPr="003E4AD6">
        <w:rPr>
          <w:rFonts w:ascii="Times New Roman" w:hAnsi="Times New Roman" w:cs="Times New Roman"/>
          <w:sz w:val="24"/>
          <w:szCs w:val="24"/>
        </w:rPr>
        <w:t>0</w:t>
      </w:r>
      <w:r w:rsidRPr="003E4AD6">
        <w:rPr>
          <w:rFonts w:ascii="Times New Roman" w:hAnsi="Times New Roman" w:cs="Times New Roman"/>
          <w:sz w:val="24"/>
          <w:szCs w:val="24"/>
        </w:rPr>
        <w:t>7</w:t>
      </w:r>
      <w:r w:rsidR="003E4AD6" w:rsidRPr="003E4AD6">
        <w:rPr>
          <w:rFonts w:ascii="Times New Roman" w:hAnsi="Times New Roman" w:cs="Times New Roman"/>
          <w:i/>
          <w:sz w:val="24"/>
          <w:szCs w:val="24"/>
        </w:rPr>
        <w:t>;</w:t>
      </w:r>
      <w:r w:rsidRPr="003E4AD6">
        <w:rPr>
          <w:rFonts w:ascii="Times New Roman" w:hAnsi="Times New Roman" w:cs="Times New Roman"/>
          <w:i/>
          <w:sz w:val="24"/>
          <w:szCs w:val="24"/>
        </w:rPr>
        <w:t xml:space="preserve"> Low Income Weatherization</w:t>
      </w:r>
      <w:r w:rsidR="003E4AD6" w:rsidRPr="003E4AD6">
        <w:rPr>
          <w:rFonts w:ascii="Times New Roman" w:hAnsi="Times New Roman" w:cs="Times New Roman"/>
          <w:i/>
          <w:sz w:val="24"/>
          <w:szCs w:val="24"/>
        </w:rPr>
        <w:t>,</w:t>
      </w:r>
      <w:r w:rsidRPr="003E4AD6">
        <w:rPr>
          <w:rFonts w:ascii="Times New Roman" w:hAnsi="Times New Roman" w:cs="Times New Roman"/>
          <w:i/>
          <w:sz w:val="24"/>
          <w:szCs w:val="24"/>
        </w:rPr>
        <w:t xml:space="preserve"> </w:t>
      </w:r>
      <w:r w:rsidRPr="003E4AD6">
        <w:rPr>
          <w:rFonts w:ascii="Times New Roman" w:hAnsi="Times New Roman" w:cs="Times New Roman"/>
          <w:sz w:val="24"/>
          <w:szCs w:val="24"/>
        </w:rPr>
        <w:t>Schedule 11</w:t>
      </w:r>
      <w:r w:rsidR="00FB39B6" w:rsidRPr="003E4AD6">
        <w:rPr>
          <w:rFonts w:ascii="Times New Roman" w:hAnsi="Times New Roman" w:cs="Times New Roman"/>
          <w:sz w:val="24"/>
          <w:szCs w:val="24"/>
        </w:rPr>
        <w:t>4</w:t>
      </w:r>
      <w:r w:rsidR="003E4AD6" w:rsidRPr="003E4AD6">
        <w:rPr>
          <w:rFonts w:ascii="Times New Roman" w:hAnsi="Times New Roman" w:cs="Times New Roman"/>
          <w:i/>
          <w:sz w:val="24"/>
          <w:szCs w:val="24"/>
        </w:rPr>
        <w:t>;</w:t>
      </w:r>
      <w:r w:rsidR="003E4AD6" w:rsidRPr="005C5C7D">
        <w:rPr>
          <w:rFonts w:ascii="Times New Roman" w:hAnsi="Times New Roman" w:cs="Times New Roman"/>
          <w:sz w:val="24"/>
          <w:szCs w:val="24"/>
        </w:rPr>
        <w:t xml:space="preserve"> </w:t>
      </w:r>
      <w:r w:rsidR="00E13A6F" w:rsidRPr="005C5C7D">
        <w:rPr>
          <w:rFonts w:ascii="Times New Roman" w:hAnsi="Times New Roman" w:cs="Times New Roman"/>
          <w:sz w:val="24"/>
          <w:szCs w:val="24"/>
        </w:rPr>
        <w:t xml:space="preserve">and </w:t>
      </w:r>
      <w:r w:rsidR="00C70854" w:rsidRPr="005C5C7D">
        <w:rPr>
          <w:rFonts w:ascii="Times New Roman" w:hAnsi="Times New Roman" w:cs="Times New Roman"/>
          <w:i/>
          <w:sz w:val="24"/>
          <w:szCs w:val="24"/>
        </w:rPr>
        <w:t>Non-Residential Energy Efficiency (</w:t>
      </w:r>
      <w:r w:rsidR="00E13A6F" w:rsidRPr="003E797B">
        <w:rPr>
          <w:rFonts w:ascii="Times New Roman" w:hAnsi="Times New Roman" w:cs="Times New Roman"/>
          <w:i/>
          <w:sz w:val="24"/>
          <w:szCs w:val="24"/>
        </w:rPr>
        <w:t>watt</w:t>
      </w:r>
      <w:r w:rsidR="00E13A6F" w:rsidRPr="003E797B">
        <w:rPr>
          <w:rFonts w:ascii="Times New Roman" w:hAnsi="Times New Roman" w:cs="Times New Roman"/>
          <w:sz w:val="24"/>
          <w:szCs w:val="24"/>
        </w:rPr>
        <w:t>s</w:t>
      </w:r>
      <w:r w:rsidR="00E13A6F" w:rsidRPr="00E634F6">
        <w:rPr>
          <w:rFonts w:ascii="Times New Roman" w:hAnsi="Times New Roman" w:cs="Times New Roman"/>
          <w:sz w:val="24"/>
          <w:szCs w:val="24"/>
        </w:rPr>
        <w:t>mart</w:t>
      </w:r>
      <w:r w:rsidR="00E634F6">
        <w:rPr>
          <w:color w:val="1F497D"/>
        </w:rPr>
        <w:t xml:space="preserve"> </w:t>
      </w:r>
      <w:r w:rsidR="00E13A6F" w:rsidRPr="00C70854">
        <w:rPr>
          <w:rFonts w:ascii="Times New Roman" w:hAnsi="Times New Roman" w:cs="Times New Roman"/>
          <w:i/>
          <w:sz w:val="24"/>
          <w:szCs w:val="24"/>
        </w:rPr>
        <w:t>Business</w:t>
      </w:r>
      <w:r w:rsidR="00C70854" w:rsidRPr="00C70854">
        <w:rPr>
          <w:rFonts w:ascii="Times New Roman" w:hAnsi="Times New Roman" w:cs="Times New Roman"/>
          <w:i/>
          <w:sz w:val="24"/>
          <w:szCs w:val="24"/>
        </w:rPr>
        <w:t>)</w:t>
      </w:r>
      <w:r w:rsidR="003E4AD6" w:rsidRPr="003E4AD6">
        <w:rPr>
          <w:rFonts w:ascii="Times New Roman" w:hAnsi="Times New Roman" w:cs="Times New Roman"/>
          <w:i/>
          <w:sz w:val="24"/>
          <w:szCs w:val="24"/>
        </w:rPr>
        <w:t>,</w:t>
      </w:r>
      <w:r w:rsidRPr="003E4AD6">
        <w:rPr>
          <w:rFonts w:ascii="Times New Roman" w:hAnsi="Times New Roman" w:cs="Times New Roman"/>
          <w:i/>
          <w:sz w:val="24"/>
          <w:szCs w:val="24"/>
        </w:rPr>
        <w:t xml:space="preserve"> </w:t>
      </w:r>
      <w:r w:rsidRPr="003E4AD6">
        <w:rPr>
          <w:rFonts w:ascii="Times New Roman" w:hAnsi="Times New Roman" w:cs="Times New Roman"/>
          <w:sz w:val="24"/>
          <w:szCs w:val="24"/>
        </w:rPr>
        <w:t>Schedule 1</w:t>
      </w:r>
      <w:r w:rsidR="00E13A6F">
        <w:rPr>
          <w:rFonts w:ascii="Times New Roman" w:hAnsi="Times New Roman" w:cs="Times New Roman"/>
          <w:sz w:val="24"/>
          <w:szCs w:val="24"/>
        </w:rPr>
        <w:t>40.</w:t>
      </w:r>
      <w:r w:rsidRPr="003E4AD6">
        <w:rPr>
          <w:rFonts w:ascii="Times New Roman" w:hAnsi="Times New Roman" w:cs="Times New Roman"/>
          <w:i/>
          <w:sz w:val="24"/>
          <w:szCs w:val="24"/>
        </w:rPr>
        <w:t xml:space="preserve"> </w:t>
      </w:r>
      <w:r w:rsidRPr="003E4AD6">
        <w:rPr>
          <w:rFonts w:ascii="Times New Roman" w:hAnsi="Times New Roman" w:cs="Times New Roman"/>
          <w:sz w:val="24"/>
          <w:szCs w:val="24"/>
        </w:rPr>
        <w:t>In addition to the energy efficiency programs, the Company</w:t>
      </w:r>
      <w:r w:rsidR="00DD120A">
        <w:rPr>
          <w:rFonts w:ascii="Times New Roman" w:hAnsi="Times New Roman" w:cs="Times New Roman"/>
          <w:sz w:val="24"/>
          <w:szCs w:val="24"/>
        </w:rPr>
        <w:t>,</w:t>
      </w:r>
      <w:r w:rsidRPr="003E4AD6">
        <w:rPr>
          <w:rFonts w:ascii="Times New Roman" w:hAnsi="Times New Roman" w:cs="Times New Roman"/>
          <w:sz w:val="24"/>
          <w:szCs w:val="24"/>
        </w:rPr>
        <w:t xml:space="preserve"> on behalf of customers</w:t>
      </w:r>
      <w:r w:rsidR="00DD120A">
        <w:rPr>
          <w:rFonts w:ascii="Times New Roman" w:hAnsi="Times New Roman" w:cs="Times New Roman"/>
          <w:sz w:val="24"/>
          <w:szCs w:val="24"/>
        </w:rPr>
        <w:t>,</w:t>
      </w:r>
      <w:r w:rsidRPr="003E4AD6">
        <w:rPr>
          <w:rFonts w:ascii="Times New Roman" w:hAnsi="Times New Roman" w:cs="Times New Roman"/>
          <w:sz w:val="24"/>
          <w:szCs w:val="24"/>
        </w:rPr>
        <w:t xml:space="preserve"> invest</w:t>
      </w:r>
      <w:r w:rsidR="00531A92">
        <w:rPr>
          <w:rFonts w:ascii="Times New Roman" w:hAnsi="Times New Roman" w:cs="Times New Roman"/>
          <w:sz w:val="24"/>
          <w:szCs w:val="24"/>
        </w:rPr>
        <w:t>ed</w:t>
      </w:r>
      <w:r w:rsidRPr="003E4AD6">
        <w:rPr>
          <w:rFonts w:ascii="Times New Roman" w:hAnsi="Times New Roman" w:cs="Times New Roman"/>
          <w:sz w:val="24"/>
          <w:szCs w:val="24"/>
        </w:rPr>
        <w:t xml:space="preserve"> in outreach and education </w:t>
      </w:r>
      <w:r w:rsidR="0083121E">
        <w:rPr>
          <w:rFonts w:ascii="Times New Roman" w:hAnsi="Times New Roman" w:cs="Times New Roman"/>
          <w:sz w:val="24"/>
          <w:szCs w:val="24"/>
        </w:rPr>
        <w:t xml:space="preserve">for the purpose of promoting </w:t>
      </w:r>
      <w:r w:rsidRPr="003E4AD6">
        <w:rPr>
          <w:rFonts w:ascii="Times New Roman" w:hAnsi="Times New Roman" w:cs="Times New Roman"/>
          <w:sz w:val="24"/>
          <w:szCs w:val="24"/>
        </w:rPr>
        <w:t>the efficient use of electricity</w:t>
      </w:r>
      <w:r w:rsidR="002E318A">
        <w:rPr>
          <w:rFonts w:ascii="Times New Roman" w:hAnsi="Times New Roman" w:cs="Times New Roman"/>
          <w:sz w:val="24"/>
          <w:szCs w:val="24"/>
        </w:rPr>
        <w:t xml:space="preserve"> and improving program performance</w:t>
      </w:r>
      <w:r w:rsidRPr="003E4AD6">
        <w:rPr>
          <w:rFonts w:ascii="Times New Roman" w:hAnsi="Times New Roman" w:cs="Times New Roman"/>
          <w:sz w:val="24"/>
          <w:szCs w:val="24"/>
        </w:rPr>
        <w:t>.</w:t>
      </w:r>
      <w:r w:rsidR="003E4AD6">
        <w:rPr>
          <w:rFonts w:ascii="Times New Roman" w:hAnsi="Times New Roman" w:cs="Times New Roman"/>
          <w:sz w:val="24"/>
          <w:szCs w:val="24"/>
        </w:rPr>
        <w:t xml:space="preserve"> </w:t>
      </w:r>
      <w:r w:rsidR="00894199">
        <w:rPr>
          <w:rFonts w:ascii="Times New Roman" w:hAnsi="Times New Roman" w:cs="Times New Roman"/>
          <w:sz w:val="24"/>
          <w:szCs w:val="24"/>
        </w:rPr>
        <w:t>R</w:t>
      </w:r>
      <w:r>
        <w:rPr>
          <w:rFonts w:ascii="Times New Roman" w:hAnsi="Times New Roman" w:cs="Times New Roman"/>
          <w:sz w:val="24"/>
          <w:szCs w:val="24"/>
        </w:rPr>
        <w:t xml:space="preserve">esults for </w:t>
      </w:r>
      <w:r w:rsidR="00205BDD" w:rsidRPr="003E4AD6">
        <w:rPr>
          <w:rFonts w:ascii="Times New Roman" w:hAnsi="Times New Roman" w:cs="Times New Roman"/>
          <w:sz w:val="24"/>
          <w:szCs w:val="24"/>
        </w:rPr>
        <w:t>201</w:t>
      </w:r>
      <w:r w:rsidR="0098385A">
        <w:rPr>
          <w:rFonts w:ascii="Times New Roman" w:hAnsi="Times New Roman" w:cs="Times New Roman"/>
          <w:sz w:val="24"/>
          <w:szCs w:val="24"/>
        </w:rPr>
        <w:t>5</w:t>
      </w:r>
      <w:r w:rsidR="00660E12">
        <w:rPr>
          <w:rFonts w:ascii="Times New Roman" w:hAnsi="Times New Roman" w:cs="Times New Roman"/>
          <w:sz w:val="24"/>
          <w:szCs w:val="24"/>
        </w:rPr>
        <w:t xml:space="preserve"> are provided in T</w:t>
      </w:r>
      <w:r w:rsidR="00294086">
        <w:rPr>
          <w:rFonts w:ascii="Times New Roman" w:hAnsi="Times New Roman" w:cs="Times New Roman"/>
          <w:sz w:val="24"/>
          <w:szCs w:val="24"/>
        </w:rPr>
        <w:t>able 6</w:t>
      </w:r>
      <w:r>
        <w:rPr>
          <w:rFonts w:ascii="Times New Roman" w:hAnsi="Times New Roman" w:cs="Times New Roman"/>
          <w:sz w:val="24"/>
          <w:szCs w:val="24"/>
        </w:rPr>
        <w:t>.</w:t>
      </w:r>
      <w:r w:rsidR="00205BDD">
        <w:rPr>
          <w:rFonts w:ascii="Times New Roman" w:hAnsi="Times New Roman" w:cs="Times New Roman"/>
          <w:sz w:val="24"/>
          <w:szCs w:val="24"/>
        </w:rPr>
        <w:t xml:space="preserve"> </w:t>
      </w:r>
    </w:p>
    <w:p w14:paraId="2451CC94" w14:textId="77777777" w:rsidR="0049685A" w:rsidRDefault="0049685A" w:rsidP="003E4AD6">
      <w:pPr>
        <w:jc w:val="both"/>
        <w:rPr>
          <w:rFonts w:ascii="Times New Roman" w:hAnsi="Times New Roman" w:cs="Times New Roman"/>
          <w:sz w:val="24"/>
          <w:szCs w:val="24"/>
        </w:rPr>
      </w:pPr>
    </w:p>
    <w:p w14:paraId="2451CC95" w14:textId="77777777" w:rsidR="00DC40E5" w:rsidRPr="007716B1" w:rsidRDefault="00294086" w:rsidP="00DC40E5">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6</w:t>
      </w:r>
    </w:p>
    <w:p w14:paraId="2451CC96" w14:textId="77777777" w:rsidR="00531A92" w:rsidRDefault="00FB39B6" w:rsidP="00C7217B">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Washington </w:t>
      </w:r>
      <w:r w:rsidR="00A3746F" w:rsidRPr="007716B1">
        <w:rPr>
          <w:rFonts w:ascii="Times New Roman" w:hAnsi="Times New Roman" w:cs="Times New Roman"/>
          <w:color w:val="548DD4" w:themeColor="text2" w:themeTint="99"/>
          <w:sz w:val="24"/>
          <w:szCs w:val="24"/>
        </w:rPr>
        <w:t>Results January 1, 20</w:t>
      </w:r>
      <w:r>
        <w:rPr>
          <w:rFonts w:ascii="Times New Roman" w:hAnsi="Times New Roman" w:cs="Times New Roman"/>
          <w:color w:val="548DD4" w:themeColor="text2" w:themeTint="99"/>
          <w:sz w:val="24"/>
          <w:szCs w:val="24"/>
        </w:rPr>
        <w:t>1</w:t>
      </w:r>
      <w:r w:rsidR="005F7DDE">
        <w:rPr>
          <w:rFonts w:ascii="Times New Roman" w:hAnsi="Times New Roman" w:cs="Times New Roman"/>
          <w:color w:val="548DD4" w:themeColor="text2" w:themeTint="99"/>
          <w:sz w:val="24"/>
          <w:szCs w:val="24"/>
        </w:rPr>
        <w:t>5</w:t>
      </w:r>
      <w:r w:rsidR="00A3746F" w:rsidRPr="007716B1">
        <w:rPr>
          <w:rFonts w:ascii="Times New Roman" w:hAnsi="Times New Roman" w:cs="Times New Roman"/>
          <w:color w:val="548DD4" w:themeColor="text2" w:themeTint="99"/>
          <w:sz w:val="24"/>
          <w:szCs w:val="24"/>
        </w:rPr>
        <w:t xml:space="preserve"> – December 31, 20</w:t>
      </w:r>
      <w:r>
        <w:rPr>
          <w:rFonts w:ascii="Times New Roman" w:hAnsi="Times New Roman" w:cs="Times New Roman"/>
          <w:color w:val="548DD4" w:themeColor="text2" w:themeTint="99"/>
          <w:sz w:val="24"/>
          <w:szCs w:val="24"/>
        </w:rPr>
        <w:t>1</w:t>
      </w:r>
      <w:r w:rsidR="005F7DDE">
        <w:rPr>
          <w:rFonts w:ascii="Times New Roman" w:hAnsi="Times New Roman" w:cs="Times New Roman"/>
          <w:color w:val="548DD4" w:themeColor="text2" w:themeTint="99"/>
          <w:sz w:val="24"/>
          <w:szCs w:val="24"/>
        </w:rPr>
        <w:t>5</w:t>
      </w:r>
    </w:p>
    <w:p w14:paraId="2451CC97" w14:textId="77777777" w:rsidR="005F7DDE" w:rsidRDefault="005F7DDE" w:rsidP="00C7217B">
      <w:pPr>
        <w:jc w:val="center"/>
        <w:rPr>
          <w:rFonts w:ascii="Times New Roman" w:hAnsi="Times New Roman" w:cs="Times New Roman"/>
          <w:color w:val="548DD4" w:themeColor="text2" w:themeTint="99"/>
          <w:sz w:val="24"/>
          <w:szCs w:val="24"/>
        </w:rPr>
      </w:pPr>
    </w:p>
    <w:p w14:paraId="2451CC98" w14:textId="77777777" w:rsidR="00547E5B" w:rsidRDefault="00B55504" w:rsidP="0098385A">
      <w:pPr>
        <w:jc w:val="center"/>
        <w:rPr>
          <w:rFonts w:ascii="Times New Roman" w:hAnsi="Times New Roman" w:cs="Times New Roman"/>
          <w:sz w:val="24"/>
          <w:szCs w:val="24"/>
        </w:rPr>
        <w:sectPr w:rsidR="00547E5B" w:rsidSect="00547E5B">
          <w:headerReference w:type="first" r:id="rId37"/>
          <w:pgSz w:w="12240" w:h="15840"/>
          <w:pgMar w:top="1440" w:right="1440" w:bottom="1440" w:left="1440" w:header="720" w:footer="720" w:gutter="0"/>
          <w:cols w:space="720"/>
          <w:titlePg/>
          <w:docGrid w:linePitch="360"/>
        </w:sectPr>
      </w:pPr>
      <w:r w:rsidRPr="00B55504">
        <w:rPr>
          <w:noProof/>
        </w:rPr>
        <w:drawing>
          <wp:inline distT="0" distB="0" distL="0" distR="0" wp14:anchorId="2451CFD9" wp14:editId="2451CFDA">
            <wp:extent cx="5727700" cy="533971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0" cy="5339715"/>
                    </a:xfrm>
                    <a:prstGeom prst="rect">
                      <a:avLst/>
                    </a:prstGeom>
                    <a:noFill/>
                    <a:ln>
                      <a:noFill/>
                    </a:ln>
                  </pic:spPr>
                </pic:pic>
              </a:graphicData>
            </a:graphic>
          </wp:inline>
        </w:drawing>
      </w:r>
      <w:r w:rsidR="00E2008B">
        <w:rPr>
          <w:rFonts w:ascii="Times New Roman" w:hAnsi="Times New Roman" w:cs="Times New Roman"/>
          <w:color w:val="548DD4" w:themeColor="text2" w:themeTint="99"/>
          <w:sz w:val="24"/>
          <w:szCs w:val="24"/>
        </w:rPr>
        <w:t xml:space="preserve"> </w:t>
      </w:r>
      <w:bookmarkStart w:id="13" w:name="_MON_1424795837"/>
      <w:bookmarkEnd w:id="13"/>
    </w:p>
    <w:p w14:paraId="2451CC99" w14:textId="77777777" w:rsidR="00547E5B" w:rsidRPr="00660E12" w:rsidRDefault="00547E5B" w:rsidP="00547E5B">
      <w:pPr>
        <w:spacing w:before="240"/>
        <w:jc w:val="both"/>
        <w:rPr>
          <w:rFonts w:ascii="Times New Roman" w:hAnsi="Times New Roman" w:cs="Times New Roman"/>
          <w:sz w:val="24"/>
          <w:szCs w:val="24"/>
        </w:rPr>
      </w:pPr>
      <w:r w:rsidRPr="007B2365">
        <w:rPr>
          <w:rFonts w:ascii="Times New Roman" w:hAnsi="Times New Roman" w:cs="Times New Roman"/>
          <w:sz w:val="24"/>
          <w:szCs w:val="24"/>
        </w:rPr>
        <w:lastRenderedPageBreak/>
        <w:t>The Company, consistent with</w:t>
      </w:r>
      <w:r w:rsidRPr="00660E12">
        <w:rPr>
          <w:rFonts w:ascii="Times New Roman" w:hAnsi="Times New Roman" w:cs="Times New Roman"/>
          <w:sz w:val="24"/>
          <w:szCs w:val="24"/>
        </w:rPr>
        <w:t xml:space="preserve"> requirements under Docket UE-</w:t>
      </w:r>
      <w:r w:rsidR="007B2365">
        <w:rPr>
          <w:rFonts w:ascii="Times New Roman" w:hAnsi="Times New Roman" w:cs="Times New Roman"/>
          <w:sz w:val="24"/>
          <w:szCs w:val="24"/>
        </w:rPr>
        <w:t>132047</w:t>
      </w:r>
      <w:r w:rsidRPr="00660E12">
        <w:rPr>
          <w:rFonts w:ascii="Times New Roman" w:hAnsi="Times New Roman" w:cs="Times New Roman"/>
          <w:sz w:val="24"/>
          <w:szCs w:val="24"/>
        </w:rPr>
        <w:t xml:space="preserve">, Order 01, </w:t>
      </w:r>
      <w:r w:rsidR="007B2365">
        <w:rPr>
          <w:rFonts w:ascii="Times New Roman" w:hAnsi="Times New Roman" w:cs="Times New Roman"/>
          <w:sz w:val="24"/>
          <w:szCs w:val="24"/>
        </w:rPr>
        <w:t>Attachment A</w:t>
      </w:r>
      <w:r w:rsidRPr="00660E12">
        <w:rPr>
          <w:rFonts w:ascii="Times New Roman" w:hAnsi="Times New Roman" w:cs="Times New Roman"/>
          <w:sz w:val="24"/>
          <w:szCs w:val="24"/>
        </w:rPr>
        <w:t xml:space="preserve"> Paragraph (8)(</w:t>
      </w:r>
      <w:r w:rsidR="007B2365">
        <w:rPr>
          <w:rFonts w:ascii="Times New Roman" w:hAnsi="Times New Roman" w:cs="Times New Roman"/>
          <w:sz w:val="24"/>
          <w:szCs w:val="24"/>
        </w:rPr>
        <w:t>b</w:t>
      </w:r>
      <w:r w:rsidRPr="00660E12">
        <w:rPr>
          <w:rFonts w:ascii="Times New Roman" w:hAnsi="Times New Roman" w:cs="Times New Roman"/>
          <w:sz w:val="24"/>
          <w:szCs w:val="24"/>
        </w:rPr>
        <w:t xml:space="preserve">), provides </w:t>
      </w:r>
      <w:r w:rsidRPr="003E4AD6">
        <w:rPr>
          <w:rFonts w:ascii="Times New Roman" w:hAnsi="Times New Roman" w:cs="Times New Roman"/>
          <w:sz w:val="24"/>
          <w:szCs w:val="24"/>
        </w:rPr>
        <w:t xml:space="preserve">Table </w:t>
      </w:r>
      <w:r w:rsidRPr="00660E12">
        <w:rPr>
          <w:rFonts w:ascii="Times New Roman" w:hAnsi="Times New Roman" w:cs="Times New Roman"/>
          <w:sz w:val="24"/>
          <w:szCs w:val="24"/>
        </w:rPr>
        <w:t>7 which compares the Company’s 201</w:t>
      </w:r>
      <w:r w:rsidR="0098385A">
        <w:rPr>
          <w:rFonts w:ascii="Times New Roman" w:hAnsi="Times New Roman" w:cs="Times New Roman"/>
          <w:sz w:val="24"/>
          <w:szCs w:val="24"/>
        </w:rPr>
        <w:t>5</w:t>
      </w:r>
      <w:r w:rsidRPr="00660E12">
        <w:rPr>
          <w:rFonts w:ascii="Times New Roman" w:hAnsi="Times New Roman" w:cs="Times New Roman"/>
          <w:sz w:val="24"/>
          <w:szCs w:val="24"/>
        </w:rPr>
        <w:t xml:space="preserve"> </w:t>
      </w:r>
      <w:r w:rsidR="007B2365">
        <w:rPr>
          <w:rFonts w:ascii="Times New Roman" w:hAnsi="Times New Roman" w:cs="Times New Roman"/>
          <w:sz w:val="24"/>
          <w:szCs w:val="24"/>
        </w:rPr>
        <w:t>Business</w:t>
      </w:r>
      <w:r w:rsidR="00AE30AB">
        <w:rPr>
          <w:rFonts w:ascii="Times New Roman" w:hAnsi="Times New Roman" w:cs="Times New Roman"/>
          <w:sz w:val="24"/>
          <w:szCs w:val="24"/>
        </w:rPr>
        <w:t xml:space="preserve"> Plan </w:t>
      </w:r>
      <w:r w:rsidR="00B367D1">
        <w:rPr>
          <w:rFonts w:ascii="Times New Roman" w:hAnsi="Times New Roman" w:cs="Times New Roman"/>
          <w:sz w:val="24"/>
          <w:szCs w:val="24"/>
        </w:rPr>
        <w:t>B</w:t>
      </w:r>
      <w:r w:rsidRPr="00660E12">
        <w:rPr>
          <w:rFonts w:ascii="Times New Roman" w:hAnsi="Times New Roman" w:cs="Times New Roman"/>
          <w:sz w:val="24"/>
          <w:szCs w:val="24"/>
        </w:rPr>
        <w:t>udget</w:t>
      </w:r>
      <w:r w:rsidR="00B367D1">
        <w:rPr>
          <w:rFonts w:ascii="Times New Roman" w:hAnsi="Times New Roman" w:cs="Times New Roman"/>
          <w:sz w:val="24"/>
          <w:szCs w:val="24"/>
        </w:rPr>
        <w:t xml:space="preserve"> update</w:t>
      </w:r>
      <w:r>
        <w:rPr>
          <w:rFonts w:ascii="Times New Roman" w:hAnsi="Times New Roman" w:cs="Times New Roman"/>
          <w:sz w:val="24"/>
          <w:szCs w:val="24"/>
        </w:rPr>
        <w:t xml:space="preserve"> filed on </w:t>
      </w:r>
      <w:r w:rsidR="007B2365" w:rsidRPr="00B367D1">
        <w:rPr>
          <w:rFonts w:ascii="Times New Roman" w:hAnsi="Times New Roman" w:cs="Times New Roman"/>
          <w:sz w:val="24"/>
          <w:szCs w:val="24"/>
        </w:rPr>
        <w:t>November 1, 201</w:t>
      </w:r>
      <w:r w:rsidR="00C42D9A" w:rsidRPr="00B367D1">
        <w:rPr>
          <w:rFonts w:ascii="Times New Roman" w:hAnsi="Times New Roman" w:cs="Times New Roman"/>
          <w:sz w:val="24"/>
          <w:szCs w:val="24"/>
        </w:rPr>
        <w:t>4</w:t>
      </w:r>
      <w:r w:rsidR="001E47EB">
        <w:rPr>
          <w:rFonts w:ascii="Times New Roman" w:hAnsi="Times New Roman" w:cs="Times New Roman"/>
          <w:sz w:val="24"/>
          <w:szCs w:val="24"/>
        </w:rPr>
        <w:t>,</w:t>
      </w:r>
      <w:r w:rsidR="007B2365" w:rsidRPr="00C42D9A">
        <w:rPr>
          <w:rFonts w:ascii="Times New Roman" w:hAnsi="Times New Roman" w:cs="Times New Roman"/>
          <w:sz w:val="24"/>
          <w:szCs w:val="24"/>
        </w:rPr>
        <w:t xml:space="preserve"> to the</w:t>
      </w:r>
      <w:r w:rsidR="007B2365">
        <w:rPr>
          <w:rFonts w:ascii="Times New Roman" w:hAnsi="Times New Roman" w:cs="Times New Roman"/>
          <w:sz w:val="24"/>
          <w:szCs w:val="24"/>
        </w:rPr>
        <w:t xml:space="preserve"> 201</w:t>
      </w:r>
      <w:r w:rsidR="00C42D9A">
        <w:rPr>
          <w:rFonts w:ascii="Times New Roman" w:hAnsi="Times New Roman" w:cs="Times New Roman"/>
          <w:sz w:val="24"/>
          <w:szCs w:val="24"/>
        </w:rPr>
        <w:t>5</w:t>
      </w:r>
      <w:r w:rsidR="007B2365">
        <w:rPr>
          <w:rFonts w:ascii="Times New Roman" w:hAnsi="Times New Roman" w:cs="Times New Roman"/>
          <w:sz w:val="24"/>
          <w:szCs w:val="24"/>
        </w:rPr>
        <w:t xml:space="preserve"> Biennial Conservation Plan</w:t>
      </w:r>
      <w:r>
        <w:rPr>
          <w:rFonts w:ascii="Times New Roman" w:hAnsi="Times New Roman" w:cs="Times New Roman"/>
          <w:sz w:val="24"/>
          <w:szCs w:val="24"/>
        </w:rPr>
        <w:t>,</w:t>
      </w:r>
      <w:r w:rsidRPr="00660E12">
        <w:rPr>
          <w:rFonts w:ascii="Times New Roman" w:hAnsi="Times New Roman" w:cs="Times New Roman"/>
          <w:sz w:val="24"/>
          <w:szCs w:val="24"/>
        </w:rPr>
        <w:t xml:space="preserve"> to actual 201</w:t>
      </w:r>
      <w:r w:rsidR="0098385A">
        <w:rPr>
          <w:rFonts w:ascii="Times New Roman" w:hAnsi="Times New Roman" w:cs="Times New Roman"/>
          <w:sz w:val="24"/>
          <w:szCs w:val="24"/>
        </w:rPr>
        <w:t>5</w:t>
      </w:r>
      <w:r w:rsidRPr="00660E12">
        <w:rPr>
          <w:rFonts w:ascii="Times New Roman" w:hAnsi="Times New Roman" w:cs="Times New Roman"/>
          <w:sz w:val="24"/>
          <w:szCs w:val="24"/>
        </w:rPr>
        <w:t xml:space="preserve"> program performance.</w:t>
      </w:r>
    </w:p>
    <w:p w14:paraId="2451CC9A" w14:textId="77777777" w:rsidR="00294086" w:rsidRPr="00660E12" w:rsidRDefault="00294086" w:rsidP="00294086">
      <w:pPr>
        <w:jc w:val="both"/>
        <w:rPr>
          <w:rFonts w:ascii="Times New Roman" w:hAnsi="Times New Roman" w:cs="Times New Roman"/>
          <w:sz w:val="24"/>
          <w:szCs w:val="24"/>
        </w:rPr>
      </w:pPr>
    </w:p>
    <w:p w14:paraId="2451CC9B" w14:textId="77777777" w:rsidR="00887AD1" w:rsidRPr="00C42D9A" w:rsidRDefault="00294086" w:rsidP="00294086">
      <w:pPr>
        <w:jc w:val="both"/>
        <w:rPr>
          <w:rFonts w:ascii="Times New Roman" w:hAnsi="Times New Roman" w:cs="Times New Roman"/>
          <w:sz w:val="24"/>
          <w:szCs w:val="24"/>
        </w:rPr>
      </w:pPr>
      <w:r w:rsidRPr="00B367D1">
        <w:rPr>
          <w:rFonts w:ascii="Times New Roman" w:hAnsi="Times New Roman" w:cs="Times New Roman"/>
          <w:sz w:val="24"/>
          <w:szCs w:val="24"/>
        </w:rPr>
        <w:t>In 201</w:t>
      </w:r>
      <w:r w:rsidR="00C42D9A" w:rsidRPr="00B367D1">
        <w:rPr>
          <w:rFonts w:ascii="Times New Roman" w:hAnsi="Times New Roman" w:cs="Times New Roman"/>
          <w:sz w:val="24"/>
          <w:szCs w:val="24"/>
        </w:rPr>
        <w:t>5</w:t>
      </w:r>
      <w:r w:rsidRPr="00B367D1">
        <w:rPr>
          <w:rFonts w:ascii="Times New Roman" w:hAnsi="Times New Roman" w:cs="Times New Roman"/>
          <w:sz w:val="24"/>
          <w:szCs w:val="24"/>
        </w:rPr>
        <w:t xml:space="preserve">, the Company delivered preliminary results of </w:t>
      </w:r>
      <w:r w:rsidR="00C42D9A">
        <w:rPr>
          <w:rFonts w:ascii="Times New Roman" w:hAnsi="Times New Roman" w:cs="Times New Roman"/>
          <w:sz w:val="24"/>
          <w:szCs w:val="24"/>
        </w:rPr>
        <w:t>51,802</w:t>
      </w:r>
      <w:r w:rsidRPr="00B367D1">
        <w:rPr>
          <w:rFonts w:ascii="Times New Roman" w:hAnsi="Times New Roman" w:cs="Times New Roman"/>
          <w:sz w:val="24"/>
          <w:szCs w:val="24"/>
        </w:rPr>
        <w:t xml:space="preserve"> </w:t>
      </w:r>
      <w:r w:rsidR="00C42D9A">
        <w:rPr>
          <w:rFonts w:ascii="Times New Roman" w:hAnsi="Times New Roman" w:cs="Times New Roman"/>
          <w:sz w:val="24"/>
          <w:szCs w:val="24"/>
        </w:rPr>
        <w:t>MWh</w:t>
      </w:r>
      <w:r w:rsidRPr="00B367D1">
        <w:rPr>
          <w:rFonts w:ascii="Times New Roman" w:hAnsi="Times New Roman" w:cs="Times New Roman"/>
          <w:sz w:val="24"/>
          <w:szCs w:val="24"/>
        </w:rPr>
        <w:t xml:space="preserve"> in first year energy savings </w:t>
      </w:r>
      <w:r w:rsidR="00C42D9A">
        <w:rPr>
          <w:rFonts w:ascii="Times New Roman" w:hAnsi="Times New Roman" w:cs="Times New Roman"/>
          <w:sz w:val="24"/>
          <w:szCs w:val="24"/>
        </w:rPr>
        <w:t xml:space="preserve">at generation </w:t>
      </w:r>
      <w:r w:rsidRPr="00B367D1">
        <w:rPr>
          <w:rFonts w:ascii="Times New Roman" w:hAnsi="Times New Roman" w:cs="Times New Roman"/>
          <w:sz w:val="24"/>
          <w:szCs w:val="24"/>
        </w:rPr>
        <w:t>against the 201</w:t>
      </w:r>
      <w:r w:rsidR="00C42D9A">
        <w:rPr>
          <w:rFonts w:ascii="Times New Roman" w:hAnsi="Times New Roman" w:cs="Times New Roman"/>
          <w:sz w:val="24"/>
          <w:szCs w:val="24"/>
        </w:rPr>
        <w:t>5</w:t>
      </w:r>
      <w:r w:rsidRPr="00B367D1">
        <w:rPr>
          <w:rFonts w:ascii="Times New Roman" w:hAnsi="Times New Roman" w:cs="Times New Roman"/>
          <w:sz w:val="24"/>
          <w:szCs w:val="24"/>
        </w:rPr>
        <w:t xml:space="preserve"> business plan forecast savings of </w:t>
      </w:r>
      <w:r w:rsidR="00C42D9A">
        <w:rPr>
          <w:rFonts w:ascii="Times New Roman" w:hAnsi="Times New Roman" w:cs="Times New Roman"/>
          <w:sz w:val="24"/>
          <w:szCs w:val="24"/>
        </w:rPr>
        <w:t>59,306 MWh</w:t>
      </w:r>
      <w:r w:rsidRPr="00B367D1">
        <w:rPr>
          <w:rFonts w:ascii="Times New Roman" w:hAnsi="Times New Roman" w:cs="Times New Roman"/>
          <w:sz w:val="24"/>
          <w:szCs w:val="24"/>
        </w:rPr>
        <w:t xml:space="preserve">, a </w:t>
      </w:r>
      <w:r w:rsidR="00B367D1">
        <w:rPr>
          <w:rFonts w:ascii="Times New Roman" w:hAnsi="Times New Roman" w:cs="Times New Roman"/>
          <w:sz w:val="24"/>
          <w:szCs w:val="24"/>
        </w:rPr>
        <w:t>negative</w:t>
      </w:r>
      <w:r w:rsidR="00B367D1" w:rsidRPr="00B367D1">
        <w:rPr>
          <w:rFonts w:ascii="Times New Roman" w:hAnsi="Times New Roman" w:cs="Times New Roman"/>
          <w:sz w:val="24"/>
          <w:szCs w:val="24"/>
        </w:rPr>
        <w:t xml:space="preserve"> </w:t>
      </w:r>
      <w:r w:rsidRPr="00B367D1">
        <w:rPr>
          <w:rFonts w:ascii="Times New Roman" w:hAnsi="Times New Roman" w:cs="Times New Roman"/>
          <w:sz w:val="24"/>
          <w:szCs w:val="24"/>
        </w:rPr>
        <w:t xml:space="preserve">variance of approximately </w:t>
      </w:r>
      <w:r w:rsidR="00B367D1">
        <w:rPr>
          <w:rFonts w:ascii="Times New Roman" w:hAnsi="Times New Roman" w:cs="Times New Roman"/>
          <w:sz w:val="24"/>
          <w:szCs w:val="24"/>
        </w:rPr>
        <w:t xml:space="preserve">13 </w:t>
      </w:r>
      <w:r w:rsidRPr="00B367D1">
        <w:rPr>
          <w:rFonts w:ascii="Times New Roman" w:hAnsi="Times New Roman" w:cs="Times New Roman"/>
          <w:sz w:val="24"/>
          <w:szCs w:val="24"/>
        </w:rPr>
        <w:t xml:space="preserve">percent. </w:t>
      </w:r>
      <w:r w:rsidR="00887AD1" w:rsidRPr="00B367D1">
        <w:rPr>
          <w:rFonts w:ascii="Times New Roman" w:hAnsi="Times New Roman" w:cs="Times New Roman"/>
          <w:sz w:val="24"/>
          <w:szCs w:val="24"/>
        </w:rPr>
        <w:t xml:space="preserve">The largest variances from </w:t>
      </w:r>
      <w:r w:rsidR="009D48F0">
        <w:rPr>
          <w:rFonts w:ascii="Times New Roman" w:hAnsi="Times New Roman" w:cs="Times New Roman"/>
          <w:sz w:val="24"/>
          <w:szCs w:val="24"/>
        </w:rPr>
        <w:t xml:space="preserve">the </w:t>
      </w:r>
      <w:r w:rsidR="00887AD1" w:rsidRPr="00B367D1">
        <w:rPr>
          <w:rFonts w:ascii="Times New Roman" w:hAnsi="Times New Roman" w:cs="Times New Roman"/>
          <w:sz w:val="24"/>
          <w:szCs w:val="24"/>
        </w:rPr>
        <w:t>plan were due to the following:</w:t>
      </w:r>
    </w:p>
    <w:p w14:paraId="2451CC9C" w14:textId="77777777" w:rsidR="00405AF2" w:rsidRPr="00284DE1" w:rsidRDefault="00405AF2" w:rsidP="00294086">
      <w:pPr>
        <w:jc w:val="both"/>
        <w:rPr>
          <w:rFonts w:ascii="Times New Roman" w:hAnsi="Times New Roman" w:cs="Times New Roman"/>
          <w:sz w:val="24"/>
          <w:szCs w:val="24"/>
        </w:rPr>
      </w:pPr>
    </w:p>
    <w:p w14:paraId="2451CC9D" w14:textId="77777777" w:rsidR="00B367D1" w:rsidRDefault="001C7026" w:rsidP="00405AF2">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Lower than forecasted participation from the </w:t>
      </w:r>
      <w:r w:rsidR="00B367D1">
        <w:rPr>
          <w:rFonts w:ascii="Times New Roman" w:hAnsi="Times New Roman" w:cs="Times New Roman"/>
          <w:sz w:val="24"/>
          <w:szCs w:val="24"/>
        </w:rPr>
        <w:t xml:space="preserve"> Refrigerator Recycling program</w:t>
      </w:r>
      <w:r>
        <w:rPr>
          <w:rFonts w:ascii="Times New Roman" w:hAnsi="Times New Roman" w:cs="Times New Roman"/>
          <w:sz w:val="24"/>
          <w:szCs w:val="24"/>
        </w:rPr>
        <w:t xml:space="preserve"> which was further amplified by the unavailability of program services in late November and December. </w:t>
      </w:r>
    </w:p>
    <w:p w14:paraId="2451CC9E" w14:textId="77777777" w:rsidR="00B367D1" w:rsidRDefault="00B367D1" w:rsidP="00405AF2">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Lower than expected savings from Home Energy Report</w:t>
      </w:r>
      <w:r w:rsidR="001C7026">
        <w:rPr>
          <w:rFonts w:ascii="Times New Roman" w:hAnsi="Times New Roman" w:cs="Times New Roman"/>
          <w:sz w:val="24"/>
          <w:szCs w:val="24"/>
        </w:rPr>
        <w:t>s</w:t>
      </w:r>
      <w:r w:rsidR="0083556F">
        <w:rPr>
          <w:rFonts w:ascii="Times New Roman" w:hAnsi="Times New Roman" w:cs="Times New Roman"/>
          <w:sz w:val="24"/>
          <w:szCs w:val="24"/>
        </w:rPr>
        <w:t>,</w:t>
      </w:r>
      <w:r w:rsidR="001C7026">
        <w:rPr>
          <w:rFonts w:ascii="Times New Roman" w:hAnsi="Times New Roman" w:cs="Times New Roman"/>
          <w:sz w:val="24"/>
          <w:szCs w:val="24"/>
        </w:rPr>
        <w:t xml:space="preserve"> including the </w:t>
      </w:r>
      <w:r>
        <w:rPr>
          <w:rFonts w:ascii="Times New Roman" w:hAnsi="Times New Roman" w:cs="Times New Roman"/>
          <w:sz w:val="24"/>
          <w:szCs w:val="24"/>
        </w:rPr>
        <w:t xml:space="preserve">expansion </w:t>
      </w:r>
      <w:r w:rsidR="001C7026">
        <w:rPr>
          <w:rFonts w:ascii="Times New Roman" w:hAnsi="Times New Roman" w:cs="Times New Roman"/>
          <w:sz w:val="24"/>
          <w:szCs w:val="24"/>
        </w:rPr>
        <w:t xml:space="preserve">group. </w:t>
      </w:r>
    </w:p>
    <w:p w14:paraId="2451CC9F" w14:textId="77777777" w:rsidR="00B367D1" w:rsidRDefault="00B367D1" w:rsidP="00405AF2">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NEEA savings </w:t>
      </w:r>
      <w:r w:rsidR="00ED1DB0">
        <w:rPr>
          <w:rFonts w:ascii="Times New Roman" w:hAnsi="Times New Roman" w:cs="Times New Roman"/>
          <w:sz w:val="24"/>
          <w:szCs w:val="24"/>
        </w:rPr>
        <w:t xml:space="preserve">declined compared to the forecast when the baseline </w:t>
      </w:r>
      <w:r>
        <w:rPr>
          <w:rFonts w:ascii="Times New Roman" w:hAnsi="Times New Roman" w:cs="Times New Roman"/>
          <w:sz w:val="24"/>
          <w:szCs w:val="24"/>
        </w:rPr>
        <w:t xml:space="preserve">used to develop the Company’s 2014-2015 </w:t>
      </w:r>
      <w:r w:rsidR="0083556F">
        <w:rPr>
          <w:rFonts w:ascii="Times New Roman" w:hAnsi="Times New Roman" w:cs="Times New Roman"/>
          <w:sz w:val="24"/>
          <w:szCs w:val="24"/>
        </w:rPr>
        <w:t>biennial conservation target was us</w:t>
      </w:r>
      <w:r w:rsidR="00ED1DB0">
        <w:rPr>
          <w:rFonts w:ascii="Times New Roman" w:hAnsi="Times New Roman" w:cs="Times New Roman"/>
          <w:sz w:val="24"/>
          <w:szCs w:val="24"/>
        </w:rPr>
        <w:t xml:space="preserve">ed by NEEA for savings reporting.  </w:t>
      </w:r>
    </w:p>
    <w:p w14:paraId="2451CCA0" w14:textId="77777777" w:rsidR="0033707A" w:rsidRDefault="0033707A" w:rsidP="0011122F">
      <w:pPr>
        <w:ind w:left="720" w:hanging="720"/>
        <w:jc w:val="both"/>
        <w:rPr>
          <w:rFonts w:ascii="Times New Roman" w:hAnsi="Times New Roman" w:cs="Times New Roman"/>
          <w:sz w:val="24"/>
          <w:szCs w:val="24"/>
        </w:rPr>
      </w:pPr>
    </w:p>
    <w:p w14:paraId="2451CCA1" w14:textId="77777777" w:rsidR="00294086" w:rsidRPr="0033707A" w:rsidRDefault="00294086" w:rsidP="0011122F">
      <w:pPr>
        <w:pStyle w:val="ListParagraph"/>
        <w:ind w:left="1499"/>
        <w:jc w:val="both"/>
      </w:pPr>
      <w:r w:rsidRPr="0033707A">
        <w:t xml:space="preserve"> </w:t>
      </w:r>
    </w:p>
    <w:p w14:paraId="2451CCA2" w14:textId="77777777" w:rsidR="0011122F" w:rsidRDefault="0011122F" w:rsidP="00294086">
      <w:pPr>
        <w:pStyle w:val="Caption"/>
        <w:rPr>
          <w:color w:val="4F81BD" w:themeColor="accent1"/>
        </w:rPr>
        <w:sectPr w:rsidR="0011122F" w:rsidSect="0011122F">
          <w:pgSz w:w="12240" w:h="15840"/>
          <w:pgMar w:top="1440" w:right="1440" w:bottom="1440" w:left="1440" w:header="720" w:footer="720" w:gutter="0"/>
          <w:cols w:space="720"/>
          <w:titlePg/>
          <w:docGrid w:linePitch="360"/>
        </w:sectPr>
      </w:pPr>
    </w:p>
    <w:p w14:paraId="2451CCA3" w14:textId="77777777" w:rsidR="00294086" w:rsidRDefault="00294086" w:rsidP="00294086">
      <w:pPr>
        <w:pStyle w:val="Caption"/>
        <w:rPr>
          <w:color w:val="4F81BD" w:themeColor="accent1"/>
        </w:rPr>
      </w:pPr>
      <w:r w:rsidRPr="00523BBA">
        <w:rPr>
          <w:color w:val="4F81BD" w:themeColor="accent1"/>
        </w:rPr>
        <w:lastRenderedPageBreak/>
        <w:t>Table 7:</w:t>
      </w:r>
      <w:r w:rsidRPr="003E4AD6">
        <w:rPr>
          <w:color w:val="4F81BD" w:themeColor="accent1"/>
        </w:rPr>
        <w:t xml:space="preserve">  Washington Business Plan Budget</w:t>
      </w:r>
      <w:r w:rsidR="00523BBA">
        <w:rPr>
          <w:rStyle w:val="FootnoteReference"/>
          <w:color w:val="4F81BD" w:themeColor="accent1"/>
        </w:rPr>
        <w:footnoteReference w:id="16"/>
      </w:r>
      <w:r w:rsidRPr="003E4AD6">
        <w:rPr>
          <w:color w:val="4F81BD" w:themeColor="accent1"/>
        </w:rPr>
        <w:t xml:space="preserve"> compared to Actual</w:t>
      </w:r>
      <w:r w:rsidR="00052B05">
        <w:rPr>
          <w:rStyle w:val="FootnoteReference"/>
          <w:color w:val="4F81BD" w:themeColor="accent1"/>
        </w:rPr>
        <w:footnoteReference w:id="17"/>
      </w:r>
    </w:p>
    <w:p w14:paraId="2451CCA4" w14:textId="77777777" w:rsidR="00DA457A" w:rsidRPr="00DA457A" w:rsidRDefault="00DA457A" w:rsidP="00DA457A"/>
    <w:p w14:paraId="2451CCA5" w14:textId="77777777" w:rsidR="006A1B78" w:rsidRPr="0006385B" w:rsidRDefault="006A1B78" w:rsidP="00DA457A">
      <w:pPr>
        <w:ind w:left="180"/>
        <w:jc w:val="center"/>
      </w:pPr>
    </w:p>
    <w:p w14:paraId="2451CCA6" w14:textId="77777777" w:rsidR="00AB5151" w:rsidRDefault="0083556F" w:rsidP="006340B2">
      <w:pPr>
        <w:jc w:val="center"/>
        <w:sectPr w:rsidR="00AB5151" w:rsidSect="00547E5B">
          <w:pgSz w:w="15840" w:h="12240" w:orient="landscape"/>
          <w:pgMar w:top="1440" w:right="1440" w:bottom="1440" w:left="1440" w:header="720" w:footer="720" w:gutter="0"/>
          <w:cols w:space="720"/>
          <w:titlePg/>
          <w:docGrid w:linePitch="360"/>
        </w:sectPr>
      </w:pPr>
      <w:bookmarkStart w:id="14" w:name="_MON_1454828213"/>
      <w:bookmarkEnd w:id="14"/>
      <w:r w:rsidRPr="0083556F">
        <w:rPr>
          <w:noProof/>
        </w:rPr>
        <w:drawing>
          <wp:inline distT="0" distB="0" distL="0" distR="0" wp14:anchorId="2451CFDB" wp14:editId="2451CFDC">
            <wp:extent cx="8229600" cy="43207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600" cy="4320751"/>
                    </a:xfrm>
                    <a:prstGeom prst="rect">
                      <a:avLst/>
                    </a:prstGeom>
                    <a:noFill/>
                    <a:ln>
                      <a:noFill/>
                    </a:ln>
                  </pic:spPr>
                </pic:pic>
              </a:graphicData>
            </a:graphic>
          </wp:inline>
        </w:drawing>
      </w:r>
    </w:p>
    <w:p w14:paraId="2451CCA7" w14:textId="77777777" w:rsidR="00FF0FF4" w:rsidRPr="007716B1" w:rsidRDefault="00FF0FF4" w:rsidP="00052B05">
      <w:pPr>
        <w:pStyle w:val="Heading1"/>
        <w:spacing w:before="240"/>
        <w:rPr>
          <w:b w:val="0"/>
        </w:rPr>
      </w:pPr>
      <w:bookmarkStart w:id="15" w:name="_Toc449510476"/>
      <w:r>
        <w:lastRenderedPageBreak/>
        <w:t>Residential Programs</w:t>
      </w:r>
      <w:bookmarkEnd w:id="15"/>
    </w:p>
    <w:p w14:paraId="2451CCA8" w14:textId="77777777" w:rsidR="00FF0FF4" w:rsidRPr="007716B1" w:rsidRDefault="00FF0FF4" w:rsidP="00FF0FF4">
      <w:pPr>
        <w:rPr>
          <w:rFonts w:ascii="Times New Roman" w:hAnsi="Times New Roman" w:cs="Times New Roman"/>
          <w:smallCaps/>
          <w:color w:val="548DD4" w:themeColor="text2" w:themeTint="99"/>
          <w:sz w:val="24"/>
          <w:szCs w:val="24"/>
        </w:rPr>
      </w:pPr>
    </w:p>
    <w:p w14:paraId="2451CCA9" w14:textId="77777777" w:rsidR="00FF0FF4" w:rsidRPr="007716B1" w:rsidRDefault="00FF0FF4" w:rsidP="00FF0FF4">
      <w:pPr>
        <w:jc w:val="both"/>
        <w:rPr>
          <w:rFonts w:ascii="Times New Roman" w:hAnsi="Times New Roman" w:cs="Times New Roman"/>
          <w:sz w:val="24"/>
          <w:szCs w:val="24"/>
        </w:rPr>
      </w:pPr>
      <w:r>
        <w:rPr>
          <w:rFonts w:ascii="Times New Roman" w:hAnsi="Times New Roman" w:cs="Times New Roman"/>
          <w:sz w:val="24"/>
          <w:szCs w:val="24"/>
        </w:rPr>
        <w:t>The residenti</w:t>
      </w:r>
      <w:r w:rsidR="0098385A">
        <w:rPr>
          <w:rFonts w:ascii="Times New Roman" w:hAnsi="Times New Roman" w:cs="Times New Roman"/>
          <w:sz w:val="24"/>
          <w:szCs w:val="24"/>
        </w:rPr>
        <w:t>al energy efficiency portfolio wa</w:t>
      </w:r>
      <w:r>
        <w:rPr>
          <w:rFonts w:ascii="Times New Roman" w:hAnsi="Times New Roman" w:cs="Times New Roman"/>
          <w:sz w:val="24"/>
          <w:szCs w:val="24"/>
        </w:rPr>
        <w:t xml:space="preserve">s comprised of </w:t>
      </w:r>
      <w:r w:rsidR="00E35F30">
        <w:rPr>
          <w:rFonts w:ascii="Times New Roman" w:hAnsi="Times New Roman" w:cs="Times New Roman"/>
          <w:sz w:val="24"/>
          <w:szCs w:val="24"/>
        </w:rPr>
        <w:t xml:space="preserve">five </w:t>
      </w:r>
      <w:r w:rsidR="00DD120A">
        <w:rPr>
          <w:rFonts w:ascii="Times New Roman" w:hAnsi="Times New Roman" w:cs="Times New Roman"/>
          <w:sz w:val="24"/>
          <w:szCs w:val="24"/>
        </w:rPr>
        <w:t>programs;</w:t>
      </w:r>
      <w:r>
        <w:rPr>
          <w:rFonts w:ascii="Times New Roman" w:hAnsi="Times New Roman" w:cs="Times New Roman"/>
          <w:sz w:val="24"/>
          <w:szCs w:val="24"/>
        </w:rPr>
        <w:t xml:space="preserve"> </w:t>
      </w:r>
      <w:r>
        <w:rPr>
          <w:rFonts w:ascii="Times New Roman" w:hAnsi="Times New Roman" w:cs="Times New Roman"/>
          <w:i/>
          <w:sz w:val="24"/>
          <w:szCs w:val="24"/>
        </w:rPr>
        <w:t xml:space="preserve">Home Energy Savings, </w:t>
      </w:r>
      <w:r w:rsidR="002E00D4">
        <w:rPr>
          <w:rFonts w:ascii="Times New Roman" w:hAnsi="Times New Roman" w:cs="Times New Roman"/>
          <w:i/>
          <w:sz w:val="24"/>
          <w:szCs w:val="24"/>
        </w:rPr>
        <w:t xml:space="preserve">Home Energy Reports, </w:t>
      </w:r>
      <w:r>
        <w:rPr>
          <w:rFonts w:ascii="Times New Roman" w:hAnsi="Times New Roman" w:cs="Times New Roman"/>
          <w:i/>
          <w:sz w:val="24"/>
          <w:szCs w:val="24"/>
        </w:rPr>
        <w:t>Refrigerator Recycling</w:t>
      </w:r>
      <w:r w:rsidR="00832609">
        <w:rPr>
          <w:rFonts w:ascii="Times New Roman" w:hAnsi="Times New Roman" w:cs="Times New Roman"/>
          <w:i/>
          <w:sz w:val="24"/>
          <w:szCs w:val="24"/>
        </w:rPr>
        <w:t xml:space="preserve">, </w:t>
      </w:r>
      <w:r>
        <w:rPr>
          <w:rFonts w:ascii="Times New Roman" w:hAnsi="Times New Roman" w:cs="Times New Roman"/>
          <w:i/>
          <w:sz w:val="24"/>
          <w:szCs w:val="24"/>
        </w:rPr>
        <w:t>Low Income Weatherization</w:t>
      </w:r>
      <w:r w:rsidR="00DA4EF0">
        <w:rPr>
          <w:rFonts w:ascii="Times New Roman" w:hAnsi="Times New Roman" w:cs="Times New Roman"/>
          <w:i/>
          <w:sz w:val="24"/>
          <w:szCs w:val="24"/>
        </w:rPr>
        <w:t>, and NEEA</w:t>
      </w:r>
      <w:r>
        <w:rPr>
          <w:rFonts w:ascii="Times New Roman" w:hAnsi="Times New Roman" w:cs="Times New Roman"/>
          <w:i/>
          <w:sz w:val="24"/>
          <w:szCs w:val="24"/>
        </w:rPr>
        <w:t>.</w:t>
      </w:r>
      <w:r w:rsidR="003E4AD6">
        <w:rPr>
          <w:rFonts w:ascii="Times New Roman" w:hAnsi="Times New Roman" w:cs="Times New Roman"/>
          <w:sz w:val="24"/>
          <w:szCs w:val="24"/>
        </w:rPr>
        <w:t xml:space="preserve"> As shown in T</w:t>
      </w:r>
      <w:r w:rsidR="0061339D">
        <w:rPr>
          <w:rFonts w:ascii="Times New Roman" w:hAnsi="Times New Roman" w:cs="Times New Roman"/>
          <w:sz w:val="24"/>
          <w:szCs w:val="24"/>
        </w:rPr>
        <w:t>able 8</w:t>
      </w:r>
      <w:r>
        <w:rPr>
          <w:rFonts w:ascii="Times New Roman" w:hAnsi="Times New Roman" w:cs="Times New Roman"/>
          <w:sz w:val="24"/>
          <w:szCs w:val="24"/>
        </w:rPr>
        <w:t xml:space="preserve">, the residential portfolio was cost effective based on four of the five standard cost effectiveness tests for the reporting period. </w:t>
      </w:r>
      <w:r w:rsidRPr="003E4AD6">
        <w:rPr>
          <w:rFonts w:ascii="Times New Roman" w:hAnsi="Times New Roman" w:cs="Times New Roman"/>
          <w:sz w:val="24"/>
          <w:szCs w:val="24"/>
        </w:rPr>
        <w:t>The ratepayer impact test was less than 1.0 indicating that there is near term upward pressure placed on the price per kilowatt-hour given a reduction in sales.</w:t>
      </w:r>
    </w:p>
    <w:p w14:paraId="2451CCAA" w14:textId="77777777" w:rsidR="00FF0FF4" w:rsidRDefault="00FF0FF4" w:rsidP="00FF0FF4">
      <w:pPr>
        <w:jc w:val="both"/>
        <w:rPr>
          <w:rFonts w:ascii="Times New Roman" w:hAnsi="Times New Roman" w:cs="Times New Roman"/>
          <w:sz w:val="24"/>
          <w:szCs w:val="24"/>
        </w:rPr>
      </w:pPr>
    </w:p>
    <w:p w14:paraId="2451CCAB" w14:textId="77777777" w:rsidR="00E35F30" w:rsidRPr="007716B1" w:rsidRDefault="00E35F30" w:rsidP="00FF0FF4">
      <w:pPr>
        <w:jc w:val="both"/>
        <w:rPr>
          <w:rFonts w:ascii="Times New Roman" w:hAnsi="Times New Roman" w:cs="Times New Roman"/>
          <w:sz w:val="24"/>
          <w:szCs w:val="24"/>
        </w:rPr>
      </w:pPr>
    </w:p>
    <w:p w14:paraId="2451CCAC" w14:textId="77777777" w:rsidR="00FF0FF4" w:rsidRPr="007716B1" w:rsidRDefault="0061339D" w:rsidP="00FF0FF4">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8</w:t>
      </w:r>
    </w:p>
    <w:p w14:paraId="2451CCAD" w14:textId="77777777" w:rsidR="00FF0FF4" w:rsidRPr="007716B1" w:rsidRDefault="00FF0FF4" w:rsidP="00FF0FF4">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Cost Effectiveness for Residential Portfolio</w:t>
      </w:r>
      <w:r w:rsidR="00525B1F">
        <w:rPr>
          <w:rStyle w:val="FootnoteReference"/>
          <w:rFonts w:ascii="Times New Roman" w:hAnsi="Times New Roman" w:cs="Times New Roman"/>
          <w:color w:val="548DD4" w:themeColor="text2" w:themeTint="99"/>
          <w:sz w:val="24"/>
          <w:szCs w:val="24"/>
        </w:rPr>
        <w:footnoteReference w:id="18"/>
      </w:r>
      <w:r w:rsidR="00DA457A">
        <w:rPr>
          <w:rFonts w:ascii="Times New Roman" w:hAnsi="Times New Roman" w:cs="Times New Roman"/>
          <w:color w:val="548DD4" w:themeColor="text2" w:themeTint="99"/>
          <w:sz w:val="24"/>
          <w:szCs w:val="24"/>
        </w:rPr>
        <w:t xml:space="preserve"> </w:t>
      </w:r>
      <w:r w:rsidR="00DA457A" w:rsidRPr="00DA457A">
        <w:rPr>
          <w:rFonts w:ascii="Times New Roman" w:hAnsi="Times New Roman" w:cs="Times New Roman"/>
          <w:color w:val="548DD4" w:themeColor="text2" w:themeTint="99"/>
          <w:sz w:val="24"/>
          <w:szCs w:val="24"/>
        </w:rPr>
        <w:t>(includes non-energy benefits)</w:t>
      </w:r>
    </w:p>
    <w:p w14:paraId="2451CCAE" w14:textId="77777777" w:rsidR="00FF0FF4" w:rsidRPr="007716B1" w:rsidRDefault="00FF0FF4" w:rsidP="00FF0FF4">
      <w:pPr>
        <w:jc w:val="center"/>
        <w:rPr>
          <w:rFonts w:ascii="Times New Roman" w:hAnsi="Times New Roman" w:cs="Times New Roman"/>
          <w:sz w:val="24"/>
          <w:szCs w:val="24"/>
        </w:rPr>
      </w:pPr>
    </w:p>
    <w:tbl>
      <w:tblPr>
        <w:tblStyle w:val="TableGrid"/>
        <w:tblW w:w="7170" w:type="dxa"/>
        <w:jc w:val="center"/>
        <w:tblLook w:val="04A0" w:firstRow="1" w:lastRow="0" w:firstColumn="1" w:lastColumn="0" w:noHBand="0" w:noVBand="1"/>
      </w:tblPr>
      <w:tblGrid>
        <w:gridCol w:w="4710"/>
        <w:gridCol w:w="1095"/>
        <w:gridCol w:w="1365"/>
      </w:tblGrid>
      <w:tr w:rsidR="005E2D3F" w:rsidRPr="007716B1" w14:paraId="2451CCB2" w14:textId="77777777" w:rsidTr="00AB1378">
        <w:trPr>
          <w:jc w:val="center"/>
        </w:trPr>
        <w:tc>
          <w:tcPr>
            <w:tcW w:w="4710" w:type="dxa"/>
            <w:shd w:val="clear" w:color="auto" w:fill="C6D9F1" w:themeFill="text2" w:themeFillTint="33"/>
          </w:tcPr>
          <w:p w14:paraId="2451CCAF" w14:textId="77777777" w:rsidR="005E2D3F" w:rsidRPr="00986EBF" w:rsidRDefault="005E2D3F" w:rsidP="00FF0FF4">
            <w:pPr>
              <w:rPr>
                <w:rFonts w:cs="Times New Roman"/>
                <w:b/>
                <w:sz w:val="20"/>
                <w:szCs w:val="24"/>
              </w:rPr>
            </w:pPr>
          </w:p>
        </w:tc>
        <w:tc>
          <w:tcPr>
            <w:tcW w:w="1095" w:type="dxa"/>
            <w:shd w:val="clear" w:color="auto" w:fill="C6D9F1" w:themeFill="text2" w:themeFillTint="33"/>
            <w:vAlign w:val="center"/>
          </w:tcPr>
          <w:p w14:paraId="2451CCB0" w14:textId="77777777" w:rsidR="005E2D3F" w:rsidRPr="00986EBF" w:rsidRDefault="005E2D3F" w:rsidP="00E35F30">
            <w:pPr>
              <w:jc w:val="center"/>
              <w:rPr>
                <w:rFonts w:cs="Times New Roman"/>
                <w:b/>
                <w:sz w:val="20"/>
                <w:szCs w:val="24"/>
              </w:rPr>
            </w:pPr>
            <w:r w:rsidRPr="00986EBF">
              <w:rPr>
                <w:rFonts w:cs="Times New Roman"/>
                <w:b/>
                <w:sz w:val="20"/>
                <w:szCs w:val="24"/>
              </w:rPr>
              <w:t>B/C Ratio with NEEA</w:t>
            </w:r>
            <w:r w:rsidR="003732FC">
              <w:rPr>
                <w:rFonts w:cs="Times New Roman"/>
                <w:b/>
                <w:sz w:val="20"/>
                <w:szCs w:val="24"/>
              </w:rPr>
              <w:t xml:space="preserve"> </w:t>
            </w:r>
          </w:p>
        </w:tc>
        <w:tc>
          <w:tcPr>
            <w:tcW w:w="1365" w:type="dxa"/>
            <w:shd w:val="clear" w:color="auto" w:fill="C6D9F1" w:themeFill="text2" w:themeFillTint="33"/>
          </w:tcPr>
          <w:p w14:paraId="2451CCB1" w14:textId="77777777" w:rsidR="005E2D3F" w:rsidRPr="00986EBF" w:rsidRDefault="005E2D3F" w:rsidP="00FF0FF4">
            <w:pPr>
              <w:jc w:val="center"/>
              <w:rPr>
                <w:rFonts w:cs="Times New Roman"/>
                <w:b/>
                <w:sz w:val="20"/>
                <w:szCs w:val="24"/>
              </w:rPr>
            </w:pPr>
            <w:r w:rsidRPr="00986EBF">
              <w:rPr>
                <w:rFonts w:cs="Times New Roman"/>
                <w:b/>
                <w:sz w:val="20"/>
                <w:szCs w:val="24"/>
              </w:rPr>
              <w:t>B/C Ratio without NEEA</w:t>
            </w:r>
          </w:p>
        </w:tc>
      </w:tr>
      <w:tr w:rsidR="00FF0FF4" w:rsidRPr="007716B1" w14:paraId="2451CCB6" w14:textId="77777777" w:rsidTr="00AB1378">
        <w:trPr>
          <w:jc w:val="center"/>
        </w:trPr>
        <w:tc>
          <w:tcPr>
            <w:tcW w:w="4710" w:type="dxa"/>
          </w:tcPr>
          <w:p w14:paraId="2451CCB3" w14:textId="77777777" w:rsidR="00FF0FF4" w:rsidRPr="00986EBF" w:rsidRDefault="005F7DDE" w:rsidP="00DA457A">
            <w:pPr>
              <w:rPr>
                <w:rFonts w:cs="Times New Roman"/>
                <w:sz w:val="20"/>
                <w:szCs w:val="24"/>
              </w:rPr>
            </w:pPr>
            <w:r w:rsidRPr="005F7DDE">
              <w:rPr>
                <w:rFonts w:cs="Times New Roman"/>
                <w:sz w:val="20"/>
                <w:szCs w:val="24"/>
              </w:rPr>
              <w:t>PacifiCorp</w:t>
            </w:r>
            <w:r>
              <w:rPr>
                <w:rFonts w:cs="Times New Roman"/>
                <w:sz w:val="20"/>
                <w:szCs w:val="24"/>
              </w:rPr>
              <w:t xml:space="preserve"> </w:t>
            </w:r>
            <w:r w:rsidR="00FF0FF4" w:rsidRPr="00986EBF">
              <w:rPr>
                <w:rFonts w:cs="Times New Roman"/>
                <w:sz w:val="20"/>
                <w:szCs w:val="24"/>
              </w:rPr>
              <w:t>Total Resource Test plus 10%</w:t>
            </w:r>
            <w:r w:rsidR="003732FC">
              <w:rPr>
                <w:rFonts w:cs="Times New Roman"/>
                <w:sz w:val="20"/>
                <w:szCs w:val="24"/>
              </w:rPr>
              <w:t xml:space="preserve"> </w:t>
            </w:r>
          </w:p>
        </w:tc>
        <w:tc>
          <w:tcPr>
            <w:tcW w:w="1095" w:type="dxa"/>
            <w:vAlign w:val="center"/>
          </w:tcPr>
          <w:p w14:paraId="2451CCB4" w14:textId="77777777" w:rsidR="00FF0FF4" w:rsidRPr="00986EBF" w:rsidRDefault="007612D8" w:rsidP="00694DAC">
            <w:pPr>
              <w:jc w:val="center"/>
              <w:rPr>
                <w:rFonts w:cs="Times New Roman"/>
                <w:sz w:val="20"/>
                <w:szCs w:val="24"/>
              </w:rPr>
            </w:pPr>
            <w:r>
              <w:rPr>
                <w:rFonts w:cs="Times New Roman"/>
                <w:sz w:val="20"/>
                <w:szCs w:val="24"/>
              </w:rPr>
              <w:t>2.05</w:t>
            </w:r>
          </w:p>
        </w:tc>
        <w:tc>
          <w:tcPr>
            <w:tcW w:w="1365" w:type="dxa"/>
            <w:vAlign w:val="center"/>
          </w:tcPr>
          <w:p w14:paraId="2451CCB5" w14:textId="77777777" w:rsidR="00FF0FF4" w:rsidRPr="00986EBF" w:rsidRDefault="007612D8" w:rsidP="00694DAC">
            <w:pPr>
              <w:jc w:val="center"/>
              <w:rPr>
                <w:rFonts w:cs="Times New Roman"/>
                <w:sz w:val="20"/>
                <w:szCs w:val="24"/>
              </w:rPr>
            </w:pPr>
            <w:r>
              <w:rPr>
                <w:rFonts w:cs="Times New Roman"/>
                <w:sz w:val="20"/>
                <w:szCs w:val="24"/>
              </w:rPr>
              <w:t>2.13</w:t>
            </w:r>
          </w:p>
        </w:tc>
      </w:tr>
      <w:tr w:rsidR="00FF0FF4" w:rsidRPr="007716B1" w14:paraId="2451CCBA" w14:textId="77777777" w:rsidTr="00AB1378">
        <w:trPr>
          <w:jc w:val="center"/>
        </w:trPr>
        <w:tc>
          <w:tcPr>
            <w:tcW w:w="4710" w:type="dxa"/>
          </w:tcPr>
          <w:p w14:paraId="2451CCB7" w14:textId="77777777" w:rsidR="00FF0FF4" w:rsidRPr="00986EBF" w:rsidRDefault="00FF0FF4" w:rsidP="0046336B">
            <w:pPr>
              <w:rPr>
                <w:rFonts w:cs="Times New Roman"/>
                <w:sz w:val="20"/>
                <w:szCs w:val="24"/>
              </w:rPr>
            </w:pPr>
            <w:r w:rsidRPr="00986EBF">
              <w:rPr>
                <w:rFonts w:cs="Times New Roman"/>
                <w:sz w:val="20"/>
                <w:szCs w:val="24"/>
              </w:rPr>
              <w:t xml:space="preserve">Total Resource Cost Test </w:t>
            </w:r>
          </w:p>
        </w:tc>
        <w:tc>
          <w:tcPr>
            <w:tcW w:w="1095" w:type="dxa"/>
            <w:vAlign w:val="center"/>
          </w:tcPr>
          <w:p w14:paraId="2451CCB8" w14:textId="77777777" w:rsidR="00FF0FF4" w:rsidRPr="00986EBF" w:rsidRDefault="007612D8" w:rsidP="00FF0FF4">
            <w:pPr>
              <w:jc w:val="center"/>
              <w:rPr>
                <w:rFonts w:cs="Times New Roman"/>
                <w:sz w:val="20"/>
                <w:szCs w:val="24"/>
              </w:rPr>
            </w:pPr>
            <w:r>
              <w:rPr>
                <w:rFonts w:cs="Times New Roman"/>
                <w:sz w:val="20"/>
                <w:szCs w:val="24"/>
              </w:rPr>
              <w:t>1.93</w:t>
            </w:r>
          </w:p>
        </w:tc>
        <w:tc>
          <w:tcPr>
            <w:tcW w:w="1365" w:type="dxa"/>
            <w:vAlign w:val="center"/>
          </w:tcPr>
          <w:p w14:paraId="2451CCB9" w14:textId="77777777" w:rsidR="00FF0FF4" w:rsidRPr="00986EBF" w:rsidRDefault="007612D8" w:rsidP="008817CE">
            <w:pPr>
              <w:jc w:val="center"/>
              <w:rPr>
                <w:rFonts w:cs="Times New Roman"/>
                <w:sz w:val="20"/>
                <w:szCs w:val="24"/>
              </w:rPr>
            </w:pPr>
            <w:r>
              <w:rPr>
                <w:rFonts w:cs="Times New Roman"/>
                <w:sz w:val="20"/>
                <w:szCs w:val="24"/>
              </w:rPr>
              <w:t>2.0</w:t>
            </w:r>
            <w:r w:rsidR="003D5B2A">
              <w:rPr>
                <w:rFonts w:cs="Times New Roman"/>
                <w:sz w:val="20"/>
                <w:szCs w:val="24"/>
              </w:rPr>
              <w:t>0</w:t>
            </w:r>
          </w:p>
        </w:tc>
      </w:tr>
      <w:tr w:rsidR="00FF0FF4" w:rsidRPr="007716B1" w14:paraId="2451CCBE" w14:textId="77777777" w:rsidTr="00AB1378">
        <w:trPr>
          <w:jc w:val="center"/>
        </w:trPr>
        <w:tc>
          <w:tcPr>
            <w:tcW w:w="4710" w:type="dxa"/>
          </w:tcPr>
          <w:p w14:paraId="2451CCBB" w14:textId="77777777" w:rsidR="00FF0FF4" w:rsidRPr="00986EBF" w:rsidRDefault="00FF0FF4" w:rsidP="00FF0FF4">
            <w:pPr>
              <w:rPr>
                <w:rFonts w:cs="Times New Roman"/>
                <w:sz w:val="20"/>
                <w:szCs w:val="24"/>
              </w:rPr>
            </w:pPr>
            <w:r w:rsidRPr="00986EBF">
              <w:rPr>
                <w:rFonts w:cs="Times New Roman"/>
                <w:sz w:val="20"/>
                <w:szCs w:val="24"/>
              </w:rPr>
              <w:t>Utility</w:t>
            </w:r>
            <w:r w:rsidR="0046336B">
              <w:rPr>
                <w:rFonts w:cs="Times New Roman"/>
                <w:sz w:val="20"/>
                <w:szCs w:val="24"/>
              </w:rPr>
              <w:t xml:space="preserve"> Cost Test</w:t>
            </w:r>
          </w:p>
        </w:tc>
        <w:tc>
          <w:tcPr>
            <w:tcW w:w="1095" w:type="dxa"/>
            <w:vAlign w:val="center"/>
          </w:tcPr>
          <w:p w14:paraId="2451CCBC" w14:textId="77777777" w:rsidR="00FF0FF4" w:rsidRPr="00986EBF" w:rsidRDefault="007612D8" w:rsidP="00FF0FF4">
            <w:pPr>
              <w:jc w:val="center"/>
              <w:rPr>
                <w:rFonts w:cs="Times New Roman"/>
                <w:sz w:val="20"/>
                <w:szCs w:val="24"/>
              </w:rPr>
            </w:pPr>
            <w:r>
              <w:rPr>
                <w:rFonts w:cs="Times New Roman"/>
                <w:sz w:val="20"/>
                <w:szCs w:val="24"/>
              </w:rPr>
              <w:t>2.32</w:t>
            </w:r>
          </w:p>
        </w:tc>
        <w:tc>
          <w:tcPr>
            <w:tcW w:w="1365" w:type="dxa"/>
          </w:tcPr>
          <w:p w14:paraId="2451CCBD" w14:textId="77777777" w:rsidR="00FF0FF4" w:rsidRPr="00986EBF" w:rsidRDefault="007612D8" w:rsidP="00FF0FF4">
            <w:pPr>
              <w:jc w:val="center"/>
              <w:rPr>
                <w:rFonts w:cs="Times New Roman"/>
                <w:sz w:val="20"/>
                <w:szCs w:val="24"/>
              </w:rPr>
            </w:pPr>
            <w:r>
              <w:rPr>
                <w:rFonts w:cs="Times New Roman"/>
                <w:sz w:val="20"/>
                <w:szCs w:val="24"/>
              </w:rPr>
              <w:t>2.52</w:t>
            </w:r>
          </w:p>
        </w:tc>
      </w:tr>
      <w:tr w:rsidR="00FF0FF4" w:rsidRPr="007716B1" w14:paraId="2451CCC2" w14:textId="77777777" w:rsidTr="00AB1378">
        <w:trPr>
          <w:jc w:val="center"/>
        </w:trPr>
        <w:tc>
          <w:tcPr>
            <w:tcW w:w="4710" w:type="dxa"/>
          </w:tcPr>
          <w:p w14:paraId="2451CCBF" w14:textId="77777777" w:rsidR="00FF0FF4" w:rsidRPr="00986EBF" w:rsidRDefault="00FF0FF4" w:rsidP="0046336B">
            <w:pPr>
              <w:rPr>
                <w:rFonts w:cs="Times New Roman"/>
                <w:sz w:val="20"/>
                <w:szCs w:val="24"/>
              </w:rPr>
            </w:pPr>
            <w:r w:rsidRPr="00986EBF">
              <w:rPr>
                <w:rFonts w:cs="Times New Roman"/>
                <w:sz w:val="20"/>
                <w:szCs w:val="24"/>
              </w:rPr>
              <w:t xml:space="preserve">Participant Cost Test </w:t>
            </w:r>
          </w:p>
        </w:tc>
        <w:tc>
          <w:tcPr>
            <w:tcW w:w="1095" w:type="dxa"/>
            <w:vAlign w:val="center"/>
          </w:tcPr>
          <w:p w14:paraId="2451CCC0" w14:textId="77777777" w:rsidR="00FF0FF4" w:rsidRPr="00986EBF" w:rsidRDefault="007612D8" w:rsidP="00FF0FF4">
            <w:pPr>
              <w:jc w:val="center"/>
              <w:rPr>
                <w:rFonts w:cs="Times New Roman"/>
                <w:sz w:val="20"/>
                <w:szCs w:val="24"/>
              </w:rPr>
            </w:pPr>
            <w:r>
              <w:rPr>
                <w:rFonts w:cs="Times New Roman"/>
                <w:sz w:val="20"/>
                <w:szCs w:val="24"/>
              </w:rPr>
              <w:t>3.71</w:t>
            </w:r>
          </w:p>
        </w:tc>
        <w:tc>
          <w:tcPr>
            <w:tcW w:w="1365" w:type="dxa"/>
          </w:tcPr>
          <w:p w14:paraId="2451CCC1" w14:textId="77777777" w:rsidR="00FF0FF4" w:rsidRPr="00986EBF" w:rsidRDefault="007612D8" w:rsidP="00FF0FF4">
            <w:pPr>
              <w:jc w:val="center"/>
              <w:rPr>
                <w:rFonts w:cs="Times New Roman"/>
                <w:sz w:val="20"/>
                <w:szCs w:val="24"/>
              </w:rPr>
            </w:pPr>
            <w:r>
              <w:rPr>
                <w:rFonts w:cs="Times New Roman"/>
                <w:sz w:val="20"/>
                <w:szCs w:val="24"/>
              </w:rPr>
              <w:t>3.56</w:t>
            </w:r>
          </w:p>
        </w:tc>
      </w:tr>
      <w:tr w:rsidR="00FF0FF4" w:rsidRPr="007716B1" w14:paraId="2451CCC6" w14:textId="77777777" w:rsidTr="00AB1378">
        <w:trPr>
          <w:jc w:val="center"/>
        </w:trPr>
        <w:tc>
          <w:tcPr>
            <w:tcW w:w="4710" w:type="dxa"/>
          </w:tcPr>
          <w:p w14:paraId="2451CCC3" w14:textId="77777777" w:rsidR="00FF0FF4" w:rsidRPr="00986EBF" w:rsidRDefault="00FF0FF4" w:rsidP="0046336B">
            <w:pPr>
              <w:rPr>
                <w:rFonts w:cs="Times New Roman"/>
                <w:sz w:val="20"/>
                <w:szCs w:val="24"/>
              </w:rPr>
            </w:pPr>
            <w:r w:rsidRPr="00986EBF">
              <w:rPr>
                <w:rFonts w:cs="Times New Roman"/>
                <w:sz w:val="20"/>
                <w:szCs w:val="24"/>
              </w:rPr>
              <w:t xml:space="preserve">Rate Payer Impact </w:t>
            </w:r>
          </w:p>
        </w:tc>
        <w:tc>
          <w:tcPr>
            <w:tcW w:w="1095" w:type="dxa"/>
            <w:vAlign w:val="center"/>
          </w:tcPr>
          <w:p w14:paraId="2451CCC4" w14:textId="77777777" w:rsidR="00FF0FF4" w:rsidRPr="00986EBF" w:rsidRDefault="007612D8" w:rsidP="00FF0FF4">
            <w:pPr>
              <w:jc w:val="center"/>
              <w:rPr>
                <w:rFonts w:cs="Times New Roman"/>
                <w:sz w:val="20"/>
                <w:szCs w:val="24"/>
              </w:rPr>
            </w:pPr>
            <w:r>
              <w:rPr>
                <w:rFonts w:cs="Times New Roman"/>
                <w:sz w:val="20"/>
                <w:szCs w:val="24"/>
              </w:rPr>
              <w:t>0.55</w:t>
            </w:r>
          </w:p>
        </w:tc>
        <w:tc>
          <w:tcPr>
            <w:tcW w:w="1365" w:type="dxa"/>
          </w:tcPr>
          <w:p w14:paraId="2451CCC5" w14:textId="77777777" w:rsidR="00FF0FF4" w:rsidRPr="00986EBF" w:rsidRDefault="007612D8" w:rsidP="007F537A">
            <w:pPr>
              <w:jc w:val="center"/>
              <w:rPr>
                <w:rFonts w:cs="Times New Roman"/>
                <w:sz w:val="20"/>
                <w:szCs w:val="24"/>
              </w:rPr>
            </w:pPr>
            <w:r>
              <w:rPr>
                <w:rFonts w:cs="Times New Roman"/>
                <w:sz w:val="20"/>
                <w:szCs w:val="24"/>
              </w:rPr>
              <w:t>0.57</w:t>
            </w:r>
          </w:p>
        </w:tc>
      </w:tr>
    </w:tbl>
    <w:p w14:paraId="2451CCC7" w14:textId="77777777" w:rsidR="00CB1948" w:rsidRDefault="00CB1948" w:rsidP="005A5750">
      <w:pPr>
        <w:pStyle w:val="Heading2"/>
      </w:pPr>
    </w:p>
    <w:p w14:paraId="2451CCC8" w14:textId="77777777" w:rsidR="00CB1948" w:rsidRPr="003E797B" w:rsidRDefault="003E797B" w:rsidP="005A5750">
      <w:pPr>
        <w:pStyle w:val="Heading2"/>
        <w:rPr>
          <w:b w:val="0"/>
          <w:i w:val="0"/>
        </w:rPr>
      </w:pPr>
      <w:bookmarkStart w:id="16" w:name="_Toc449356465"/>
      <w:bookmarkStart w:id="17" w:name="_Toc449510477"/>
      <w:r>
        <w:rPr>
          <w:b w:val="0"/>
          <w:i w:val="0"/>
          <w:color w:val="auto"/>
        </w:rPr>
        <w:t xml:space="preserve">Total Company residential savings </w:t>
      </w:r>
      <w:r w:rsidRPr="003E797B">
        <w:rPr>
          <w:b w:val="0"/>
          <w:i w:val="0"/>
          <w:color w:val="auto"/>
        </w:rPr>
        <w:t>increased 12</w:t>
      </w:r>
      <w:r w:rsidR="00740B23">
        <w:rPr>
          <w:b w:val="0"/>
          <w:i w:val="0"/>
          <w:color w:val="auto"/>
        </w:rPr>
        <w:t xml:space="preserve"> percent</w:t>
      </w:r>
      <w:r>
        <w:rPr>
          <w:b w:val="0"/>
          <w:i w:val="0"/>
          <w:color w:val="auto"/>
        </w:rPr>
        <w:t xml:space="preserve">, from </w:t>
      </w:r>
      <w:r w:rsidRPr="003E797B">
        <w:rPr>
          <w:b w:val="0"/>
          <w:i w:val="0"/>
          <w:color w:val="auto"/>
        </w:rPr>
        <w:t>18,252,521</w:t>
      </w:r>
      <w:r>
        <w:rPr>
          <w:b w:val="0"/>
          <w:i w:val="0"/>
          <w:color w:val="auto"/>
        </w:rPr>
        <w:t xml:space="preserve"> kWh in</w:t>
      </w:r>
      <w:r w:rsidRPr="003E797B">
        <w:rPr>
          <w:b w:val="0"/>
          <w:i w:val="0"/>
          <w:color w:val="auto"/>
        </w:rPr>
        <w:t xml:space="preserve"> 2014</w:t>
      </w:r>
      <w:r>
        <w:rPr>
          <w:b w:val="0"/>
          <w:i w:val="0"/>
          <w:color w:val="auto"/>
        </w:rPr>
        <w:t xml:space="preserve"> to </w:t>
      </w:r>
      <w:r w:rsidRPr="003E797B">
        <w:rPr>
          <w:b w:val="0"/>
          <w:i w:val="0"/>
          <w:color w:val="auto"/>
        </w:rPr>
        <w:t>20,659,773</w:t>
      </w:r>
      <w:r>
        <w:rPr>
          <w:b w:val="0"/>
          <w:i w:val="0"/>
          <w:color w:val="auto"/>
        </w:rPr>
        <w:t xml:space="preserve"> kWh in 2015 </w:t>
      </w:r>
      <w:r w:rsidRPr="003D5B2A">
        <w:rPr>
          <w:b w:val="0"/>
          <w:i w:val="0"/>
          <w:color w:val="auto"/>
        </w:rPr>
        <w:t>excluding NEEA</w:t>
      </w:r>
      <w:r>
        <w:rPr>
          <w:b w:val="0"/>
          <w:i w:val="0"/>
          <w:color w:val="auto"/>
        </w:rPr>
        <w:t xml:space="preserve">. </w:t>
      </w:r>
      <w:r w:rsidRPr="003E797B">
        <w:rPr>
          <w:b w:val="0"/>
          <w:i w:val="0"/>
          <w:color w:val="auto"/>
        </w:rPr>
        <w:t>Individual program performance, program management and program infrastructure is provided on the following pages.</w:t>
      </w:r>
      <w:bookmarkEnd w:id="16"/>
      <w:bookmarkEnd w:id="17"/>
    </w:p>
    <w:p w14:paraId="2451CCC9" w14:textId="77777777" w:rsidR="00CB1948" w:rsidRPr="003732FC" w:rsidRDefault="00CB1948" w:rsidP="005A5750">
      <w:pPr>
        <w:pStyle w:val="Heading2"/>
        <w:rPr>
          <w:b w:val="0"/>
          <w:i w:val="0"/>
        </w:rPr>
      </w:pPr>
    </w:p>
    <w:p w14:paraId="2451CCCA" w14:textId="77777777" w:rsidR="00CB1948" w:rsidRDefault="00CB1948" w:rsidP="005A5750">
      <w:pPr>
        <w:pStyle w:val="Heading2"/>
        <w:sectPr w:rsidR="00CB1948" w:rsidSect="00EB7445">
          <w:headerReference w:type="default" r:id="rId40"/>
          <w:headerReference w:type="first" r:id="rId41"/>
          <w:pgSz w:w="12240" w:h="15840"/>
          <w:pgMar w:top="1440" w:right="1440" w:bottom="1440" w:left="1440" w:header="720" w:footer="720" w:gutter="0"/>
          <w:cols w:space="720"/>
          <w:titlePg/>
          <w:docGrid w:linePitch="360"/>
        </w:sectPr>
      </w:pPr>
    </w:p>
    <w:p w14:paraId="2451CCCB" w14:textId="77777777" w:rsidR="005A5750" w:rsidRPr="007968A8" w:rsidRDefault="005A5750" w:rsidP="005A5750">
      <w:pPr>
        <w:pStyle w:val="Heading2"/>
      </w:pPr>
      <w:bookmarkStart w:id="18" w:name="_Toc449510478"/>
      <w:r w:rsidRPr="007968A8">
        <w:lastRenderedPageBreak/>
        <w:t>Home Energy Savings</w:t>
      </w:r>
      <w:bookmarkEnd w:id="18"/>
    </w:p>
    <w:p w14:paraId="2451CCCC" w14:textId="77777777" w:rsidR="005A5750" w:rsidRPr="007716B1" w:rsidRDefault="005A5750" w:rsidP="005A5750">
      <w:pPr>
        <w:rPr>
          <w:rFonts w:ascii="Times New Roman" w:hAnsi="Times New Roman" w:cs="Times New Roman"/>
          <w:sz w:val="24"/>
          <w:szCs w:val="24"/>
        </w:rPr>
      </w:pPr>
    </w:p>
    <w:p w14:paraId="2451CCCD" w14:textId="77777777" w:rsidR="00DD4B5D" w:rsidRPr="007716B1" w:rsidRDefault="00DD4B5D" w:rsidP="00DD4B5D">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Home Energy Savings</w:t>
      </w:r>
      <w:r>
        <w:rPr>
          <w:rFonts w:ascii="Times New Roman" w:hAnsi="Times New Roman" w:cs="Times New Roman"/>
          <w:sz w:val="24"/>
          <w:szCs w:val="24"/>
        </w:rPr>
        <w:t xml:space="preserve"> program is designed to provide access to and incentives for more efficient products and services installed or received by customers in new or existing homes, multi-family housin</w:t>
      </w:r>
      <w:r w:rsidR="00B24613">
        <w:rPr>
          <w:rFonts w:ascii="Times New Roman" w:hAnsi="Times New Roman" w:cs="Times New Roman"/>
          <w:sz w:val="24"/>
          <w:szCs w:val="24"/>
        </w:rPr>
        <w:t xml:space="preserve">g units or manufactured homes. The program was cost effective as shown </w:t>
      </w:r>
      <w:r w:rsidR="0046336B">
        <w:rPr>
          <w:rFonts w:ascii="Times New Roman" w:hAnsi="Times New Roman" w:cs="Times New Roman"/>
          <w:sz w:val="24"/>
          <w:szCs w:val="24"/>
        </w:rPr>
        <w:t>in Table</w:t>
      </w:r>
      <w:r>
        <w:rPr>
          <w:rFonts w:ascii="Times New Roman" w:hAnsi="Times New Roman" w:cs="Times New Roman"/>
          <w:sz w:val="24"/>
          <w:szCs w:val="24"/>
        </w:rPr>
        <w:t xml:space="preserve"> 9.</w:t>
      </w:r>
    </w:p>
    <w:p w14:paraId="2451CCCE" w14:textId="77777777" w:rsidR="00F37368" w:rsidRDefault="00F37368" w:rsidP="00F37368">
      <w:pPr>
        <w:rPr>
          <w:rFonts w:ascii="Times New Roman" w:hAnsi="Times New Roman" w:cs="Times New Roman"/>
          <w:color w:val="548DD4" w:themeColor="text2" w:themeTint="99"/>
          <w:sz w:val="24"/>
          <w:szCs w:val="24"/>
        </w:rPr>
      </w:pPr>
    </w:p>
    <w:p w14:paraId="2451CCCF" w14:textId="77777777" w:rsidR="00F37368" w:rsidRPr="007716B1" w:rsidRDefault="00F37368" w:rsidP="00F37368">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9</w:t>
      </w:r>
    </w:p>
    <w:tbl>
      <w:tblPr>
        <w:tblStyle w:val="TableGrid"/>
        <w:tblpPr w:leftFromText="180" w:rightFromText="180" w:vertAnchor="text" w:horzAnchor="page" w:tblpX="2899" w:tblpY="648"/>
        <w:tblW w:w="6498" w:type="dxa"/>
        <w:tblLook w:val="04A0" w:firstRow="1" w:lastRow="0" w:firstColumn="1" w:lastColumn="0" w:noHBand="0" w:noVBand="1"/>
      </w:tblPr>
      <w:tblGrid>
        <w:gridCol w:w="4608"/>
        <w:gridCol w:w="1890"/>
      </w:tblGrid>
      <w:tr w:rsidR="0046336B" w14:paraId="2451CCD2" w14:textId="77777777" w:rsidTr="006340B2">
        <w:tc>
          <w:tcPr>
            <w:tcW w:w="4608" w:type="dxa"/>
            <w:shd w:val="clear" w:color="auto" w:fill="C6D9F1" w:themeFill="text2" w:themeFillTint="33"/>
          </w:tcPr>
          <w:p w14:paraId="2451CCD0" w14:textId="77777777" w:rsidR="0046336B" w:rsidRPr="00986EBF" w:rsidRDefault="0046336B" w:rsidP="003D5B2A">
            <w:pPr>
              <w:rPr>
                <w:rFonts w:cs="Times New Roman"/>
                <w:b/>
                <w:sz w:val="20"/>
                <w:szCs w:val="24"/>
              </w:rPr>
            </w:pPr>
          </w:p>
        </w:tc>
        <w:tc>
          <w:tcPr>
            <w:tcW w:w="1890" w:type="dxa"/>
            <w:shd w:val="clear" w:color="auto" w:fill="C6D9F1" w:themeFill="text2" w:themeFillTint="33"/>
            <w:vAlign w:val="center"/>
          </w:tcPr>
          <w:p w14:paraId="2451CCD1" w14:textId="77777777" w:rsidR="0046336B" w:rsidRPr="00986EBF" w:rsidRDefault="0046336B" w:rsidP="003D5B2A">
            <w:pPr>
              <w:jc w:val="center"/>
              <w:rPr>
                <w:rFonts w:cs="Times New Roman"/>
                <w:b/>
                <w:sz w:val="20"/>
                <w:szCs w:val="24"/>
              </w:rPr>
            </w:pPr>
            <w:r w:rsidRPr="00986EBF">
              <w:rPr>
                <w:rFonts w:cs="Times New Roman"/>
                <w:b/>
                <w:sz w:val="20"/>
                <w:szCs w:val="24"/>
              </w:rPr>
              <w:t>B/C Ratio</w:t>
            </w:r>
          </w:p>
        </w:tc>
      </w:tr>
      <w:tr w:rsidR="0046336B" w14:paraId="2451CCD5" w14:textId="77777777" w:rsidTr="006340B2">
        <w:tc>
          <w:tcPr>
            <w:tcW w:w="4608" w:type="dxa"/>
          </w:tcPr>
          <w:p w14:paraId="2451CCD3" w14:textId="77777777" w:rsidR="0046336B" w:rsidRPr="00986EBF" w:rsidRDefault="00DA457A" w:rsidP="003D5B2A">
            <w:pPr>
              <w:rPr>
                <w:rFonts w:cs="Times New Roman"/>
                <w:sz w:val="20"/>
                <w:szCs w:val="24"/>
              </w:rPr>
            </w:pPr>
            <w:r w:rsidRPr="00DA457A">
              <w:rPr>
                <w:rFonts w:cs="Times New Roman"/>
                <w:sz w:val="20"/>
                <w:szCs w:val="24"/>
              </w:rPr>
              <w:t>PacifiCorp</w:t>
            </w:r>
            <w:r w:rsidR="007C178E">
              <w:rPr>
                <w:rFonts w:cs="Times New Roman"/>
                <w:sz w:val="20"/>
                <w:szCs w:val="24"/>
              </w:rPr>
              <w:t xml:space="preserve"> </w:t>
            </w:r>
            <w:r w:rsidR="0046336B" w:rsidRPr="00986EBF">
              <w:rPr>
                <w:rFonts w:cs="Times New Roman"/>
                <w:sz w:val="20"/>
                <w:szCs w:val="24"/>
              </w:rPr>
              <w:t>Total Re</w:t>
            </w:r>
            <w:r w:rsidR="0046336B">
              <w:rPr>
                <w:rFonts w:cs="Times New Roman"/>
                <w:sz w:val="20"/>
                <w:szCs w:val="24"/>
              </w:rPr>
              <w:t xml:space="preserve">source Test plus 10% </w:t>
            </w:r>
          </w:p>
        </w:tc>
        <w:tc>
          <w:tcPr>
            <w:tcW w:w="1890" w:type="dxa"/>
            <w:vAlign w:val="center"/>
          </w:tcPr>
          <w:p w14:paraId="2451CCD4" w14:textId="77777777" w:rsidR="0046336B" w:rsidRPr="00986EBF" w:rsidRDefault="007612D8" w:rsidP="003D5B2A">
            <w:pPr>
              <w:jc w:val="center"/>
              <w:rPr>
                <w:rFonts w:cs="Times New Roman"/>
                <w:sz w:val="20"/>
                <w:szCs w:val="24"/>
              </w:rPr>
            </w:pPr>
            <w:r>
              <w:rPr>
                <w:rFonts w:cs="Times New Roman"/>
                <w:sz w:val="20"/>
                <w:szCs w:val="24"/>
              </w:rPr>
              <w:t>2.21</w:t>
            </w:r>
          </w:p>
        </w:tc>
      </w:tr>
      <w:tr w:rsidR="0046336B" w14:paraId="2451CCD8" w14:textId="77777777" w:rsidTr="006340B2">
        <w:tc>
          <w:tcPr>
            <w:tcW w:w="4608" w:type="dxa"/>
          </w:tcPr>
          <w:p w14:paraId="2451CCD6" w14:textId="77777777" w:rsidR="0046336B" w:rsidRPr="00986EBF" w:rsidRDefault="0046336B" w:rsidP="003D5B2A">
            <w:pPr>
              <w:rPr>
                <w:rFonts w:cs="Times New Roman"/>
                <w:sz w:val="20"/>
                <w:szCs w:val="24"/>
              </w:rPr>
            </w:pPr>
            <w:r w:rsidRPr="00986EBF">
              <w:rPr>
                <w:rFonts w:cs="Times New Roman"/>
                <w:sz w:val="20"/>
                <w:szCs w:val="24"/>
              </w:rPr>
              <w:t xml:space="preserve">Total Resource Cost Test </w:t>
            </w:r>
          </w:p>
        </w:tc>
        <w:tc>
          <w:tcPr>
            <w:tcW w:w="1890" w:type="dxa"/>
            <w:vAlign w:val="center"/>
          </w:tcPr>
          <w:p w14:paraId="2451CCD7" w14:textId="77777777" w:rsidR="0046336B" w:rsidRPr="00986EBF" w:rsidRDefault="007612D8" w:rsidP="003D5B2A">
            <w:pPr>
              <w:jc w:val="center"/>
              <w:rPr>
                <w:rFonts w:cs="Times New Roman"/>
                <w:sz w:val="20"/>
                <w:szCs w:val="24"/>
              </w:rPr>
            </w:pPr>
            <w:r>
              <w:rPr>
                <w:rFonts w:cs="Times New Roman"/>
                <w:sz w:val="20"/>
                <w:szCs w:val="24"/>
              </w:rPr>
              <w:t>2.08</w:t>
            </w:r>
          </w:p>
        </w:tc>
      </w:tr>
      <w:tr w:rsidR="0046336B" w14:paraId="2451CCDB" w14:textId="77777777" w:rsidTr="006340B2">
        <w:tc>
          <w:tcPr>
            <w:tcW w:w="4608" w:type="dxa"/>
          </w:tcPr>
          <w:p w14:paraId="2451CCD9" w14:textId="77777777" w:rsidR="0046336B" w:rsidRPr="00986EBF" w:rsidRDefault="0046336B" w:rsidP="003D5B2A">
            <w:pPr>
              <w:rPr>
                <w:rFonts w:cs="Times New Roman"/>
                <w:sz w:val="20"/>
                <w:szCs w:val="24"/>
              </w:rPr>
            </w:pPr>
            <w:r w:rsidRPr="00986EBF">
              <w:rPr>
                <w:rFonts w:cs="Times New Roman"/>
                <w:sz w:val="20"/>
                <w:szCs w:val="24"/>
              </w:rPr>
              <w:t xml:space="preserve">Utility Cost Test </w:t>
            </w:r>
          </w:p>
        </w:tc>
        <w:tc>
          <w:tcPr>
            <w:tcW w:w="1890" w:type="dxa"/>
            <w:vAlign w:val="center"/>
          </w:tcPr>
          <w:p w14:paraId="2451CCDA" w14:textId="77777777" w:rsidR="0046336B" w:rsidRPr="00986EBF" w:rsidRDefault="007612D8" w:rsidP="003D5B2A">
            <w:pPr>
              <w:jc w:val="center"/>
              <w:rPr>
                <w:rFonts w:cs="Times New Roman"/>
                <w:sz w:val="20"/>
                <w:szCs w:val="24"/>
              </w:rPr>
            </w:pPr>
            <w:r>
              <w:rPr>
                <w:rFonts w:cs="Times New Roman"/>
                <w:sz w:val="20"/>
                <w:szCs w:val="24"/>
              </w:rPr>
              <w:t>2.79</w:t>
            </w:r>
          </w:p>
        </w:tc>
      </w:tr>
      <w:tr w:rsidR="0046336B" w14:paraId="2451CCDE" w14:textId="77777777" w:rsidTr="006340B2">
        <w:tc>
          <w:tcPr>
            <w:tcW w:w="4608" w:type="dxa"/>
          </w:tcPr>
          <w:p w14:paraId="2451CCDC" w14:textId="77777777" w:rsidR="0046336B" w:rsidRPr="00986EBF" w:rsidRDefault="0046336B" w:rsidP="003D5B2A">
            <w:pPr>
              <w:rPr>
                <w:rFonts w:cs="Times New Roman"/>
                <w:sz w:val="20"/>
                <w:szCs w:val="24"/>
              </w:rPr>
            </w:pPr>
            <w:r w:rsidRPr="00986EBF">
              <w:rPr>
                <w:rFonts w:cs="Times New Roman"/>
                <w:sz w:val="20"/>
                <w:szCs w:val="24"/>
              </w:rPr>
              <w:t xml:space="preserve">Participant Cost Test </w:t>
            </w:r>
          </w:p>
        </w:tc>
        <w:tc>
          <w:tcPr>
            <w:tcW w:w="1890" w:type="dxa"/>
            <w:vAlign w:val="center"/>
          </w:tcPr>
          <w:p w14:paraId="2451CCDD" w14:textId="77777777" w:rsidR="0046336B" w:rsidRPr="00986EBF" w:rsidRDefault="007612D8" w:rsidP="003D5B2A">
            <w:pPr>
              <w:jc w:val="center"/>
              <w:rPr>
                <w:rFonts w:cs="Times New Roman"/>
                <w:sz w:val="20"/>
                <w:szCs w:val="24"/>
              </w:rPr>
            </w:pPr>
            <w:r>
              <w:rPr>
                <w:rFonts w:cs="Times New Roman"/>
                <w:sz w:val="20"/>
                <w:szCs w:val="24"/>
              </w:rPr>
              <w:t>3.31</w:t>
            </w:r>
          </w:p>
        </w:tc>
      </w:tr>
      <w:tr w:rsidR="0046336B" w14:paraId="2451CCE1" w14:textId="77777777" w:rsidTr="006340B2">
        <w:tc>
          <w:tcPr>
            <w:tcW w:w="4608" w:type="dxa"/>
          </w:tcPr>
          <w:p w14:paraId="2451CCDF" w14:textId="77777777" w:rsidR="0046336B" w:rsidRPr="00986EBF" w:rsidRDefault="0046336B" w:rsidP="003D5B2A">
            <w:pPr>
              <w:rPr>
                <w:rFonts w:cs="Times New Roman"/>
                <w:sz w:val="20"/>
                <w:szCs w:val="24"/>
              </w:rPr>
            </w:pPr>
            <w:r w:rsidRPr="00986EBF">
              <w:rPr>
                <w:rFonts w:cs="Times New Roman"/>
                <w:sz w:val="20"/>
                <w:szCs w:val="24"/>
              </w:rPr>
              <w:t xml:space="preserve">Rate Payer Impact </w:t>
            </w:r>
          </w:p>
        </w:tc>
        <w:tc>
          <w:tcPr>
            <w:tcW w:w="1890" w:type="dxa"/>
            <w:vAlign w:val="center"/>
          </w:tcPr>
          <w:p w14:paraId="2451CCE0" w14:textId="77777777" w:rsidR="0046336B" w:rsidRPr="00986EBF" w:rsidRDefault="007612D8" w:rsidP="003D5B2A">
            <w:pPr>
              <w:jc w:val="center"/>
              <w:rPr>
                <w:rFonts w:cs="Times New Roman"/>
                <w:sz w:val="20"/>
                <w:szCs w:val="24"/>
              </w:rPr>
            </w:pPr>
            <w:r>
              <w:rPr>
                <w:rFonts w:cs="Times New Roman"/>
                <w:sz w:val="20"/>
                <w:szCs w:val="24"/>
              </w:rPr>
              <w:t>0.60</w:t>
            </w:r>
          </w:p>
        </w:tc>
      </w:tr>
    </w:tbl>
    <w:p w14:paraId="2451CCE2" w14:textId="77777777" w:rsidR="0046336B" w:rsidRDefault="0046336B" w:rsidP="0046336B">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Cost Effectiveness for </w:t>
      </w:r>
      <w:r w:rsidRPr="00B24613">
        <w:rPr>
          <w:rFonts w:ascii="Times New Roman" w:hAnsi="Times New Roman" w:cs="Times New Roman"/>
          <w:i/>
          <w:color w:val="548DD4" w:themeColor="text2" w:themeTint="99"/>
          <w:sz w:val="24"/>
          <w:szCs w:val="24"/>
        </w:rPr>
        <w:t xml:space="preserve">Home Energy </w:t>
      </w:r>
      <w:r w:rsidR="007612D8" w:rsidRPr="00B24613">
        <w:rPr>
          <w:rFonts w:ascii="Times New Roman" w:hAnsi="Times New Roman" w:cs="Times New Roman"/>
          <w:i/>
          <w:color w:val="548DD4" w:themeColor="text2" w:themeTint="99"/>
          <w:sz w:val="24"/>
          <w:szCs w:val="24"/>
        </w:rPr>
        <w:t xml:space="preserve">Savings </w:t>
      </w:r>
      <w:r>
        <w:rPr>
          <w:rStyle w:val="FootnoteReference"/>
          <w:rFonts w:ascii="Times New Roman" w:hAnsi="Times New Roman" w:cs="Times New Roman"/>
          <w:color w:val="548DD4" w:themeColor="text2" w:themeTint="99"/>
          <w:sz w:val="24"/>
          <w:szCs w:val="24"/>
        </w:rPr>
        <w:footnoteReference w:id="19"/>
      </w:r>
      <w:r w:rsidR="007612D8">
        <w:rPr>
          <w:rFonts w:ascii="Times New Roman" w:hAnsi="Times New Roman" w:cs="Times New Roman"/>
          <w:i/>
          <w:color w:val="548DD4" w:themeColor="text2" w:themeTint="99"/>
          <w:sz w:val="24"/>
          <w:szCs w:val="24"/>
        </w:rPr>
        <w:t>(includes non-energy benefits)</w:t>
      </w:r>
    </w:p>
    <w:p w14:paraId="2451CCE3" w14:textId="77777777" w:rsidR="00F37368" w:rsidRDefault="0046336B" w:rsidP="00F37368">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p>
    <w:p w14:paraId="2451CCE4" w14:textId="77777777" w:rsidR="00F37368" w:rsidRPr="007716B1" w:rsidRDefault="0046336B" w:rsidP="00F37368">
      <w:pPr>
        <w:jc w:val="center"/>
        <w:rPr>
          <w:rFonts w:ascii="Times New Roman" w:hAnsi="Times New Roman" w:cs="Times New Roman"/>
          <w:color w:val="548DD4" w:themeColor="text2" w:themeTint="99"/>
          <w:sz w:val="24"/>
          <w:szCs w:val="24"/>
        </w:rPr>
      </w:pPr>
      <w:r w:rsidRPr="00CB1948">
        <w:rPr>
          <w:noProof/>
        </w:rPr>
        <w:t xml:space="preserve"> </w:t>
      </w:r>
    </w:p>
    <w:p w14:paraId="2451CCE5" w14:textId="77777777" w:rsidR="00F37368" w:rsidRPr="007716B1" w:rsidRDefault="00F37368" w:rsidP="00F37368">
      <w:pPr>
        <w:rPr>
          <w:rFonts w:ascii="Times New Roman" w:hAnsi="Times New Roman" w:cs="Times New Roman"/>
          <w:sz w:val="24"/>
          <w:szCs w:val="24"/>
        </w:rPr>
      </w:pPr>
    </w:p>
    <w:p w14:paraId="2451CCE6" w14:textId="77777777" w:rsidR="00F37368" w:rsidRDefault="00F37368" w:rsidP="00F37368">
      <w:pPr>
        <w:rPr>
          <w:rFonts w:ascii="Times New Roman" w:hAnsi="Times New Roman" w:cs="Times New Roman"/>
          <w:sz w:val="24"/>
          <w:szCs w:val="24"/>
        </w:rPr>
      </w:pPr>
    </w:p>
    <w:p w14:paraId="2451CCE7" w14:textId="77777777" w:rsidR="0046336B" w:rsidRDefault="0046336B" w:rsidP="00F37368">
      <w:pPr>
        <w:rPr>
          <w:rFonts w:ascii="Times New Roman" w:hAnsi="Times New Roman" w:cs="Times New Roman"/>
          <w:sz w:val="24"/>
          <w:szCs w:val="24"/>
        </w:rPr>
      </w:pPr>
    </w:p>
    <w:p w14:paraId="2451CCE8" w14:textId="77777777" w:rsidR="0046336B" w:rsidRDefault="0046336B" w:rsidP="00F37368">
      <w:pPr>
        <w:rPr>
          <w:rFonts w:ascii="Times New Roman" w:hAnsi="Times New Roman" w:cs="Times New Roman"/>
          <w:sz w:val="24"/>
          <w:szCs w:val="24"/>
        </w:rPr>
      </w:pPr>
    </w:p>
    <w:p w14:paraId="2451CCE9" w14:textId="77777777" w:rsidR="0046336B" w:rsidRDefault="0046336B" w:rsidP="00F37368">
      <w:pPr>
        <w:rPr>
          <w:rFonts w:ascii="Times New Roman" w:hAnsi="Times New Roman" w:cs="Times New Roman"/>
          <w:sz w:val="24"/>
          <w:szCs w:val="24"/>
        </w:rPr>
      </w:pPr>
    </w:p>
    <w:p w14:paraId="2451CCEA" w14:textId="77777777" w:rsidR="0046336B" w:rsidRDefault="0046336B" w:rsidP="00F37368">
      <w:pPr>
        <w:rPr>
          <w:rFonts w:ascii="Times New Roman" w:hAnsi="Times New Roman" w:cs="Times New Roman"/>
          <w:sz w:val="24"/>
          <w:szCs w:val="24"/>
        </w:rPr>
      </w:pPr>
    </w:p>
    <w:p w14:paraId="2451CCEB" w14:textId="77777777" w:rsidR="00216E6A" w:rsidRDefault="00216E6A" w:rsidP="00F37368">
      <w:pPr>
        <w:rPr>
          <w:rFonts w:ascii="Times New Roman" w:hAnsi="Times New Roman" w:cs="Times New Roman"/>
          <w:sz w:val="24"/>
          <w:szCs w:val="24"/>
        </w:rPr>
      </w:pPr>
    </w:p>
    <w:p w14:paraId="2451CCEC" w14:textId="77777777" w:rsidR="00F37368" w:rsidRPr="007716B1" w:rsidRDefault="0046336B" w:rsidP="00F37368">
      <w:pPr>
        <w:rPr>
          <w:rFonts w:ascii="Times New Roman" w:hAnsi="Times New Roman" w:cs="Times New Roman"/>
          <w:sz w:val="24"/>
          <w:szCs w:val="24"/>
        </w:rPr>
      </w:pPr>
      <w:r>
        <w:rPr>
          <w:rFonts w:ascii="Times New Roman" w:hAnsi="Times New Roman" w:cs="Times New Roman"/>
          <w:sz w:val="24"/>
          <w:szCs w:val="24"/>
        </w:rPr>
        <w:t xml:space="preserve">Program participation by measure category is provided in Table </w:t>
      </w:r>
      <w:r w:rsidR="00F37368">
        <w:rPr>
          <w:rFonts w:ascii="Times New Roman" w:hAnsi="Times New Roman" w:cs="Times New Roman"/>
          <w:sz w:val="24"/>
          <w:szCs w:val="24"/>
        </w:rPr>
        <w:t>10.</w:t>
      </w:r>
    </w:p>
    <w:p w14:paraId="2451CCED" w14:textId="77777777" w:rsidR="00F37368" w:rsidRPr="007716B1" w:rsidRDefault="00F37368" w:rsidP="00F37368">
      <w:pPr>
        <w:rPr>
          <w:rFonts w:ascii="Times New Roman" w:hAnsi="Times New Roman" w:cs="Times New Roman"/>
          <w:sz w:val="24"/>
          <w:szCs w:val="24"/>
        </w:rPr>
      </w:pPr>
    </w:p>
    <w:p w14:paraId="2451CCEE" w14:textId="77777777" w:rsidR="0046336B" w:rsidRDefault="00F37368" w:rsidP="00F37368">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10</w:t>
      </w:r>
      <w:r w:rsidR="0046336B" w:rsidRPr="0046336B">
        <w:rPr>
          <w:rFonts w:ascii="Times New Roman" w:hAnsi="Times New Roman" w:cs="Times New Roman"/>
          <w:color w:val="548DD4" w:themeColor="text2" w:themeTint="99"/>
          <w:sz w:val="24"/>
          <w:szCs w:val="24"/>
        </w:rPr>
        <w:t xml:space="preserve"> </w:t>
      </w:r>
    </w:p>
    <w:p w14:paraId="2451CCEF" w14:textId="77777777" w:rsidR="00F37368" w:rsidRDefault="0046336B" w:rsidP="00F37368">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Eligible Program Measures (Units)</w:t>
      </w:r>
    </w:p>
    <w:p w14:paraId="2451CCF0" w14:textId="77777777" w:rsidR="00216E6A" w:rsidRDefault="00216E6A" w:rsidP="00F37368">
      <w:pPr>
        <w:jc w:val="center"/>
        <w:rPr>
          <w:rFonts w:ascii="Times New Roman" w:hAnsi="Times New Roman" w:cs="Times New Roman"/>
          <w:color w:val="548DD4" w:themeColor="text2" w:themeTint="99"/>
          <w:sz w:val="24"/>
          <w:szCs w:val="24"/>
        </w:rPr>
      </w:pPr>
    </w:p>
    <w:p w14:paraId="2451CCF1" w14:textId="77777777" w:rsidR="0046336B" w:rsidRPr="007716B1" w:rsidRDefault="00216E6A" w:rsidP="00F37368">
      <w:pPr>
        <w:jc w:val="center"/>
        <w:rPr>
          <w:rFonts w:ascii="Times New Roman" w:hAnsi="Times New Roman" w:cs="Times New Roman"/>
          <w:color w:val="548DD4" w:themeColor="text2" w:themeTint="99"/>
          <w:sz w:val="24"/>
          <w:szCs w:val="24"/>
        </w:rPr>
      </w:pPr>
      <w:r w:rsidRPr="00216E6A">
        <w:rPr>
          <w:noProof/>
        </w:rPr>
        <w:drawing>
          <wp:inline distT="0" distB="0" distL="0" distR="0" wp14:anchorId="2451CFDD" wp14:editId="2451CFDE">
            <wp:extent cx="4744720" cy="1742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44720" cy="1742440"/>
                    </a:xfrm>
                    <a:prstGeom prst="rect">
                      <a:avLst/>
                    </a:prstGeom>
                    <a:noFill/>
                    <a:ln>
                      <a:noFill/>
                    </a:ln>
                  </pic:spPr>
                </pic:pic>
              </a:graphicData>
            </a:graphic>
          </wp:inline>
        </w:drawing>
      </w:r>
    </w:p>
    <w:p w14:paraId="2451CCF2" w14:textId="77777777" w:rsidR="00F37368" w:rsidRPr="007716B1" w:rsidRDefault="00F37368" w:rsidP="00F37368">
      <w:pPr>
        <w:jc w:val="center"/>
        <w:rPr>
          <w:rFonts w:ascii="Times New Roman" w:hAnsi="Times New Roman" w:cs="Times New Roman"/>
          <w:color w:val="548DD4" w:themeColor="text2" w:themeTint="99"/>
          <w:sz w:val="24"/>
          <w:szCs w:val="24"/>
        </w:rPr>
      </w:pPr>
    </w:p>
    <w:p w14:paraId="2451CCF3" w14:textId="77777777" w:rsidR="00F37368" w:rsidRPr="00B456C0" w:rsidRDefault="00F37368" w:rsidP="00F37368">
      <w:pPr>
        <w:pStyle w:val="Heading3"/>
        <w:rPr>
          <w:sz w:val="24"/>
          <w:szCs w:val="24"/>
        </w:rPr>
      </w:pPr>
      <w:bookmarkStart w:id="19" w:name="_Toc449356467"/>
      <w:bookmarkStart w:id="20" w:name="_Toc449510479"/>
      <w:r w:rsidRPr="00B456C0">
        <w:rPr>
          <w:sz w:val="24"/>
          <w:szCs w:val="24"/>
        </w:rPr>
        <w:t>Program Management</w:t>
      </w:r>
      <w:bookmarkEnd w:id="19"/>
      <w:bookmarkEnd w:id="20"/>
    </w:p>
    <w:p w14:paraId="2451CCF4" w14:textId="77777777" w:rsidR="00F37368" w:rsidRPr="007454E8" w:rsidRDefault="00F37368" w:rsidP="00F37368">
      <w:pPr>
        <w:rPr>
          <w:rFonts w:ascii="Times New Roman" w:hAnsi="Times New Roman" w:cs="Times New Roman"/>
          <w:sz w:val="24"/>
          <w:szCs w:val="24"/>
        </w:rPr>
      </w:pPr>
    </w:p>
    <w:p w14:paraId="2451CCF5" w14:textId="77777777" w:rsidR="00F37368" w:rsidRPr="007716B1" w:rsidRDefault="00F37368" w:rsidP="00F37368">
      <w:pPr>
        <w:jc w:val="both"/>
        <w:rPr>
          <w:rFonts w:ascii="Times New Roman" w:hAnsi="Times New Roman" w:cs="Times New Roman"/>
          <w:sz w:val="24"/>
          <w:szCs w:val="24"/>
        </w:rPr>
      </w:pPr>
      <w:r>
        <w:rPr>
          <w:rFonts w:ascii="Times New Roman" w:hAnsi="Times New Roman" w:cs="Times New Roman"/>
          <w:sz w:val="24"/>
          <w:szCs w:val="24"/>
        </w:rPr>
        <w:t xml:space="preserve">The program manager </w:t>
      </w:r>
      <w:r w:rsidR="00FB7987">
        <w:rPr>
          <w:rFonts w:ascii="Times New Roman" w:hAnsi="Times New Roman" w:cs="Times New Roman"/>
          <w:sz w:val="24"/>
          <w:szCs w:val="24"/>
        </w:rPr>
        <w:t xml:space="preserve">who is responsible for the program in Washington is also </w:t>
      </w:r>
      <w:r>
        <w:rPr>
          <w:rFonts w:ascii="Times New Roman" w:hAnsi="Times New Roman" w:cs="Times New Roman"/>
          <w:sz w:val="24"/>
          <w:szCs w:val="24"/>
        </w:rPr>
        <w:t xml:space="preserve">responsible for the </w:t>
      </w:r>
      <w:r>
        <w:rPr>
          <w:rFonts w:ascii="Times New Roman" w:hAnsi="Times New Roman" w:cs="Times New Roman"/>
          <w:i/>
          <w:sz w:val="24"/>
          <w:szCs w:val="24"/>
        </w:rPr>
        <w:t>Home Energy Savings</w:t>
      </w:r>
      <w:r w:rsidR="00DD4B5D">
        <w:rPr>
          <w:rFonts w:ascii="Times New Roman" w:hAnsi="Times New Roman" w:cs="Times New Roman"/>
          <w:sz w:val="24"/>
          <w:szCs w:val="24"/>
        </w:rPr>
        <w:t xml:space="preserve"> program in California</w:t>
      </w:r>
      <w:r w:rsidR="005627BF">
        <w:rPr>
          <w:rFonts w:ascii="Times New Roman" w:hAnsi="Times New Roman" w:cs="Times New Roman"/>
          <w:sz w:val="24"/>
          <w:szCs w:val="24"/>
        </w:rPr>
        <w:t xml:space="preserve"> and </w:t>
      </w:r>
      <w:r w:rsidR="005627BF" w:rsidRPr="006340B2">
        <w:rPr>
          <w:rFonts w:ascii="Times New Roman" w:hAnsi="Times New Roman" w:cs="Times New Roman"/>
          <w:i/>
          <w:sz w:val="24"/>
          <w:szCs w:val="24"/>
        </w:rPr>
        <w:t>Home Energy Report</w:t>
      </w:r>
      <w:r w:rsidR="005627BF">
        <w:rPr>
          <w:rFonts w:ascii="Times New Roman" w:hAnsi="Times New Roman" w:cs="Times New Roman"/>
          <w:i/>
          <w:sz w:val="24"/>
          <w:szCs w:val="24"/>
        </w:rPr>
        <w:t>s</w:t>
      </w:r>
      <w:r w:rsidR="005627BF">
        <w:rPr>
          <w:rFonts w:ascii="Times New Roman" w:hAnsi="Times New Roman" w:cs="Times New Roman"/>
          <w:sz w:val="24"/>
          <w:szCs w:val="24"/>
        </w:rPr>
        <w:t xml:space="preserve"> program in Washington</w:t>
      </w:r>
      <w:r w:rsidR="00DD4B5D">
        <w:rPr>
          <w:rFonts w:ascii="Times New Roman" w:hAnsi="Times New Roman" w:cs="Times New Roman"/>
          <w:sz w:val="24"/>
          <w:szCs w:val="24"/>
        </w:rPr>
        <w:t>.</w:t>
      </w:r>
      <w:r>
        <w:rPr>
          <w:rFonts w:ascii="Times New Roman" w:hAnsi="Times New Roman" w:cs="Times New Roman"/>
          <w:sz w:val="24"/>
          <w:szCs w:val="24"/>
        </w:rPr>
        <w:t xml:space="preserve"> For each program and in each state the program manager is responsible for the cost effectiveness of the program, identifying and contracting with the program administrator through a competitive bid process, establishing and monitoring program performance and compliance, and recommending changes in the terms and conditions set out in the tariff</w:t>
      </w:r>
      <w:r w:rsidR="00FB7987">
        <w:rPr>
          <w:rFonts w:ascii="Times New Roman" w:hAnsi="Times New Roman" w:cs="Times New Roman"/>
          <w:sz w:val="24"/>
          <w:szCs w:val="24"/>
        </w:rPr>
        <w:t xml:space="preserve"> and/or posted on the Company’s website.</w:t>
      </w:r>
    </w:p>
    <w:p w14:paraId="2451CCF6" w14:textId="77777777" w:rsidR="00F37368" w:rsidRPr="00B456C0" w:rsidRDefault="00F37368" w:rsidP="00F37368">
      <w:pPr>
        <w:pStyle w:val="Heading3"/>
        <w:rPr>
          <w:sz w:val="24"/>
          <w:szCs w:val="24"/>
        </w:rPr>
      </w:pPr>
      <w:bookmarkStart w:id="21" w:name="_Toc449356468"/>
      <w:bookmarkStart w:id="22" w:name="_Toc449510480"/>
      <w:r w:rsidRPr="00B456C0">
        <w:rPr>
          <w:sz w:val="24"/>
          <w:szCs w:val="24"/>
        </w:rPr>
        <w:lastRenderedPageBreak/>
        <w:t>Program Administration</w:t>
      </w:r>
      <w:bookmarkEnd w:id="21"/>
      <w:bookmarkEnd w:id="22"/>
    </w:p>
    <w:p w14:paraId="2451CCF7" w14:textId="77777777" w:rsidR="00F37368" w:rsidRPr="00B456C0" w:rsidRDefault="00F37368" w:rsidP="00F37368">
      <w:pPr>
        <w:pStyle w:val="NormalWeb"/>
        <w:jc w:val="both"/>
        <w:rPr>
          <w:rFonts w:ascii="Times New Roman" w:hAnsi="Times New Roman"/>
          <w:color w:val="auto"/>
          <w:sz w:val="24"/>
          <w:szCs w:val="24"/>
        </w:rPr>
      </w:pPr>
      <w:r w:rsidRPr="00B456C0">
        <w:rPr>
          <w:rFonts w:ascii="Times New Roman" w:hAnsi="Times New Roman"/>
          <w:color w:val="auto"/>
          <w:sz w:val="24"/>
          <w:szCs w:val="24"/>
        </w:rPr>
        <w:t xml:space="preserve">The </w:t>
      </w:r>
      <w:r w:rsidRPr="00B456C0">
        <w:rPr>
          <w:rFonts w:ascii="Times New Roman" w:hAnsi="Times New Roman"/>
          <w:i/>
          <w:color w:val="auto"/>
          <w:sz w:val="24"/>
          <w:szCs w:val="24"/>
        </w:rPr>
        <w:t>Home Energy Savings</w:t>
      </w:r>
      <w:r w:rsidRPr="00B456C0">
        <w:rPr>
          <w:rFonts w:ascii="Times New Roman" w:hAnsi="Times New Roman"/>
          <w:color w:val="auto"/>
          <w:sz w:val="24"/>
          <w:szCs w:val="24"/>
        </w:rPr>
        <w:t xml:space="preserve"> program is administered by </w:t>
      </w:r>
      <w:r>
        <w:rPr>
          <w:rFonts w:ascii="Times New Roman" w:hAnsi="Times New Roman"/>
          <w:color w:val="auto"/>
          <w:sz w:val="24"/>
          <w:szCs w:val="24"/>
        </w:rPr>
        <w:t>CLEAResult</w:t>
      </w:r>
      <w:r w:rsidRPr="00B456C0">
        <w:rPr>
          <w:rFonts w:ascii="Times New Roman" w:hAnsi="Times New Roman"/>
          <w:color w:val="auto"/>
          <w:sz w:val="24"/>
          <w:szCs w:val="24"/>
        </w:rPr>
        <w:t>.</w:t>
      </w:r>
      <w:r>
        <w:rPr>
          <w:rFonts w:ascii="Times New Roman" w:hAnsi="Times New Roman"/>
          <w:color w:val="auto"/>
          <w:sz w:val="24"/>
          <w:szCs w:val="24"/>
        </w:rPr>
        <w:t xml:space="preserve"> CLEAResult</w:t>
      </w:r>
      <w:r w:rsidRPr="00B456C0">
        <w:rPr>
          <w:rFonts w:ascii="Times New Roman" w:hAnsi="Times New Roman"/>
          <w:color w:val="auto"/>
          <w:sz w:val="24"/>
          <w:szCs w:val="24"/>
        </w:rPr>
        <w:t xml:space="preserve"> is responsible for the following:</w:t>
      </w:r>
    </w:p>
    <w:p w14:paraId="2451CCF8" w14:textId="77777777" w:rsidR="00F37368" w:rsidRPr="00BC5B54" w:rsidRDefault="00F37368" w:rsidP="00F37368">
      <w:pPr>
        <w:pStyle w:val="NormalWeb"/>
        <w:numPr>
          <w:ilvl w:val="0"/>
          <w:numId w:val="5"/>
        </w:numPr>
        <w:jc w:val="both"/>
        <w:rPr>
          <w:rFonts w:ascii="Times New Roman" w:hAnsi="Times New Roman"/>
          <w:color w:val="auto"/>
          <w:sz w:val="24"/>
          <w:szCs w:val="24"/>
        </w:rPr>
      </w:pPr>
      <w:r w:rsidRPr="00B456C0">
        <w:rPr>
          <w:rFonts w:ascii="Times New Roman" w:hAnsi="Times New Roman"/>
          <w:color w:val="auto"/>
          <w:sz w:val="24"/>
          <w:szCs w:val="24"/>
        </w:rPr>
        <w:t xml:space="preserve">Retailer and trade ally engagement </w:t>
      </w:r>
      <w:r>
        <w:rPr>
          <w:rFonts w:ascii="Times New Roman" w:hAnsi="Times New Roman"/>
          <w:color w:val="auto"/>
          <w:sz w:val="24"/>
          <w:szCs w:val="24"/>
        </w:rPr>
        <w:t>– CLEAResult</w:t>
      </w:r>
      <w:r w:rsidRPr="00BC5B54">
        <w:rPr>
          <w:rFonts w:ascii="Times New Roman" w:hAnsi="Times New Roman"/>
          <w:color w:val="auto"/>
          <w:sz w:val="24"/>
          <w:szCs w:val="24"/>
        </w:rPr>
        <w:t xml:space="preserve"> identifies, recruits, supports and assists retailers to increase the sale of energy efficient lighting, appliances and electronics. </w:t>
      </w:r>
      <w:r>
        <w:rPr>
          <w:rFonts w:ascii="Times New Roman" w:hAnsi="Times New Roman"/>
          <w:color w:val="auto"/>
          <w:sz w:val="24"/>
          <w:szCs w:val="24"/>
        </w:rPr>
        <w:t>CLEAResult</w:t>
      </w:r>
      <w:r w:rsidRPr="00BC5B54" w:rsidDel="001D1A4D">
        <w:rPr>
          <w:rFonts w:ascii="Times New Roman" w:hAnsi="Times New Roman"/>
          <w:color w:val="auto"/>
          <w:sz w:val="24"/>
          <w:szCs w:val="24"/>
        </w:rPr>
        <w:t xml:space="preserve"> </w:t>
      </w:r>
      <w:r w:rsidRPr="00BC5B54">
        <w:rPr>
          <w:rFonts w:ascii="Times New Roman" w:hAnsi="Times New Roman"/>
          <w:color w:val="auto"/>
          <w:sz w:val="24"/>
          <w:szCs w:val="24"/>
        </w:rPr>
        <w:t>enters into promotion agreements with each lighting manufacturer and retailer for the promotion of discounted CFL</w:t>
      </w:r>
      <w:r w:rsidR="00FB7987">
        <w:rPr>
          <w:rFonts w:ascii="Times New Roman" w:hAnsi="Times New Roman"/>
          <w:color w:val="auto"/>
          <w:sz w:val="24"/>
          <w:szCs w:val="24"/>
        </w:rPr>
        <w:t xml:space="preserve"> and LED bulbs</w:t>
      </w:r>
      <w:r w:rsidRPr="00BC5B54">
        <w:rPr>
          <w:rFonts w:ascii="Times New Roman" w:hAnsi="Times New Roman"/>
          <w:color w:val="auto"/>
          <w:sz w:val="24"/>
          <w:szCs w:val="24"/>
        </w:rPr>
        <w:t xml:space="preserve">. The agreements include specific retail locations, lighting products receiving incentives and not-to-exceed annual budgets. Weatherization and HVAC </w:t>
      </w:r>
      <w:r w:rsidR="002D4817">
        <w:rPr>
          <w:rFonts w:ascii="Times New Roman" w:hAnsi="Times New Roman"/>
          <w:color w:val="auto"/>
          <w:sz w:val="24"/>
          <w:szCs w:val="24"/>
        </w:rPr>
        <w:t xml:space="preserve">trade allies </w:t>
      </w:r>
      <w:r w:rsidRPr="00BC5B54">
        <w:rPr>
          <w:rFonts w:ascii="Times New Roman" w:hAnsi="Times New Roman"/>
          <w:color w:val="auto"/>
          <w:sz w:val="24"/>
          <w:szCs w:val="24"/>
        </w:rPr>
        <w:t>engaged with the program are provided with program materials, training, and regular updates.</w:t>
      </w:r>
    </w:p>
    <w:p w14:paraId="2451CCF9" w14:textId="77777777" w:rsidR="00F37368" w:rsidRPr="00B456C0" w:rsidRDefault="00F37368" w:rsidP="00F37368">
      <w:pPr>
        <w:pStyle w:val="NormalWeb"/>
        <w:numPr>
          <w:ilvl w:val="0"/>
          <w:numId w:val="5"/>
        </w:numPr>
        <w:jc w:val="both"/>
        <w:rPr>
          <w:rFonts w:ascii="Times New Roman" w:hAnsi="Times New Roman"/>
          <w:color w:val="auto"/>
          <w:sz w:val="24"/>
          <w:szCs w:val="24"/>
        </w:rPr>
      </w:pPr>
      <w:r w:rsidRPr="00B456C0">
        <w:rPr>
          <w:rFonts w:ascii="Times New Roman" w:hAnsi="Times New Roman"/>
          <w:color w:val="auto"/>
          <w:sz w:val="24"/>
          <w:szCs w:val="24"/>
        </w:rPr>
        <w:t xml:space="preserve">Inspections – </w:t>
      </w:r>
      <w:r>
        <w:rPr>
          <w:rFonts w:ascii="Times New Roman" w:hAnsi="Times New Roman"/>
          <w:color w:val="auto"/>
          <w:sz w:val="24"/>
          <w:szCs w:val="24"/>
        </w:rPr>
        <w:t>CLEAResult</w:t>
      </w:r>
      <w:r w:rsidRPr="00B456C0" w:rsidDel="001D1A4D">
        <w:rPr>
          <w:rFonts w:ascii="Times New Roman" w:hAnsi="Times New Roman"/>
          <w:color w:val="auto"/>
          <w:sz w:val="24"/>
          <w:szCs w:val="24"/>
        </w:rPr>
        <w:t xml:space="preserve"> </w:t>
      </w:r>
      <w:r w:rsidRPr="00B456C0">
        <w:rPr>
          <w:rFonts w:ascii="Times New Roman" w:hAnsi="Times New Roman"/>
          <w:color w:val="auto"/>
          <w:sz w:val="24"/>
          <w:szCs w:val="24"/>
        </w:rPr>
        <w:t xml:space="preserve">recruits and hires inspectors to verify on an on-going basis the installation of measures. A summary of the inspection process is </w:t>
      </w:r>
      <w:r w:rsidRPr="00947EE7">
        <w:rPr>
          <w:rFonts w:ascii="Times New Roman" w:hAnsi="Times New Roman"/>
          <w:color w:val="auto"/>
          <w:sz w:val="24"/>
          <w:szCs w:val="24"/>
        </w:rPr>
        <w:t xml:space="preserve">in </w:t>
      </w:r>
      <w:r w:rsidRPr="008817CE">
        <w:rPr>
          <w:rFonts w:ascii="Times New Roman" w:hAnsi="Times New Roman"/>
          <w:color w:val="auto"/>
          <w:sz w:val="24"/>
          <w:szCs w:val="24"/>
        </w:rPr>
        <w:t xml:space="preserve">Appendix </w:t>
      </w:r>
      <w:r w:rsidR="00EE016E">
        <w:rPr>
          <w:rFonts w:ascii="Times New Roman" w:hAnsi="Times New Roman"/>
          <w:color w:val="auto"/>
          <w:sz w:val="24"/>
          <w:szCs w:val="24"/>
        </w:rPr>
        <w:t>2</w:t>
      </w:r>
      <w:r w:rsidRPr="00947EE7">
        <w:rPr>
          <w:rFonts w:ascii="Times New Roman" w:hAnsi="Times New Roman"/>
          <w:color w:val="auto"/>
          <w:sz w:val="24"/>
          <w:szCs w:val="24"/>
        </w:rPr>
        <w:t>.</w:t>
      </w:r>
    </w:p>
    <w:p w14:paraId="2451CCFA" w14:textId="77777777" w:rsidR="00F37368" w:rsidRPr="00B456C0" w:rsidRDefault="00F37368" w:rsidP="00F37368">
      <w:pPr>
        <w:pStyle w:val="NormalWeb"/>
        <w:numPr>
          <w:ilvl w:val="0"/>
          <w:numId w:val="5"/>
        </w:numPr>
        <w:jc w:val="both"/>
        <w:rPr>
          <w:rFonts w:ascii="Times New Roman" w:hAnsi="Times New Roman"/>
          <w:color w:val="auto"/>
          <w:sz w:val="24"/>
          <w:szCs w:val="24"/>
        </w:rPr>
      </w:pPr>
      <w:r w:rsidRPr="00B456C0">
        <w:rPr>
          <w:rFonts w:ascii="Times New Roman" w:hAnsi="Times New Roman"/>
          <w:color w:val="auto"/>
          <w:sz w:val="24"/>
          <w:szCs w:val="24"/>
        </w:rPr>
        <w:t xml:space="preserve">Incentive processing and call-center operations – </w:t>
      </w:r>
      <w:r>
        <w:rPr>
          <w:rFonts w:ascii="Times New Roman" w:hAnsi="Times New Roman"/>
          <w:color w:val="auto"/>
          <w:sz w:val="24"/>
          <w:szCs w:val="24"/>
        </w:rPr>
        <w:t>CLEAResult</w:t>
      </w:r>
      <w:r w:rsidRPr="00B456C0" w:rsidDel="001D1A4D">
        <w:rPr>
          <w:rFonts w:ascii="Times New Roman" w:hAnsi="Times New Roman"/>
          <w:color w:val="auto"/>
          <w:sz w:val="24"/>
          <w:szCs w:val="24"/>
        </w:rPr>
        <w:t xml:space="preserve"> </w:t>
      </w:r>
      <w:r w:rsidRPr="00B456C0">
        <w:rPr>
          <w:rFonts w:ascii="Times New Roman" w:hAnsi="Times New Roman"/>
          <w:color w:val="auto"/>
          <w:sz w:val="24"/>
          <w:szCs w:val="24"/>
        </w:rPr>
        <w:t>receives all requests for incentives, determines whether the applications are completed, works directly with customers when information is incorrect and/or missing from the application and processes the application for payment.</w:t>
      </w:r>
    </w:p>
    <w:p w14:paraId="2451CCFB" w14:textId="77777777" w:rsidR="00F37368" w:rsidRPr="00B456C0" w:rsidRDefault="00F37368" w:rsidP="00F37368">
      <w:pPr>
        <w:pStyle w:val="NormalWeb"/>
        <w:numPr>
          <w:ilvl w:val="0"/>
          <w:numId w:val="5"/>
        </w:numPr>
        <w:jc w:val="both"/>
        <w:rPr>
          <w:rFonts w:ascii="Times New Roman" w:hAnsi="Times New Roman"/>
          <w:i/>
          <w:color w:val="auto"/>
          <w:sz w:val="24"/>
          <w:szCs w:val="24"/>
        </w:rPr>
      </w:pPr>
      <w:r w:rsidRPr="00B456C0">
        <w:rPr>
          <w:rFonts w:ascii="Times New Roman" w:hAnsi="Times New Roman"/>
          <w:color w:val="auto"/>
          <w:sz w:val="24"/>
          <w:szCs w:val="24"/>
        </w:rPr>
        <w:t xml:space="preserve">Program specific customer communication and outreach – A summary of the communication and outreach conducted by </w:t>
      </w:r>
      <w:r>
        <w:rPr>
          <w:rFonts w:ascii="Times New Roman" w:hAnsi="Times New Roman"/>
          <w:color w:val="auto"/>
          <w:sz w:val="24"/>
          <w:szCs w:val="24"/>
        </w:rPr>
        <w:t>CLEAResult</w:t>
      </w:r>
      <w:r w:rsidRPr="00B456C0" w:rsidDel="001D1A4D">
        <w:rPr>
          <w:rFonts w:ascii="Times New Roman" w:hAnsi="Times New Roman"/>
          <w:color w:val="auto"/>
          <w:sz w:val="24"/>
          <w:szCs w:val="24"/>
        </w:rPr>
        <w:t xml:space="preserve"> </w:t>
      </w:r>
      <w:r w:rsidRPr="00B456C0">
        <w:rPr>
          <w:rFonts w:ascii="Times New Roman" w:hAnsi="Times New Roman"/>
          <w:color w:val="auto"/>
          <w:sz w:val="24"/>
          <w:szCs w:val="24"/>
        </w:rPr>
        <w:t>on behalf of the Company is outlined in the Communication, Outreach, and Education section.</w:t>
      </w:r>
    </w:p>
    <w:p w14:paraId="2451CCFC" w14:textId="77777777" w:rsidR="00DD4B5D" w:rsidRDefault="00DD4B5D" w:rsidP="00DD4B5D">
      <w:pPr>
        <w:pStyle w:val="NormalWeb"/>
        <w:jc w:val="both"/>
        <w:rPr>
          <w:rFonts w:ascii="Times New Roman" w:hAnsi="Times New Roman"/>
          <w:color w:val="auto"/>
          <w:sz w:val="24"/>
          <w:szCs w:val="24"/>
        </w:rPr>
      </w:pPr>
      <w:r w:rsidRPr="00A3646C">
        <w:rPr>
          <w:rFonts w:ascii="Times New Roman" w:hAnsi="Times New Roman"/>
          <w:color w:val="auto"/>
          <w:sz w:val="24"/>
          <w:szCs w:val="24"/>
        </w:rPr>
        <w:t xml:space="preserve">The contract for </w:t>
      </w:r>
      <w:r w:rsidRPr="00A3646C">
        <w:rPr>
          <w:rFonts w:ascii="Times New Roman" w:hAnsi="Times New Roman"/>
          <w:i/>
          <w:color w:val="auto"/>
          <w:sz w:val="24"/>
          <w:szCs w:val="24"/>
        </w:rPr>
        <w:t>Home Energy Savings</w:t>
      </w:r>
      <w:r w:rsidRPr="00A3646C">
        <w:rPr>
          <w:rFonts w:ascii="Times New Roman" w:hAnsi="Times New Roman"/>
          <w:color w:val="auto"/>
          <w:sz w:val="24"/>
          <w:szCs w:val="24"/>
        </w:rPr>
        <w:t xml:space="preserve"> program administration services for all states</w:t>
      </w:r>
      <w:r>
        <w:rPr>
          <w:rFonts w:ascii="Times New Roman" w:hAnsi="Times New Roman"/>
          <w:color w:val="auto"/>
          <w:sz w:val="24"/>
          <w:szCs w:val="24"/>
        </w:rPr>
        <w:t xml:space="preserve"> expires in early 2016.</w:t>
      </w:r>
      <w:r w:rsidRPr="00A3646C">
        <w:rPr>
          <w:rFonts w:ascii="Times New Roman" w:hAnsi="Times New Roman"/>
          <w:color w:val="auto"/>
          <w:sz w:val="24"/>
          <w:szCs w:val="24"/>
        </w:rPr>
        <w:t xml:space="preserve"> In 2015</w:t>
      </w:r>
      <w:r>
        <w:rPr>
          <w:rFonts w:ascii="Times New Roman" w:hAnsi="Times New Roman"/>
          <w:color w:val="auto"/>
          <w:sz w:val="24"/>
          <w:szCs w:val="24"/>
        </w:rPr>
        <w:t>,</w:t>
      </w:r>
      <w:r w:rsidRPr="00A3646C">
        <w:rPr>
          <w:rFonts w:ascii="Times New Roman" w:hAnsi="Times New Roman"/>
          <w:color w:val="auto"/>
          <w:sz w:val="24"/>
          <w:szCs w:val="24"/>
        </w:rPr>
        <w:t xml:space="preserve"> the Company initiated </w:t>
      </w:r>
      <w:r>
        <w:rPr>
          <w:rFonts w:ascii="Times New Roman" w:hAnsi="Times New Roman"/>
          <w:color w:val="auto"/>
          <w:sz w:val="24"/>
          <w:szCs w:val="24"/>
        </w:rPr>
        <w:t xml:space="preserve">a request for proposal and a new contract will be in place in early 2016. </w:t>
      </w:r>
    </w:p>
    <w:p w14:paraId="2451CCFD" w14:textId="77777777" w:rsidR="00F37368" w:rsidRPr="00B456C0" w:rsidRDefault="00F37368" w:rsidP="00F37368">
      <w:pPr>
        <w:pStyle w:val="Heading3"/>
        <w:rPr>
          <w:i/>
          <w:sz w:val="24"/>
          <w:szCs w:val="24"/>
        </w:rPr>
      </w:pPr>
      <w:bookmarkStart w:id="23" w:name="_Toc449356469"/>
      <w:bookmarkStart w:id="24" w:name="_Toc449510481"/>
      <w:r w:rsidRPr="00B456C0">
        <w:rPr>
          <w:sz w:val="24"/>
          <w:szCs w:val="24"/>
        </w:rPr>
        <w:t>Infrastructure</w:t>
      </w:r>
      <w:bookmarkEnd w:id="23"/>
      <w:bookmarkEnd w:id="24"/>
    </w:p>
    <w:p w14:paraId="2451CCFE" w14:textId="77777777" w:rsidR="00947EE7" w:rsidRPr="00820E32" w:rsidRDefault="00947EE7" w:rsidP="00947EE7">
      <w:pPr>
        <w:pStyle w:val="NormalWeb"/>
        <w:jc w:val="both"/>
        <w:rPr>
          <w:rFonts w:ascii="Times New Roman" w:hAnsi="Times New Roman"/>
          <w:color w:val="auto"/>
          <w:sz w:val="24"/>
          <w:szCs w:val="24"/>
        </w:rPr>
      </w:pPr>
      <w:r w:rsidRPr="00820E32">
        <w:rPr>
          <w:rFonts w:ascii="Times New Roman" w:hAnsi="Times New Roman"/>
          <w:color w:val="auto"/>
          <w:sz w:val="24"/>
          <w:szCs w:val="24"/>
        </w:rPr>
        <w:t xml:space="preserve">The total number of participating </w:t>
      </w:r>
      <w:r>
        <w:rPr>
          <w:rFonts w:ascii="Times New Roman" w:hAnsi="Times New Roman"/>
          <w:color w:val="auto"/>
          <w:sz w:val="24"/>
          <w:szCs w:val="24"/>
        </w:rPr>
        <w:t>retailers participating in the program</w:t>
      </w:r>
      <w:r w:rsidRPr="00820E32">
        <w:rPr>
          <w:rFonts w:ascii="Times New Roman" w:hAnsi="Times New Roman"/>
          <w:color w:val="auto"/>
          <w:sz w:val="24"/>
          <w:szCs w:val="24"/>
        </w:rPr>
        <w:t xml:space="preserve"> is currently </w:t>
      </w:r>
      <w:r w:rsidR="00AB31C9">
        <w:rPr>
          <w:rFonts w:ascii="Times New Roman" w:hAnsi="Times New Roman"/>
          <w:color w:val="auto"/>
          <w:sz w:val="24"/>
          <w:szCs w:val="24"/>
        </w:rPr>
        <w:t>174</w:t>
      </w:r>
      <w:r w:rsidRPr="00AB31C9">
        <w:rPr>
          <w:rFonts w:ascii="Times New Roman" w:hAnsi="Times New Roman"/>
          <w:color w:val="auto"/>
          <w:sz w:val="24"/>
          <w:szCs w:val="24"/>
        </w:rPr>
        <w:t>.</w:t>
      </w:r>
      <w:r w:rsidRPr="00820E32">
        <w:rPr>
          <w:rFonts w:ascii="Times New Roman" w:hAnsi="Times New Roman"/>
          <w:color w:val="auto"/>
          <w:sz w:val="24"/>
          <w:szCs w:val="24"/>
        </w:rPr>
        <w:t xml:space="preserve"> The current count of participating </w:t>
      </w:r>
      <w:r w:rsidR="00B24613">
        <w:rPr>
          <w:rFonts w:ascii="Times New Roman" w:hAnsi="Times New Roman"/>
          <w:color w:val="auto"/>
          <w:sz w:val="24"/>
          <w:szCs w:val="24"/>
        </w:rPr>
        <w:t>retailers by delivery channel and measure type</w:t>
      </w:r>
      <w:r w:rsidRPr="00820E32">
        <w:rPr>
          <w:rFonts w:ascii="Times New Roman" w:hAnsi="Times New Roman"/>
          <w:color w:val="auto"/>
          <w:sz w:val="24"/>
          <w:szCs w:val="24"/>
        </w:rPr>
        <w:t xml:space="preserve"> </w:t>
      </w:r>
      <w:r w:rsidR="00015CB8">
        <w:rPr>
          <w:rFonts w:ascii="Times New Roman" w:hAnsi="Times New Roman"/>
          <w:color w:val="auto"/>
          <w:sz w:val="24"/>
          <w:szCs w:val="24"/>
        </w:rPr>
        <w:t>is provided</w:t>
      </w:r>
      <w:r w:rsidR="00B24613">
        <w:rPr>
          <w:rFonts w:ascii="Times New Roman" w:hAnsi="Times New Roman"/>
          <w:color w:val="auto"/>
          <w:sz w:val="24"/>
          <w:szCs w:val="24"/>
        </w:rPr>
        <w:t xml:space="preserve"> in</w:t>
      </w:r>
      <w:r w:rsidRPr="00820E32">
        <w:rPr>
          <w:rFonts w:ascii="Times New Roman" w:hAnsi="Times New Roman"/>
          <w:color w:val="auto"/>
          <w:sz w:val="24"/>
          <w:szCs w:val="24"/>
        </w:rPr>
        <w:t xml:space="preserve"> </w:t>
      </w:r>
      <w:r w:rsidRPr="00A92F84">
        <w:rPr>
          <w:rFonts w:ascii="Times New Roman" w:hAnsi="Times New Roman"/>
          <w:color w:val="auto"/>
          <w:sz w:val="24"/>
          <w:szCs w:val="24"/>
        </w:rPr>
        <w:t>Appendix</w:t>
      </w:r>
      <w:r w:rsidR="003C6E46">
        <w:rPr>
          <w:rFonts w:ascii="Times New Roman" w:hAnsi="Times New Roman"/>
          <w:color w:val="auto"/>
          <w:sz w:val="24"/>
          <w:szCs w:val="24"/>
        </w:rPr>
        <w:t xml:space="preserve"> 3</w:t>
      </w:r>
      <w:r w:rsidRPr="00A92F84">
        <w:rPr>
          <w:rFonts w:ascii="Times New Roman" w:hAnsi="Times New Roman"/>
          <w:color w:val="auto"/>
          <w:sz w:val="24"/>
          <w:szCs w:val="24"/>
        </w:rPr>
        <w:t>.</w:t>
      </w:r>
    </w:p>
    <w:p w14:paraId="2451CCFF" w14:textId="77777777" w:rsidR="00034BCB" w:rsidRPr="00F1756B" w:rsidRDefault="00034BCB" w:rsidP="00034BCB">
      <w:pPr>
        <w:pStyle w:val="Heading3"/>
        <w:rPr>
          <w:sz w:val="24"/>
          <w:szCs w:val="24"/>
        </w:rPr>
      </w:pPr>
      <w:bookmarkStart w:id="25" w:name="_Toc449356470"/>
      <w:bookmarkStart w:id="26" w:name="_Toc449510482"/>
      <w:r w:rsidRPr="00F1756B">
        <w:rPr>
          <w:sz w:val="24"/>
          <w:szCs w:val="24"/>
        </w:rPr>
        <w:t>Program Changes</w:t>
      </w:r>
      <w:bookmarkEnd w:id="25"/>
      <w:bookmarkEnd w:id="26"/>
    </w:p>
    <w:p w14:paraId="2451CD00" w14:textId="77777777" w:rsidR="00034BCB" w:rsidRDefault="00034BCB" w:rsidP="00B24613">
      <w:pPr>
        <w:rPr>
          <w:rFonts w:ascii="Times New Roman" w:hAnsi="Times New Roman" w:cs="Times New Roman"/>
          <w:color w:val="1F497D"/>
          <w:sz w:val="24"/>
          <w:szCs w:val="24"/>
        </w:rPr>
      </w:pPr>
    </w:p>
    <w:p w14:paraId="2451CD01" w14:textId="77777777" w:rsidR="00DD4B5D" w:rsidRDefault="00DD4B5D" w:rsidP="00B24613">
      <w:pPr>
        <w:pStyle w:val="Heading3"/>
        <w:spacing w:before="0"/>
        <w:rPr>
          <w:rFonts w:cs="Times New Roman"/>
          <w:sz w:val="24"/>
          <w:szCs w:val="24"/>
          <w:u w:val="none"/>
        </w:rPr>
      </w:pPr>
      <w:bookmarkStart w:id="27" w:name="_Toc449356471"/>
      <w:bookmarkStart w:id="28" w:name="_Toc449510483"/>
      <w:r w:rsidRPr="00DD4B5D">
        <w:rPr>
          <w:rFonts w:cs="Times New Roman"/>
          <w:sz w:val="24"/>
          <w:szCs w:val="24"/>
          <w:u w:val="none"/>
        </w:rPr>
        <w:t xml:space="preserve">There were no changes in program incentive offers or eligibility requirements in 2015. During the last two quarters of 2015, CLEAResult assisted the Company in identifying program changes for the 2016-2017 biennial </w:t>
      </w:r>
      <w:r w:rsidR="00B24613" w:rsidRPr="00DD4B5D">
        <w:rPr>
          <w:rFonts w:cs="Times New Roman"/>
          <w:sz w:val="24"/>
          <w:szCs w:val="24"/>
          <w:u w:val="none"/>
        </w:rPr>
        <w:t>period.</w:t>
      </w:r>
      <w:bookmarkEnd w:id="27"/>
      <w:bookmarkEnd w:id="28"/>
    </w:p>
    <w:p w14:paraId="2451CD02" w14:textId="77777777" w:rsidR="00970182" w:rsidRPr="00DA457A" w:rsidRDefault="00970182" w:rsidP="00970182">
      <w:pPr>
        <w:pStyle w:val="Heading3"/>
        <w:rPr>
          <w:sz w:val="24"/>
          <w:szCs w:val="24"/>
        </w:rPr>
      </w:pPr>
      <w:bookmarkStart w:id="29" w:name="_Toc449356472"/>
      <w:bookmarkStart w:id="30" w:name="_Toc449510484"/>
      <w:r w:rsidRPr="00DA457A">
        <w:rPr>
          <w:sz w:val="24"/>
          <w:szCs w:val="24"/>
        </w:rPr>
        <w:t>Evaluation</w:t>
      </w:r>
      <w:bookmarkEnd w:id="29"/>
      <w:bookmarkEnd w:id="30"/>
    </w:p>
    <w:p w14:paraId="2451CD03" w14:textId="77777777" w:rsidR="00DA457A" w:rsidRDefault="00DA457A" w:rsidP="00DA457A">
      <w:pPr>
        <w:jc w:val="both"/>
        <w:rPr>
          <w:rFonts w:ascii="Times New Roman" w:hAnsi="Times New Roman"/>
          <w:sz w:val="24"/>
          <w:szCs w:val="24"/>
        </w:rPr>
      </w:pPr>
    </w:p>
    <w:p w14:paraId="2451CD04" w14:textId="77777777" w:rsidR="004B64E1" w:rsidRPr="00DA457A" w:rsidRDefault="00DA457A" w:rsidP="00DA457A">
      <w:pPr>
        <w:jc w:val="both"/>
        <w:rPr>
          <w:rFonts w:ascii="Times New Roman" w:hAnsi="Times New Roman"/>
          <w:sz w:val="24"/>
          <w:szCs w:val="24"/>
        </w:rPr>
      </w:pPr>
      <w:r>
        <w:rPr>
          <w:rFonts w:ascii="Times New Roman" w:hAnsi="Times New Roman"/>
          <w:sz w:val="24"/>
          <w:szCs w:val="24"/>
        </w:rPr>
        <w:t>A process and impact evaluation for program years 2013-2014 is currently being conducted by a third party evaluator.</w:t>
      </w:r>
      <w:r w:rsidRPr="003D1557">
        <w:rPr>
          <w:rFonts w:ascii="Times New Roman" w:hAnsi="Times New Roman"/>
          <w:sz w:val="24"/>
          <w:szCs w:val="24"/>
        </w:rPr>
        <w:t xml:space="preserve"> </w:t>
      </w:r>
      <w:r w:rsidR="004B64E1" w:rsidRPr="00282247">
        <w:rPr>
          <w:rFonts w:ascii="Times New Roman" w:hAnsi="Times New Roman" w:cs="Times New Roman"/>
          <w:sz w:val="24"/>
          <w:szCs w:val="24"/>
        </w:rPr>
        <w:t xml:space="preserve">The evaluation </w:t>
      </w:r>
      <w:r w:rsidR="004B64E1">
        <w:rPr>
          <w:rFonts w:ascii="Times New Roman" w:hAnsi="Times New Roman" w:cs="Times New Roman"/>
          <w:sz w:val="24"/>
          <w:szCs w:val="24"/>
        </w:rPr>
        <w:t>results will be available in 2016.</w:t>
      </w:r>
    </w:p>
    <w:p w14:paraId="2451CD05" w14:textId="77777777" w:rsidR="0030703F" w:rsidRDefault="0030703F" w:rsidP="005A5750">
      <w:pPr>
        <w:pStyle w:val="Heading2"/>
      </w:pPr>
    </w:p>
    <w:p w14:paraId="2451CD06" w14:textId="77777777" w:rsidR="0030703F" w:rsidRDefault="0030703F" w:rsidP="005A5750">
      <w:pPr>
        <w:pStyle w:val="Heading2"/>
      </w:pPr>
    </w:p>
    <w:p w14:paraId="2451CD07" w14:textId="77777777" w:rsidR="0030703F" w:rsidRDefault="0030703F" w:rsidP="005A5750">
      <w:pPr>
        <w:pStyle w:val="Heading2"/>
        <w:sectPr w:rsidR="0030703F" w:rsidSect="00EB7445">
          <w:headerReference w:type="default" r:id="rId43"/>
          <w:pgSz w:w="12240" w:h="15840"/>
          <w:pgMar w:top="1440" w:right="1440" w:bottom="1440" w:left="1440" w:header="720" w:footer="720" w:gutter="0"/>
          <w:cols w:space="720"/>
          <w:titlePg/>
          <w:docGrid w:linePitch="360"/>
        </w:sectPr>
      </w:pPr>
    </w:p>
    <w:p w14:paraId="2451CD08" w14:textId="77777777" w:rsidR="005A5750" w:rsidRDefault="005A5750" w:rsidP="005A5750">
      <w:pPr>
        <w:pStyle w:val="Heading2"/>
      </w:pPr>
      <w:bookmarkStart w:id="31" w:name="_Toc449510485"/>
      <w:r>
        <w:lastRenderedPageBreak/>
        <w:t>Home Energy Reports</w:t>
      </w:r>
      <w:bookmarkEnd w:id="31"/>
    </w:p>
    <w:p w14:paraId="2451CD09" w14:textId="77777777" w:rsidR="005A5750" w:rsidRPr="00670DA3" w:rsidRDefault="005A5750" w:rsidP="005A5750">
      <w:pPr>
        <w:rPr>
          <w:rFonts w:ascii="Times New Roman" w:hAnsi="Times New Roman"/>
          <w:b/>
          <w:i/>
          <w:color w:val="548DD4" w:themeColor="text2" w:themeTint="99"/>
          <w:sz w:val="24"/>
          <w:szCs w:val="24"/>
        </w:rPr>
      </w:pPr>
    </w:p>
    <w:p w14:paraId="2451CD0A" w14:textId="77777777" w:rsidR="00970182" w:rsidRDefault="00970182" w:rsidP="00970182">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Home Energy Reports </w:t>
      </w:r>
      <w:r>
        <w:rPr>
          <w:rFonts w:ascii="Times New Roman" w:hAnsi="Times New Roman" w:cs="Times New Roman"/>
          <w:sz w:val="24"/>
          <w:szCs w:val="24"/>
        </w:rPr>
        <w:t>program</w:t>
      </w:r>
      <w:r>
        <w:rPr>
          <w:rFonts w:ascii="Times New Roman" w:hAnsi="Times New Roman" w:cs="Times New Roman"/>
          <w:i/>
          <w:sz w:val="24"/>
          <w:szCs w:val="24"/>
        </w:rPr>
        <w:t xml:space="preserve"> </w:t>
      </w:r>
      <w:r>
        <w:rPr>
          <w:rFonts w:ascii="Times New Roman" w:hAnsi="Times New Roman" w:cs="Times New Roman"/>
          <w:sz w:val="24"/>
          <w:szCs w:val="24"/>
        </w:rPr>
        <w:t xml:space="preserve">is a behavioral program designed to decrease participant energy usage by providing comparative energy usage data for similar homes located in the same geographical area. Additionally, the report provides the participant with information on how to decrease their energy usage. Equipped with this information, participants can modify behavior and/or make structural equipment, lighting or appliance modifications to reduce their overall electric energy consumption. </w:t>
      </w:r>
    </w:p>
    <w:p w14:paraId="2451CD0B" w14:textId="77777777" w:rsidR="005B5D91" w:rsidRDefault="005B5D91" w:rsidP="00970182">
      <w:pPr>
        <w:jc w:val="both"/>
        <w:rPr>
          <w:rFonts w:ascii="Times New Roman" w:hAnsi="Times New Roman" w:cs="Times New Roman"/>
          <w:sz w:val="24"/>
          <w:szCs w:val="24"/>
        </w:rPr>
      </w:pPr>
    </w:p>
    <w:p w14:paraId="2451CD0C" w14:textId="77777777" w:rsidR="00DD4B5D" w:rsidRDefault="00DD4B5D" w:rsidP="00DD4B5D">
      <w:pPr>
        <w:jc w:val="both"/>
        <w:rPr>
          <w:rFonts w:ascii="Times New Roman" w:eastAsia="Times New Roman" w:hAnsi="Times New Roman"/>
          <w:sz w:val="24"/>
          <w:szCs w:val="24"/>
        </w:rPr>
      </w:pPr>
      <w:r w:rsidRPr="004F5FCB">
        <w:rPr>
          <w:rFonts w:ascii="Times New Roman" w:hAnsi="Times New Roman"/>
          <w:sz w:val="24"/>
          <w:szCs w:val="24"/>
        </w:rPr>
        <w:t xml:space="preserve">Reports </w:t>
      </w:r>
      <w:r>
        <w:rPr>
          <w:rFonts w:ascii="Times New Roman" w:hAnsi="Times New Roman"/>
          <w:sz w:val="24"/>
          <w:szCs w:val="24"/>
        </w:rPr>
        <w:t>were</w:t>
      </w:r>
      <w:r w:rsidRPr="004F5FCB">
        <w:rPr>
          <w:rFonts w:ascii="Times New Roman" w:eastAsia="Times New Roman" w:hAnsi="Times New Roman"/>
          <w:sz w:val="24"/>
          <w:szCs w:val="24"/>
        </w:rPr>
        <w:t xml:space="preserve"> initially provided to approximately 13,500 customers</w:t>
      </w:r>
      <w:r>
        <w:rPr>
          <w:rFonts w:ascii="Times New Roman" w:eastAsia="Times New Roman" w:hAnsi="Times New Roman"/>
          <w:sz w:val="24"/>
          <w:szCs w:val="24"/>
        </w:rPr>
        <w:t xml:space="preserve"> (referred to as “legacy” group</w:t>
      </w:r>
      <w:r w:rsidR="00091BE1">
        <w:rPr>
          <w:rFonts w:ascii="Times New Roman" w:eastAsia="Times New Roman" w:hAnsi="Times New Roman"/>
          <w:sz w:val="24"/>
          <w:szCs w:val="24"/>
        </w:rPr>
        <w:t>)</w:t>
      </w:r>
      <w:r w:rsidR="00970182">
        <w:rPr>
          <w:rFonts w:ascii="Times New Roman" w:eastAsia="Times New Roman" w:hAnsi="Times New Roman"/>
          <w:sz w:val="24"/>
          <w:szCs w:val="24"/>
        </w:rPr>
        <w:t>. The</w:t>
      </w:r>
      <w:r w:rsidRPr="004F5FCB">
        <w:rPr>
          <w:rFonts w:ascii="Times New Roman" w:eastAsia="Times New Roman" w:hAnsi="Times New Roman"/>
          <w:sz w:val="24"/>
          <w:szCs w:val="24"/>
        </w:rPr>
        <w:t xml:space="preserve"> number</w:t>
      </w:r>
      <w:r w:rsidR="00970182">
        <w:rPr>
          <w:rFonts w:ascii="Times New Roman" w:eastAsia="Times New Roman" w:hAnsi="Times New Roman"/>
          <w:sz w:val="24"/>
          <w:szCs w:val="24"/>
        </w:rPr>
        <w:t xml:space="preserve"> of participant’s</w:t>
      </w:r>
      <w:r w:rsidRPr="004F5FCB">
        <w:rPr>
          <w:rFonts w:ascii="Times New Roman" w:eastAsia="Times New Roman" w:hAnsi="Times New Roman"/>
          <w:sz w:val="24"/>
          <w:szCs w:val="24"/>
        </w:rPr>
        <w:t xml:space="preserve"> decrease</w:t>
      </w:r>
      <w:r w:rsidR="00970182">
        <w:rPr>
          <w:rFonts w:ascii="Times New Roman" w:eastAsia="Times New Roman" w:hAnsi="Times New Roman"/>
          <w:sz w:val="24"/>
          <w:szCs w:val="24"/>
        </w:rPr>
        <w:t>s over time</w:t>
      </w:r>
      <w:r w:rsidRPr="004F5FCB">
        <w:rPr>
          <w:rFonts w:ascii="Times New Roman" w:eastAsia="Times New Roman" w:hAnsi="Times New Roman"/>
          <w:sz w:val="24"/>
          <w:szCs w:val="24"/>
        </w:rPr>
        <w:t xml:space="preserve"> due to </w:t>
      </w:r>
      <w:r>
        <w:rPr>
          <w:rFonts w:ascii="Times New Roman" w:eastAsia="Times New Roman" w:hAnsi="Times New Roman"/>
          <w:sz w:val="24"/>
          <w:szCs w:val="24"/>
        </w:rPr>
        <w:t xml:space="preserve">customer attrition from </w:t>
      </w:r>
      <w:r w:rsidRPr="004F5FCB">
        <w:rPr>
          <w:rFonts w:ascii="Times New Roman" w:eastAsia="Times New Roman" w:hAnsi="Times New Roman"/>
          <w:sz w:val="24"/>
          <w:szCs w:val="24"/>
        </w:rPr>
        <w:t>general customer churn (customer move-outs)</w:t>
      </w:r>
      <w:r>
        <w:rPr>
          <w:rStyle w:val="FootnoteReference"/>
          <w:rFonts w:ascii="Times New Roman" w:eastAsia="Times New Roman" w:hAnsi="Times New Roman"/>
          <w:sz w:val="24"/>
          <w:szCs w:val="24"/>
        </w:rPr>
        <w:footnoteReference w:id="20"/>
      </w:r>
      <w:r>
        <w:rPr>
          <w:rFonts w:ascii="Times New Roman" w:eastAsia="Times New Roman" w:hAnsi="Times New Roman"/>
          <w:sz w:val="24"/>
          <w:szCs w:val="24"/>
        </w:rPr>
        <w:t xml:space="preserve"> and </w:t>
      </w:r>
      <w:r w:rsidRPr="004F5FCB">
        <w:rPr>
          <w:rFonts w:ascii="Times New Roman" w:eastAsia="Times New Roman" w:hAnsi="Times New Roman"/>
          <w:sz w:val="24"/>
          <w:szCs w:val="24"/>
        </w:rPr>
        <w:t>customers requesting to be removed from the program.</w:t>
      </w:r>
      <w:r w:rsidR="00970182">
        <w:rPr>
          <w:rFonts w:ascii="Times New Roman" w:eastAsia="Times New Roman" w:hAnsi="Times New Roman"/>
          <w:sz w:val="24"/>
          <w:szCs w:val="24"/>
        </w:rPr>
        <w:t xml:space="preserve"> In 2014</w:t>
      </w:r>
      <w:r>
        <w:rPr>
          <w:rFonts w:ascii="Times New Roman" w:eastAsia="Times New Roman" w:hAnsi="Times New Roman"/>
          <w:sz w:val="24"/>
          <w:szCs w:val="24"/>
        </w:rPr>
        <w:t>, program changes were approved e</w:t>
      </w:r>
      <w:r w:rsidR="0083556F">
        <w:rPr>
          <w:rFonts w:ascii="Times New Roman" w:eastAsia="Times New Roman" w:hAnsi="Times New Roman"/>
          <w:sz w:val="24"/>
          <w:szCs w:val="24"/>
        </w:rPr>
        <w:t>xtending the program</w:t>
      </w:r>
      <w:r>
        <w:rPr>
          <w:rFonts w:ascii="Times New Roman" w:eastAsia="Times New Roman" w:hAnsi="Times New Roman"/>
          <w:sz w:val="24"/>
          <w:szCs w:val="24"/>
        </w:rPr>
        <w:t xml:space="preserve"> through December 2017 and expanding the program to 38,500 additional customers (referred to as “expansion” group)</w:t>
      </w:r>
      <w:r>
        <w:rPr>
          <w:rStyle w:val="FootnoteReference"/>
          <w:rFonts w:ascii="Times New Roman" w:eastAsia="Times New Roman" w:hAnsi="Times New Roman"/>
          <w:sz w:val="24"/>
          <w:szCs w:val="24"/>
        </w:rPr>
        <w:footnoteReference w:id="21"/>
      </w:r>
      <w:r w:rsidR="00970182">
        <w:rPr>
          <w:rFonts w:ascii="Times New Roman" w:eastAsia="Times New Roman" w:hAnsi="Times New Roman"/>
          <w:sz w:val="24"/>
          <w:szCs w:val="24"/>
        </w:rPr>
        <w:t xml:space="preserve">. </w:t>
      </w:r>
      <w:r>
        <w:rPr>
          <w:rFonts w:ascii="Times New Roman" w:eastAsia="Times New Roman" w:hAnsi="Times New Roman"/>
          <w:sz w:val="24"/>
          <w:szCs w:val="24"/>
        </w:rPr>
        <w:t xml:space="preserve">These customers received their initial reports in October 2014. An additional expansion of 6,626 customers (referred to as “legacy refill” group) was added in January 2015 to offset attrition and lower energy savings than expected from the initial </w:t>
      </w:r>
      <w:r w:rsidR="00216E6A">
        <w:rPr>
          <w:rFonts w:ascii="Times New Roman" w:eastAsia="Times New Roman" w:hAnsi="Times New Roman"/>
          <w:sz w:val="24"/>
          <w:szCs w:val="24"/>
        </w:rPr>
        <w:t>legacy group</w:t>
      </w:r>
      <w:r>
        <w:rPr>
          <w:rFonts w:ascii="Times New Roman" w:eastAsia="Times New Roman" w:hAnsi="Times New Roman"/>
          <w:sz w:val="24"/>
          <w:szCs w:val="24"/>
        </w:rPr>
        <w:t xml:space="preserve">.  </w:t>
      </w:r>
    </w:p>
    <w:p w14:paraId="2451CD0D" w14:textId="77777777" w:rsidR="005627BF" w:rsidRPr="004F5FCB" w:rsidRDefault="005627BF" w:rsidP="005627BF">
      <w:pPr>
        <w:spacing w:before="100" w:beforeAutospacing="1" w:after="100" w:afterAutospacing="1" w:line="20" w:lineRule="atLeast"/>
        <w:jc w:val="both"/>
        <w:rPr>
          <w:rFonts w:ascii="Times New Roman" w:eastAsia="Times New Roman" w:hAnsi="Times New Roman"/>
          <w:sz w:val="24"/>
          <w:szCs w:val="24"/>
        </w:rPr>
      </w:pPr>
      <w:r>
        <w:rPr>
          <w:rFonts w:ascii="Times New Roman" w:eastAsia="Times New Roman" w:hAnsi="Times New Roman"/>
          <w:sz w:val="24"/>
          <w:szCs w:val="24"/>
        </w:rPr>
        <w:t>Monthly r</w:t>
      </w:r>
      <w:r w:rsidRPr="004F5FCB">
        <w:rPr>
          <w:rFonts w:ascii="Times New Roman" w:eastAsia="Times New Roman" w:hAnsi="Times New Roman"/>
          <w:sz w:val="24"/>
          <w:szCs w:val="24"/>
        </w:rPr>
        <w:t>eports</w:t>
      </w:r>
      <w:r>
        <w:rPr>
          <w:rFonts w:ascii="Times New Roman" w:eastAsia="Times New Roman" w:hAnsi="Times New Roman"/>
          <w:sz w:val="24"/>
          <w:szCs w:val="24"/>
        </w:rPr>
        <w:t xml:space="preserve"> are mailed to all new program participants </w:t>
      </w:r>
      <w:r w:rsidRPr="004F5FCB">
        <w:rPr>
          <w:rFonts w:ascii="Times New Roman" w:eastAsia="Times New Roman" w:hAnsi="Times New Roman"/>
          <w:sz w:val="24"/>
          <w:szCs w:val="24"/>
        </w:rPr>
        <w:t xml:space="preserve">for the initial three months </w:t>
      </w:r>
      <w:r>
        <w:rPr>
          <w:rFonts w:ascii="Times New Roman" w:eastAsia="Times New Roman" w:hAnsi="Times New Roman"/>
          <w:sz w:val="24"/>
          <w:szCs w:val="24"/>
        </w:rPr>
        <w:t xml:space="preserve">in order </w:t>
      </w:r>
      <w:r w:rsidRPr="004F5FCB">
        <w:rPr>
          <w:rFonts w:ascii="Times New Roman" w:eastAsia="Times New Roman" w:hAnsi="Times New Roman"/>
          <w:sz w:val="24"/>
          <w:szCs w:val="24"/>
        </w:rPr>
        <w:t>to build program awareness</w:t>
      </w:r>
      <w:r>
        <w:rPr>
          <w:rFonts w:ascii="Times New Roman" w:eastAsia="Times New Roman" w:hAnsi="Times New Roman"/>
          <w:sz w:val="24"/>
          <w:szCs w:val="24"/>
        </w:rPr>
        <w:t xml:space="preserve">. Following this initial three month period, report frequency is </w:t>
      </w:r>
      <w:r w:rsidRPr="004F5FCB">
        <w:rPr>
          <w:rFonts w:ascii="Times New Roman" w:eastAsia="Times New Roman" w:hAnsi="Times New Roman"/>
          <w:sz w:val="24"/>
          <w:szCs w:val="24"/>
        </w:rPr>
        <w:t xml:space="preserve">moved to a bi-monthly schedule </w:t>
      </w:r>
      <w:r>
        <w:rPr>
          <w:rFonts w:ascii="Times New Roman" w:eastAsia="Times New Roman" w:hAnsi="Times New Roman"/>
          <w:sz w:val="24"/>
          <w:szCs w:val="24"/>
        </w:rPr>
        <w:t xml:space="preserve">for </w:t>
      </w:r>
      <w:r w:rsidRPr="004F5FCB">
        <w:rPr>
          <w:rFonts w:ascii="Times New Roman" w:eastAsia="Times New Roman" w:hAnsi="Times New Roman"/>
          <w:sz w:val="24"/>
          <w:szCs w:val="24"/>
        </w:rPr>
        <w:t xml:space="preserve">the remainder </w:t>
      </w:r>
      <w:r>
        <w:rPr>
          <w:rFonts w:ascii="Times New Roman" w:eastAsia="Times New Roman" w:hAnsi="Times New Roman"/>
          <w:sz w:val="24"/>
          <w:szCs w:val="24"/>
        </w:rPr>
        <w:t xml:space="preserve">of </w:t>
      </w:r>
      <w:r w:rsidRPr="004F5FCB">
        <w:rPr>
          <w:rFonts w:ascii="Times New Roman" w:eastAsia="Times New Roman" w:hAnsi="Times New Roman"/>
          <w:sz w:val="24"/>
          <w:szCs w:val="24"/>
        </w:rPr>
        <w:t>the</w:t>
      </w:r>
      <w:r>
        <w:rPr>
          <w:rFonts w:ascii="Times New Roman" w:eastAsia="Times New Roman" w:hAnsi="Times New Roman"/>
          <w:sz w:val="24"/>
          <w:szCs w:val="24"/>
        </w:rPr>
        <w:t xml:space="preserve"> program</w:t>
      </w:r>
      <w:r w:rsidRPr="004F5FCB">
        <w:rPr>
          <w:rFonts w:ascii="Times New Roman" w:eastAsia="Times New Roman" w:hAnsi="Times New Roman"/>
          <w:sz w:val="24"/>
          <w:szCs w:val="24"/>
        </w:rPr>
        <w:t xml:space="preserve">. </w:t>
      </w:r>
      <w:r>
        <w:rPr>
          <w:rFonts w:ascii="Times New Roman" w:eastAsia="Times New Roman" w:hAnsi="Times New Roman"/>
          <w:sz w:val="24"/>
          <w:szCs w:val="24"/>
        </w:rPr>
        <w:t>All participating c</w:t>
      </w:r>
      <w:r w:rsidRPr="00E3754C">
        <w:rPr>
          <w:rFonts w:ascii="Times New Roman" w:hAnsi="Times New Roman" w:cs="Times New Roman"/>
          <w:sz w:val="24"/>
          <w:szCs w:val="24"/>
        </w:rPr>
        <w:t>ustomers may request an electronic version delivered via email</w:t>
      </w:r>
      <w:r>
        <w:rPr>
          <w:rFonts w:ascii="Times New Roman" w:hAnsi="Times New Roman" w:cs="Times New Roman"/>
          <w:sz w:val="24"/>
          <w:szCs w:val="24"/>
        </w:rPr>
        <w:t xml:space="preserve"> and </w:t>
      </w:r>
      <w:r w:rsidRPr="004F5FCB">
        <w:rPr>
          <w:rFonts w:ascii="Times New Roman" w:eastAsia="Times New Roman" w:hAnsi="Times New Roman"/>
          <w:sz w:val="24"/>
          <w:szCs w:val="24"/>
        </w:rPr>
        <w:t>have access to a web portal containing the same information about their usage and past usage</w:t>
      </w:r>
      <w:r>
        <w:rPr>
          <w:rFonts w:ascii="Times New Roman" w:eastAsia="Times New Roman" w:hAnsi="Times New Roman"/>
          <w:sz w:val="24"/>
          <w:szCs w:val="24"/>
        </w:rPr>
        <w:t xml:space="preserve"> provided in the report</w:t>
      </w:r>
      <w:r w:rsidRPr="004F5FCB">
        <w:rPr>
          <w:rFonts w:ascii="Times New Roman" w:eastAsia="Times New Roman" w:hAnsi="Times New Roman"/>
          <w:sz w:val="24"/>
          <w:szCs w:val="24"/>
        </w:rPr>
        <w:t xml:space="preserve">. The web portal </w:t>
      </w:r>
      <w:r>
        <w:rPr>
          <w:rFonts w:ascii="Times New Roman" w:eastAsia="Times New Roman" w:hAnsi="Times New Roman"/>
          <w:sz w:val="24"/>
          <w:szCs w:val="24"/>
        </w:rPr>
        <w:t>also contains</w:t>
      </w:r>
      <w:r w:rsidRPr="004F5FCB">
        <w:rPr>
          <w:rFonts w:ascii="Times New Roman" w:eastAsia="Times New Roman" w:hAnsi="Times New Roman"/>
          <w:sz w:val="24"/>
          <w:szCs w:val="24"/>
        </w:rPr>
        <w:t xml:space="preserve"> other functions such as a home energy audit tool</w:t>
      </w:r>
      <w:r>
        <w:rPr>
          <w:rFonts w:ascii="Times New Roman" w:eastAsia="Times New Roman" w:hAnsi="Times New Roman"/>
          <w:sz w:val="24"/>
          <w:szCs w:val="24"/>
        </w:rPr>
        <w:t>, the ability for customers to update their home profile (for more accurate comparisons)</w:t>
      </w:r>
      <w:r w:rsidRPr="004F5FCB">
        <w:rPr>
          <w:rFonts w:ascii="Times New Roman" w:eastAsia="Times New Roman" w:hAnsi="Times New Roman"/>
          <w:sz w:val="24"/>
          <w:szCs w:val="24"/>
        </w:rPr>
        <w:t xml:space="preserve"> and suggestions </w:t>
      </w:r>
      <w:r>
        <w:rPr>
          <w:rFonts w:ascii="Times New Roman" w:eastAsia="Times New Roman" w:hAnsi="Times New Roman"/>
          <w:sz w:val="24"/>
          <w:szCs w:val="24"/>
        </w:rPr>
        <w:t xml:space="preserve">on more ways to save energy around </w:t>
      </w:r>
      <w:r w:rsidRPr="004F5FCB">
        <w:rPr>
          <w:rFonts w:ascii="Times New Roman" w:eastAsia="Times New Roman" w:hAnsi="Times New Roman"/>
          <w:sz w:val="24"/>
          <w:szCs w:val="24"/>
        </w:rPr>
        <w:t>their home.</w:t>
      </w:r>
    </w:p>
    <w:p w14:paraId="2451CD0E" w14:textId="77777777" w:rsidR="005627BF" w:rsidRDefault="009F6B7B" w:rsidP="00DD4B5D">
      <w:pPr>
        <w:jc w:val="both"/>
        <w:rPr>
          <w:rFonts w:ascii="Times New Roman" w:eastAsia="Times New Roman" w:hAnsi="Times New Roman"/>
          <w:sz w:val="24"/>
          <w:szCs w:val="24"/>
        </w:rPr>
      </w:pPr>
      <w:r>
        <w:rPr>
          <w:rFonts w:ascii="Times New Roman" w:eastAsia="Times New Roman" w:hAnsi="Times New Roman"/>
          <w:sz w:val="24"/>
          <w:szCs w:val="24"/>
        </w:rPr>
        <w:t>Due to the underachieved performance of the expansion group against the guaranteed savings</w:t>
      </w:r>
      <w:r w:rsidR="00330C14">
        <w:rPr>
          <w:rFonts w:ascii="Times New Roman" w:eastAsia="Times New Roman" w:hAnsi="Times New Roman"/>
          <w:sz w:val="24"/>
          <w:szCs w:val="24"/>
        </w:rPr>
        <w:t xml:space="preserve"> per the negotiated contract terms</w:t>
      </w:r>
      <w:r>
        <w:rPr>
          <w:rFonts w:ascii="Times New Roman" w:eastAsia="Times New Roman" w:hAnsi="Times New Roman"/>
          <w:sz w:val="24"/>
          <w:szCs w:val="24"/>
        </w:rPr>
        <w:t>, t</w:t>
      </w:r>
      <w:r w:rsidR="005627BF">
        <w:rPr>
          <w:rFonts w:ascii="Times New Roman" w:eastAsia="Times New Roman" w:hAnsi="Times New Roman"/>
          <w:sz w:val="24"/>
          <w:szCs w:val="24"/>
        </w:rPr>
        <w:t>he combined program</w:t>
      </w:r>
      <w:r w:rsidR="00330C14">
        <w:rPr>
          <w:rFonts w:ascii="Times New Roman" w:eastAsia="Times New Roman" w:hAnsi="Times New Roman"/>
          <w:sz w:val="24"/>
          <w:szCs w:val="24"/>
        </w:rPr>
        <w:t xml:space="preserve"> results</w:t>
      </w:r>
      <w:r w:rsidR="005627BF">
        <w:rPr>
          <w:rFonts w:ascii="Times New Roman" w:eastAsia="Times New Roman" w:hAnsi="Times New Roman"/>
          <w:sz w:val="24"/>
          <w:szCs w:val="24"/>
        </w:rPr>
        <w:t xml:space="preserve"> was not cost effective as shown in Table 11 below.</w:t>
      </w:r>
      <w:r w:rsidR="00330C14">
        <w:rPr>
          <w:rFonts w:ascii="Times New Roman" w:eastAsia="Times New Roman" w:hAnsi="Times New Roman"/>
          <w:sz w:val="24"/>
          <w:szCs w:val="24"/>
        </w:rPr>
        <w:t xml:space="preserve"> </w:t>
      </w:r>
      <w:r>
        <w:rPr>
          <w:rFonts w:ascii="Times New Roman" w:eastAsia="Times New Roman" w:hAnsi="Times New Roman"/>
          <w:sz w:val="24"/>
          <w:szCs w:val="24"/>
        </w:rPr>
        <w:t xml:space="preserve">These results include a $100,000 credit </w:t>
      </w:r>
      <w:r w:rsidR="00330C14">
        <w:rPr>
          <w:rFonts w:ascii="Times New Roman" w:eastAsia="Times New Roman" w:hAnsi="Times New Roman"/>
          <w:sz w:val="24"/>
          <w:szCs w:val="24"/>
        </w:rPr>
        <w:t xml:space="preserve">applied to the </w:t>
      </w:r>
      <w:r>
        <w:rPr>
          <w:rFonts w:ascii="Times New Roman" w:eastAsia="Times New Roman" w:hAnsi="Times New Roman"/>
          <w:sz w:val="24"/>
          <w:szCs w:val="24"/>
        </w:rPr>
        <w:t>expansion group.</w:t>
      </w:r>
      <w:r w:rsidR="00330C14">
        <w:rPr>
          <w:rFonts w:ascii="Times New Roman" w:eastAsia="Times New Roman" w:hAnsi="Times New Roman"/>
          <w:sz w:val="24"/>
          <w:szCs w:val="24"/>
        </w:rPr>
        <w:t xml:space="preserve">  Legacy and legacy refill was cost effective.  </w:t>
      </w:r>
    </w:p>
    <w:p w14:paraId="2451CD0F" w14:textId="77777777" w:rsidR="005627BF" w:rsidRDefault="005627BF" w:rsidP="00DD4B5D">
      <w:pPr>
        <w:jc w:val="both"/>
        <w:rPr>
          <w:rFonts w:ascii="Times New Roman" w:eastAsia="Times New Roman" w:hAnsi="Times New Roman"/>
          <w:sz w:val="24"/>
          <w:szCs w:val="24"/>
        </w:rPr>
      </w:pPr>
    </w:p>
    <w:p w14:paraId="2451CD10" w14:textId="77777777" w:rsidR="00970182" w:rsidRPr="007716B1" w:rsidRDefault="00970182" w:rsidP="00970182">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11</w:t>
      </w:r>
    </w:p>
    <w:p w14:paraId="2451CD11" w14:textId="77777777" w:rsidR="00970182" w:rsidRPr="00970182" w:rsidRDefault="00970182" w:rsidP="00970182">
      <w:pPr>
        <w:jc w:val="center"/>
      </w:pPr>
      <w:r>
        <w:rPr>
          <w:rFonts w:ascii="Times New Roman" w:hAnsi="Times New Roman" w:cs="Times New Roman"/>
          <w:color w:val="548DD4" w:themeColor="text2" w:themeTint="99"/>
          <w:sz w:val="24"/>
          <w:szCs w:val="24"/>
        </w:rPr>
        <w:t xml:space="preserve">Cost Effectiveness for </w:t>
      </w:r>
      <w:r w:rsidRPr="005B5D91">
        <w:rPr>
          <w:rFonts w:ascii="Times New Roman" w:hAnsi="Times New Roman" w:cs="Times New Roman"/>
          <w:i/>
          <w:color w:val="548DD4" w:themeColor="text2" w:themeTint="99"/>
          <w:sz w:val="24"/>
          <w:szCs w:val="24"/>
        </w:rPr>
        <w:t>Home Energy Reports</w:t>
      </w:r>
    </w:p>
    <w:tbl>
      <w:tblPr>
        <w:tblpPr w:leftFromText="180" w:rightFromText="180" w:vertAnchor="text" w:horzAnchor="margin" w:tblpXSpec="right" w:tblpY="150"/>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1530"/>
        <w:gridCol w:w="1440"/>
        <w:gridCol w:w="1815"/>
      </w:tblGrid>
      <w:tr w:rsidR="00970182" w14:paraId="2451CD17" w14:textId="77777777" w:rsidTr="00970182">
        <w:tc>
          <w:tcPr>
            <w:tcW w:w="4426" w:type="dxa"/>
            <w:shd w:val="clear" w:color="auto" w:fill="C6D9F1" w:themeFill="text2" w:themeFillTint="33"/>
          </w:tcPr>
          <w:p w14:paraId="2451CD12" w14:textId="77777777" w:rsidR="00970182" w:rsidRPr="00986EBF" w:rsidRDefault="00970182" w:rsidP="00970182">
            <w:pPr>
              <w:rPr>
                <w:rFonts w:cs="Times New Roman"/>
                <w:b/>
                <w:sz w:val="20"/>
                <w:szCs w:val="24"/>
              </w:rPr>
            </w:pPr>
          </w:p>
        </w:tc>
        <w:tc>
          <w:tcPr>
            <w:tcW w:w="1530" w:type="dxa"/>
            <w:shd w:val="clear" w:color="auto" w:fill="C6D9F1" w:themeFill="text2" w:themeFillTint="33"/>
            <w:vAlign w:val="center"/>
          </w:tcPr>
          <w:p w14:paraId="2451CD13" w14:textId="77777777" w:rsidR="00970182" w:rsidRPr="00986EBF" w:rsidRDefault="00970182" w:rsidP="00970182">
            <w:pPr>
              <w:jc w:val="center"/>
              <w:rPr>
                <w:rFonts w:cs="Times New Roman"/>
                <w:b/>
                <w:sz w:val="20"/>
                <w:szCs w:val="24"/>
              </w:rPr>
            </w:pPr>
            <w:r w:rsidRPr="00986EBF">
              <w:rPr>
                <w:rFonts w:cs="Times New Roman"/>
                <w:b/>
                <w:sz w:val="20"/>
                <w:szCs w:val="24"/>
              </w:rPr>
              <w:t>B/C Ratio</w:t>
            </w:r>
          </w:p>
          <w:p w14:paraId="2451CD14" w14:textId="77777777" w:rsidR="00970182" w:rsidRPr="00986EBF" w:rsidRDefault="00970182" w:rsidP="00970182">
            <w:pPr>
              <w:jc w:val="center"/>
              <w:rPr>
                <w:rFonts w:cs="Times New Roman"/>
                <w:b/>
                <w:sz w:val="20"/>
                <w:szCs w:val="24"/>
              </w:rPr>
            </w:pPr>
            <w:r w:rsidRPr="00986EBF">
              <w:rPr>
                <w:rFonts w:cs="Times New Roman"/>
                <w:b/>
                <w:sz w:val="20"/>
                <w:szCs w:val="24"/>
              </w:rPr>
              <w:t>Combined</w:t>
            </w:r>
          </w:p>
        </w:tc>
        <w:tc>
          <w:tcPr>
            <w:tcW w:w="1440" w:type="dxa"/>
            <w:shd w:val="clear" w:color="auto" w:fill="C6D9F1" w:themeFill="text2" w:themeFillTint="33"/>
            <w:vAlign w:val="center"/>
          </w:tcPr>
          <w:p w14:paraId="2451CD15" w14:textId="77777777" w:rsidR="00970182" w:rsidRPr="00986EBF" w:rsidRDefault="00970182" w:rsidP="00970182">
            <w:pPr>
              <w:jc w:val="center"/>
              <w:rPr>
                <w:rFonts w:cs="Times New Roman"/>
                <w:b/>
                <w:sz w:val="20"/>
                <w:szCs w:val="24"/>
              </w:rPr>
            </w:pPr>
            <w:r w:rsidRPr="00986EBF">
              <w:rPr>
                <w:rFonts w:cs="Times New Roman"/>
                <w:b/>
                <w:sz w:val="20"/>
                <w:szCs w:val="24"/>
              </w:rPr>
              <w:t xml:space="preserve">B/C Ratio </w:t>
            </w:r>
            <w:r>
              <w:rPr>
                <w:rFonts w:cs="Times New Roman"/>
                <w:b/>
                <w:sz w:val="20"/>
                <w:szCs w:val="24"/>
              </w:rPr>
              <w:t>Legacy + Refill Groups</w:t>
            </w:r>
          </w:p>
        </w:tc>
        <w:tc>
          <w:tcPr>
            <w:tcW w:w="1815" w:type="dxa"/>
            <w:shd w:val="clear" w:color="auto" w:fill="C6D9F1" w:themeFill="text2" w:themeFillTint="33"/>
            <w:vAlign w:val="center"/>
          </w:tcPr>
          <w:p w14:paraId="2451CD16" w14:textId="77777777" w:rsidR="00970182" w:rsidRPr="00986EBF" w:rsidRDefault="005B5D91" w:rsidP="005B5D91">
            <w:pPr>
              <w:jc w:val="center"/>
              <w:rPr>
                <w:rFonts w:cs="Times New Roman"/>
                <w:b/>
                <w:sz w:val="20"/>
                <w:szCs w:val="24"/>
              </w:rPr>
            </w:pPr>
            <w:r>
              <w:rPr>
                <w:rFonts w:cs="Times New Roman"/>
                <w:b/>
                <w:sz w:val="20"/>
                <w:szCs w:val="24"/>
              </w:rPr>
              <w:t>B/C Ratio</w:t>
            </w:r>
            <w:r w:rsidR="00970182" w:rsidRPr="00986EBF">
              <w:rPr>
                <w:rFonts w:cs="Times New Roman"/>
                <w:b/>
                <w:sz w:val="20"/>
                <w:szCs w:val="24"/>
              </w:rPr>
              <w:t xml:space="preserve"> Expansion Group</w:t>
            </w:r>
          </w:p>
        </w:tc>
      </w:tr>
      <w:tr w:rsidR="00970182" w14:paraId="2451CD1C" w14:textId="77777777" w:rsidTr="00970182">
        <w:tc>
          <w:tcPr>
            <w:tcW w:w="4426" w:type="dxa"/>
          </w:tcPr>
          <w:p w14:paraId="2451CD18" w14:textId="77777777" w:rsidR="00970182" w:rsidRPr="00986EBF" w:rsidRDefault="005B5D91" w:rsidP="00970182">
            <w:pPr>
              <w:rPr>
                <w:rFonts w:cs="Times New Roman"/>
                <w:sz w:val="20"/>
                <w:szCs w:val="24"/>
              </w:rPr>
            </w:pPr>
            <w:r w:rsidRPr="005B5D91">
              <w:rPr>
                <w:rFonts w:cs="Times New Roman"/>
                <w:sz w:val="20"/>
                <w:szCs w:val="24"/>
              </w:rPr>
              <w:t>PacifiCorp</w:t>
            </w:r>
            <w:r>
              <w:rPr>
                <w:rFonts w:cs="Times New Roman"/>
                <w:sz w:val="20"/>
                <w:szCs w:val="24"/>
              </w:rPr>
              <w:t xml:space="preserve"> </w:t>
            </w:r>
            <w:r w:rsidR="00970182" w:rsidRPr="00986EBF">
              <w:rPr>
                <w:rFonts w:cs="Times New Roman"/>
                <w:sz w:val="20"/>
                <w:szCs w:val="24"/>
              </w:rPr>
              <w:t xml:space="preserve">Total Resource Test plus 10% </w:t>
            </w:r>
          </w:p>
        </w:tc>
        <w:tc>
          <w:tcPr>
            <w:tcW w:w="1530" w:type="dxa"/>
            <w:vAlign w:val="center"/>
          </w:tcPr>
          <w:p w14:paraId="2451CD19" w14:textId="77777777" w:rsidR="00970182" w:rsidRPr="00986EBF" w:rsidRDefault="00917AB6" w:rsidP="00970182">
            <w:pPr>
              <w:jc w:val="center"/>
              <w:rPr>
                <w:rFonts w:cs="Times New Roman"/>
                <w:sz w:val="20"/>
                <w:szCs w:val="24"/>
              </w:rPr>
            </w:pPr>
            <w:r>
              <w:rPr>
                <w:rFonts w:cs="Times New Roman"/>
                <w:sz w:val="20"/>
                <w:szCs w:val="24"/>
              </w:rPr>
              <w:t>0.94</w:t>
            </w:r>
          </w:p>
        </w:tc>
        <w:tc>
          <w:tcPr>
            <w:tcW w:w="1440" w:type="dxa"/>
            <w:vAlign w:val="center"/>
          </w:tcPr>
          <w:p w14:paraId="2451CD1A" w14:textId="77777777" w:rsidR="00970182" w:rsidRPr="00986EBF" w:rsidRDefault="00917AB6" w:rsidP="00970182">
            <w:pPr>
              <w:jc w:val="center"/>
              <w:rPr>
                <w:rFonts w:cs="Times New Roman"/>
                <w:sz w:val="20"/>
                <w:szCs w:val="24"/>
              </w:rPr>
            </w:pPr>
            <w:r>
              <w:rPr>
                <w:rFonts w:cs="Times New Roman"/>
                <w:sz w:val="20"/>
                <w:szCs w:val="24"/>
              </w:rPr>
              <w:t>1.30</w:t>
            </w:r>
          </w:p>
        </w:tc>
        <w:tc>
          <w:tcPr>
            <w:tcW w:w="1815" w:type="dxa"/>
            <w:vAlign w:val="center"/>
          </w:tcPr>
          <w:p w14:paraId="2451CD1B" w14:textId="77777777" w:rsidR="00970182" w:rsidRPr="00986EBF" w:rsidRDefault="00917AB6" w:rsidP="00970182">
            <w:pPr>
              <w:jc w:val="center"/>
              <w:rPr>
                <w:rFonts w:cs="Times New Roman"/>
                <w:sz w:val="20"/>
                <w:szCs w:val="24"/>
              </w:rPr>
            </w:pPr>
            <w:r>
              <w:rPr>
                <w:rFonts w:cs="Times New Roman"/>
                <w:sz w:val="20"/>
                <w:szCs w:val="24"/>
              </w:rPr>
              <w:t>0.69</w:t>
            </w:r>
          </w:p>
        </w:tc>
      </w:tr>
      <w:tr w:rsidR="00970182" w14:paraId="2451CD21" w14:textId="77777777" w:rsidTr="00970182">
        <w:tc>
          <w:tcPr>
            <w:tcW w:w="4426" w:type="dxa"/>
          </w:tcPr>
          <w:p w14:paraId="2451CD1D" w14:textId="77777777" w:rsidR="00970182" w:rsidRPr="00986EBF" w:rsidRDefault="00970182" w:rsidP="00970182">
            <w:pPr>
              <w:rPr>
                <w:rFonts w:cs="Times New Roman"/>
                <w:sz w:val="20"/>
                <w:szCs w:val="24"/>
              </w:rPr>
            </w:pPr>
            <w:r w:rsidRPr="00986EBF">
              <w:rPr>
                <w:rFonts w:cs="Times New Roman"/>
                <w:sz w:val="20"/>
                <w:szCs w:val="24"/>
              </w:rPr>
              <w:t xml:space="preserve">Total Resource Cost Test </w:t>
            </w:r>
          </w:p>
        </w:tc>
        <w:tc>
          <w:tcPr>
            <w:tcW w:w="1530" w:type="dxa"/>
            <w:vAlign w:val="center"/>
          </w:tcPr>
          <w:p w14:paraId="2451CD1E" w14:textId="77777777" w:rsidR="00970182" w:rsidRPr="00986EBF" w:rsidRDefault="00917AB6" w:rsidP="00970182">
            <w:pPr>
              <w:jc w:val="center"/>
              <w:rPr>
                <w:rFonts w:cs="Times New Roman"/>
                <w:sz w:val="20"/>
                <w:szCs w:val="24"/>
              </w:rPr>
            </w:pPr>
            <w:r>
              <w:rPr>
                <w:rFonts w:cs="Times New Roman"/>
                <w:sz w:val="20"/>
                <w:szCs w:val="24"/>
              </w:rPr>
              <w:t>0.86</w:t>
            </w:r>
          </w:p>
        </w:tc>
        <w:tc>
          <w:tcPr>
            <w:tcW w:w="1440" w:type="dxa"/>
            <w:vAlign w:val="center"/>
          </w:tcPr>
          <w:p w14:paraId="2451CD1F" w14:textId="77777777" w:rsidR="00970182" w:rsidRPr="00986EBF" w:rsidRDefault="00917AB6" w:rsidP="00970182">
            <w:pPr>
              <w:jc w:val="center"/>
              <w:rPr>
                <w:rFonts w:cs="Times New Roman"/>
                <w:sz w:val="20"/>
                <w:szCs w:val="24"/>
              </w:rPr>
            </w:pPr>
            <w:r>
              <w:rPr>
                <w:rFonts w:cs="Times New Roman"/>
                <w:sz w:val="20"/>
                <w:szCs w:val="24"/>
              </w:rPr>
              <w:t>1.18</w:t>
            </w:r>
          </w:p>
        </w:tc>
        <w:tc>
          <w:tcPr>
            <w:tcW w:w="1815" w:type="dxa"/>
            <w:vAlign w:val="center"/>
          </w:tcPr>
          <w:p w14:paraId="2451CD20" w14:textId="77777777" w:rsidR="00970182" w:rsidRPr="00986EBF" w:rsidRDefault="00917AB6" w:rsidP="00970182">
            <w:pPr>
              <w:jc w:val="center"/>
              <w:rPr>
                <w:rFonts w:cs="Times New Roman"/>
                <w:sz w:val="20"/>
                <w:szCs w:val="24"/>
              </w:rPr>
            </w:pPr>
            <w:r>
              <w:rPr>
                <w:rFonts w:cs="Times New Roman"/>
                <w:sz w:val="20"/>
                <w:szCs w:val="24"/>
              </w:rPr>
              <w:t>0.62</w:t>
            </w:r>
          </w:p>
        </w:tc>
      </w:tr>
      <w:tr w:rsidR="00970182" w14:paraId="2451CD26" w14:textId="77777777" w:rsidTr="00970182">
        <w:tc>
          <w:tcPr>
            <w:tcW w:w="4426" w:type="dxa"/>
          </w:tcPr>
          <w:p w14:paraId="2451CD22" w14:textId="77777777" w:rsidR="00970182" w:rsidRPr="00986EBF" w:rsidRDefault="00970182" w:rsidP="00970182">
            <w:pPr>
              <w:rPr>
                <w:rFonts w:cs="Times New Roman"/>
                <w:sz w:val="20"/>
                <w:szCs w:val="24"/>
              </w:rPr>
            </w:pPr>
            <w:r w:rsidRPr="00986EBF">
              <w:rPr>
                <w:rFonts w:cs="Times New Roman"/>
                <w:sz w:val="20"/>
                <w:szCs w:val="24"/>
              </w:rPr>
              <w:t xml:space="preserve">Utility Cost Test </w:t>
            </w:r>
          </w:p>
        </w:tc>
        <w:tc>
          <w:tcPr>
            <w:tcW w:w="1530" w:type="dxa"/>
            <w:vAlign w:val="center"/>
          </w:tcPr>
          <w:p w14:paraId="2451CD23" w14:textId="77777777" w:rsidR="00970182" w:rsidRPr="00986EBF" w:rsidRDefault="00917AB6" w:rsidP="00970182">
            <w:pPr>
              <w:jc w:val="center"/>
              <w:rPr>
                <w:rFonts w:cs="Times New Roman"/>
                <w:sz w:val="20"/>
                <w:szCs w:val="24"/>
              </w:rPr>
            </w:pPr>
            <w:r>
              <w:rPr>
                <w:rFonts w:cs="Times New Roman"/>
                <w:sz w:val="20"/>
                <w:szCs w:val="24"/>
              </w:rPr>
              <w:t>0.86</w:t>
            </w:r>
          </w:p>
        </w:tc>
        <w:tc>
          <w:tcPr>
            <w:tcW w:w="1440" w:type="dxa"/>
            <w:vAlign w:val="center"/>
          </w:tcPr>
          <w:p w14:paraId="2451CD24" w14:textId="77777777" w:rsidR="00970182" w:rsidRPr="00986EBF" w:rsidRDefault="00917AB6" w:rsidP="00970182">
            <w:pPr>
              <w:jc w:val="center"/>
              <w:rPr>
                <w:rFonts w:cs="Times New Roman"/>
                <w:sz w:val="20"/>
                <w:szCs w:val="24"/>
              </w:rPr>
            </w:pPr>
            <w:r>
              <w:rPr>
                <w:rFonts w:cs="Times New Roman"/>
                <w:sz w:val="20"/>
                <w:szCs w:val="24"/>
              </w:rPr>
              <w:t>1.18</w:t>
            </w:r>
          </w:p>
        </w:tc>
        <w:tc>
          <w:tcPr>
            <w:tcW w:w="1815" w:type="dxa"/>
          </w:tcPr>
          <w:p w14:paraId="2451CD25" w14:textId="77777777" w:rsidR="00970182" w:rsidRPr="00986EBF" w:rsidRDefault="00917AB6" w:rsidP="00970182">
            <w:pPr>
              <w:jc w:val="center"/>
              <w:rPr>
                <w:rFonts w:cs="Times New Roman"/>
                <w:sz w:val="20"/>
                <w:szCs w:val="24"/>
              </w:rPr>
            </w:pPr>
            <w:r>
              <w:rPr>
                <w:rFonts w:cs="Times New Roman"/>
                <w:sz w:val="20"/>
                <w:szCs w:val="24"/>
              </w:rPr>
              <w:t>0.62</w:t>
            </w:r>
          </w:p>
        </w:tc>
      </w:tr>
      <w:tr w:rsidR="00970182" w14:paraId="2451CD2B" w14:textId="77777777" w:rsidTr="00970182">
        <w:tc>
          <w:tcPr>
            <w:tcW w:w="4426" w:type="dxa"/>
          </w:tcPr>
          <w:p w14:paraId="2451CD27" w14:textId="77777777" w:rsidR="00970182" w:rsidRPr="00986EBF" w:rsidRDefault="00970182" w:rsidP="00970182">
            <w:pPr>
              <w:rPr>
                <w:rFonts w:cs="Times New Roman"/>
                <w:sz w:val="20"/>
                <w:szCs w:val="24"/>
              </w:rPr>
            </w:pPr>
            <w:r w:rsidRPr="00986EBF">
              <w:rPr>
                <w:rFonts w:cs="Times New Roman"/>
                <w:sz w:val="20"/>
                <w:szCs w:val="24"/>
              </w:rPr>
              <w:t xml:space="preserve">Participant Cost Test </w:t>
            </w:r>
          </w:p>
        </w:tc>
        <w:tc>
          <w:tcPr>
            <w:tcW w:w="1530" w:type="dxa"/>
          </w:tcPr>
          <w:p w14:paraId="2451CD28" w14:textId="77777777" w:rsidR="00970182" w:rsidRPr="00986EBF" w:rsidRDefault="00970182" w:rsidP="00970182">
            <w:pPr>
              <w:jc w:val="center"/>
              <w:rPr>
                <w:rFonts w:cs="Times New Roman"/>
                <w:sz w:val="20"/>
                <w:szCs w:val="24"/>
              </w:rPr>
            </w:pPr>
            <w:r>
              <w:rPr>
                <w:rFonts w:cs="Times New Roman"/>
                <w:sz w:val="20"/>
                <w:szCs w:val="24"/>
              </w:rPr>
              <w:t>N/A</w:t>
            </w:r>
          </w:p>
        </w:tc>
        <w:tc>
          <w:tcPr>
            <w:tcW w:w="1440" w:type="dxa"/>
            <w:vAlign w:val="center"/>
          </w:tcPr>
          <w:p w14:paraId="2451CD29" w14:textId="77777777" w:rsidR="00970182" w:rsidRPr="00986EBF" w:rsidRDefault="00970182" w:rsidP="00970182">
            <w:pPr>
              <w:jc w:val="center"/>
              <w:rPr>
                <w:rFonts w:cs="Times New Roman"/>
                <w:sz w:val="20"/>
                <w:szCs w:val="24"/>
              </w:rPr>
            </w:pPr>
            <w:r>
              <w:rPr>
                <w:rFonts w:cs="Times New Roman"/>
                <w:sz w:val="20"/>
                <w:szCs w:val="24"/>
              </w:rPr>
              <w:t>N/A</w:t>
            </w:r>
          </w:p>
        </w:tc>
        <w:tc>
          <w:tcPr>
            <w:tcW w:w="1815" w:type="dxa"/>
          </w:tcPr>
          <w:p w14:paraId="2451CD2A" w14:textId="77777777" w:rsidR="00970182" w:rsidRPr="00986EBF" w:rsidRDefault="00970182" w:rsidP="00970182">
            <w:pPr>
              <w:jc w:val="center"/>
              <w:rPr>
                <w:rFonts w:cs="Times New Roman"/>
                <w:sz w:val="20"/>
                <w:szCs w:val="24"/>
              </w:rPr>
            </w:pPr>
            <w:r>
              <w:rPr>
                <w:rFonts w:cs="Times New Roman"/>
                <w:sz w:val="20"/>
                <w:szCs w:val="24"/>
              </w:rPr>
              <w:t>N/A</w:t>
            </w:r>
          </w:p>
        </w:tc>
      </w:tr>
      <w:tr w:rsidR="00970182" w14:paraId="2451CD30" w14:textId="77777777" w:rsidTr="00970182">
        <w:tc>
          <w:tcPr>
            <w:tcW w:w="4426" w:type="dxa"/>
          </w:tcPr>
          <w:p w14:paraId="2451CD2C" w14:textId="77777777" w:rsidR="00970182" w:rsidRPr="00986EBF" w:rsidRDefault="00970182" w:rsidP="00970182">
            <w:pPr>
              <w:rPr>
                <w:rFonts w:cs="Times New Roman"/>
                <w:sz w:val="20"/>
                <w:szCs w:val="24"/>
              </w:rPr>
            </w:pPr>
            <w:r w:rsidRPr="00986EBF">
              <w:rPr>
                <w:rFonts w:cs="Times New Roman"/>
                <w:sz w:val="20"/>
                <w:szCs w:val="24"/>
              </w:rPr>
              <w:t xml:space="preserve">Rate Payer Impact </w:t>
            </w:r>
            <w:r w:rsidR="00CE321D">
              <w:rPr>
                <w:rFonts w:cs="Times New Roman"/>
                <w:sz w:val="20"/>
                <w:szCs w:val="24"/>
              </w:rPr>
              <w:t>Cost Test</w:t>
            </w:r>
          </w:p>
        </w:tc>
        <w:tc>
          <w:tcPr>
            <w:tcW w:w="1530" w:type="dxa"/>
          </w:tcPr>
          <w:p w14:paraId="2451CD2D" w14:textId="77777777" w:rsidR="00970182" w:rsidRPr="00986EBF" w:rsidRDefault="00917AB6" w:rsidP="00970182">
            <w:pPr>
              <w:jc w:val="center"/>
              <w:rPr>
                <w:rFonts w:cs="Times New Roman"/>
                <w:sz w:val="20"/>
                <w:szCs w:val="24"/>
              </w:rPr>
            </w:pPr>
            <w:r>
              <w:rPr>
                <w:rFonts w:cs="Times New Roman"/>
                <w:sz w:val="20"/>
                <w:szCs w:val="24"/>
              </w:rPr>
              <w:t>0.28</w:t>
            </w:r>
          </w:p>
        </w:tc>
        <w:tc>
          <w:tcPr>
            <w:tcW w:w="1440" w:type="dxa"/>
            <w:vAlign w:val="center"/>
          </w:tcPr>
          <w:p w14:paraId="2451CD2E" w14:textId="77777777" w:rsidR="00970182" w:rsidRPr="00986EBF" w:rsidRDefault="00917AB6" w:rsidP="00970182">
            <w:pPr>
              <w:jc w:val="center"/>
              <w:rPr>
                <w:rFonts w:cs="Times New Roman"/>
                <w:sz w:val="20"/>
                <w:szCs w:val="24"/>
              </w:rPr>
            </w:pPr>
            <w:r>
              <w:rPr>
                <w:rFonts w:cs="Times New Roman"/>
                <w:sz w:val="20"/>
                <w:szCs w:val="24"/>
              </w:rPr>
              <w:t>0.31</w:t>
            </w:r>
          </w:p>
        </w:tc>
        <w:tc>
          <w:tcPr>
            <w:tcW w:w="1815" w:type="dxa"/>
          </w:tcPr>
          <w:p w14:paraId="2451CD2F" w14:textId="77777777" w:rsidR="00970182" w:rsidRPr="00986EBF" w:rsidRDefault="00917AB6" w:rsidP="00970182">
            <w:pPr>
              <w:jc w:val="center"/>
              <w:rPr>
                <w:rFonts w:cs="Times New Roman"/>
                <w:sz w:val="20"/>
                <w:szCs w:val="24"/>
              </w:rPr>
            </w:pPr>
            <w:r>
              <w:rPr>
                <w:rFonts w:cs="Times New Roman"/>
                <w:sz w:val="20"/>
                <w:szCs w:val="24"/>
              </w:rPr>
              <w:t>0.25</w:t>
            </w:r>
          </w:p>
        </w:tc>
      </w:tr>
    </w:tbl>
    <w:p w14:paraId="2451CD31" w14:textId="77777777" w:rsidR="00F15A5A" w:rsidRDefault="00F15A5A" w:rsidP="00F15A5A">
      <w:pPr>
        <w:jc w:val="both"/>
        <w:rPr>
          <w:rFonts w:ascii="Times New Roman" w:hAnsi="Times New Roman" w:cs="Times New Roman"/>
          <w:sz w:val="24"/>
          <w:szCs w:val="24"/>
        </w:rPr>
      </w:pPr>
      <w:r w:rsidRPr="00CA4A03">
        <w:rPr>
          <w:rFonts w:ascii="Times New Roman" w:hAnsi="Times New Roman" w:cs="Times New Roman"/>
          <w:sz w:val="24"/>
          <w:szCs w:val="24"/>
        </w:rPr>
        <w:lastRenderedPageBreak/>
        <w:t xml:space="preserve">Program </w:t>
      </w:r>
      <w:r>
        <w:rPr>
          <w:rFonts w:ascii="Times New Roman" w:hAnsi="Times New Roman" w:cs="Times New Roman"/>
          <w:sz w:val="24"/>
          <w:szCs w:val="24"/>
        </w:rPr>
        <w:t>savings by group for January 1, 2015 – December 31, 2015 is provided in Table 12</w:t>
      </w:r>
      <w:r w:rsidRPr="00CA4A03">
        <w:rPr>
          <w:rFonts w:ascii="Times New Roman" w:hAnsi="Times New Roman" w:cs="Times New Roman"/>
          <w:sz w:val="24"/>
          <w:szCs w:val="24"/>
        </w:rPr>
        <w:t>.</w:t>
      </w:r>
      <w:r>
        <w:rPr>
          <w:rFonts w:ascii="Times New Roman" w:hAnsi="Times New Roman" w:cs="Times New Roman"/>
          <w:sz w:val="24"/>
          <w:szCs w:val="24"/>
        </w:rPr>
        <w:t xml:space="preserve"> </w:t>
      </w:r>
    </w:p>
    <w:p w14:paraId="2451CD32" w14:textId="77777777" w:rsidR="00F15A5A" w:rsidRDefault="00F15A5A" w:rsidP="00F15A5A">
      <w:pPr>
        <w:jc w:val="center"/>
        <w:rPr>
          <w:rFonts w:ascii="Times New Roman" w:hAnsi="Times New Roman" w:cs="Times New Roman"/>
          <w:color w:val="548DD4" w:themeColor="text2" w:themeTint="99"/>
          <w:sz w:val="24"/>
          <w:szCs w:val="24"/>
        </w:rPr>
      </w:pPr>
    </w:p>
    <w:p w14:paraId="2451CD33" w14:textId="77777777" w:rsidR="00F15A5A" w:rsidRPr="007716B1" w:rsidRDefault="00F15A5A" w:rsidP="00F15A5A">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12</w:t>
      </w:r>
    </w:p>
    <w:p w14:paraId="2451CD34" w14:textId="77777777" w:rsidR="00F15A5A" w:rsidRPr="007716B1" w:rsidRDefault="00F15A5A" w:rsidP="00F15A5A">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Program Savings</w:t>
      </w:r>
    </w:p>
    <w:p w14:paraId="2451CD35" w14:textId="77777777" w:rsidR="00F15A5A" w:rsidRPr="007716B1" w:rsidRDefault="00F15A5A" w:rsidP="00F15A5A">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69"/>
        <w:gridCol w:w="1409"/>
      </w:tblGrid>
      <w:tr w:rsidR="00F15A5A" w:rsidRPr="007716B1" w14:paraId="2451CD38" w14:textId="77777777" w:rsidTr="008465BE">
        <w:trPr>
          <w:jc w:val="center"/>
        </w:trPr>
        <w:tc>
          <w:tcPr>
            <w:tcW w:w="2669" w:type="dxa"/>
            <w:shd w:val="clear" w:color="auto" w:fill="C6D9F1" w:themeFill="text2" w:themeFillTint="33"/>
          </w:tcPr>
          <w:p w14:paraId="2451CD36" w14:textId="77777777" w:rsidR="00F15A5A" w:rsidRPr="0030703F" w:rsidRDefault="00F15A5A" w:rsidP="008465BE">
            <w:pPr>
              <w:jc w:val="center"/>
              <w:rPr>
                <w:rFonts w:cs="Times New Roman"/>
                <w:b/>
                <w:sz w:val="20"/>
                <w:szCs w:val="20"/>
              </w:rPr>
            </w:pPr>
            <w:r w:rsidRPr="0030703F">
              <w:rPr>
                <w:rFonts w:cs="Times New Roman"/>
                <w:b/>
                <w:sz w:val="20"/>
                <w:szCs w:val="20"/>
              </w:rPr>
              <w:t>Home Energy Reports Group</w:t>
            </w:r>
          </w:p>
        </w:tc>
        <w:tc>
          <w:tcPr>
            <w:tcW w:w="1409" w:type="dxa"/>
            <w:shd w:val="clear" w:color="auto" w:fill="C6D9F1" w:themeFill="text2" w:themeFillTint="33"/>
          </w:tcPr>
          <w:p w14:paraId="2451CD37" w14:textId="77777777" w:rsidR="00F15A5A" w:rsidRPr="00986EBF" w:rsidRDefault="00F15A5A" w:rsidP="008465BE">
            <w:pPr>
              <w:jc w:val="center"/>
              <w:rPr>
                <w:rFonts w:cs="Times New Roman"/>
                <w:b/>
                <w:sz w:val="20"/>
                <w:szCs w:val="20"/>
              </w:rPr>
            </w:pPr>
            <w:r>
              <w:rPr>
                <w:rFonts w:cs="Times New Roman"/>
                <w:b/>
                <w:sz w:val="20"/>
                <w:szCs w:val="20"/>
              </w:rPr>
              <w:t>Total</w:t>
            </w:r>
            <w:r w:rsidRPr="00986EBF">
              <w:rPr>
                <w:rFonts w:cs="Times New Roman"/>
                <w:b/>
                <w:sz w:val="20"/>
                <w:szCs w:val="20"/>
              </w:rPr>
              <w:t xml:space="preserve"> kWh</w:t>
            </w:r>
            <w:r>
              <w:rPr>
                <w:rFonts w:cs="Times New Roman"/>
                <w:b/>
                <w:sz w:val="20"/>
                <w:szCs w:val="20"/>
              </w:rPr>
              <w:t>/Yr</w:t>
            </w:r>
            <w:r w:rsidRPr="00986EBF">
              <w:rPr>
                <w:rFonts w:cs="Times New Roman"/>
                <w:b/>
                <w:sz w:val="20"/>
                <w:szCs w:val="20"/>
              </w:rPr>
              <w:t xml:space="preserve"> </w:t>
            </w:r>
            <w:r>
              <w:rPr>
                <w:rFonts w:cs="Times New Roman"/>
                <w:b/>
                <w:sz w:val="20"/>
                <w:szCs w:val="20"/>
              </w:rPr>
              <w:t xml:space="preserve">Savings </w:t>
            </w:r>
            <w:r w:rsidRPr="00986EBF">
              <w:rPr>
                <w:rFonts w:cs="Times New Roman"/>
                <w:b/>
                <w:sz w:val="20"/>
                <w:szCs w:val="20"/>
              </w:rPr>
              <w:t>@ site</w:t>
            </w:r>
          </w:p>
        </w:tc>
      </w:tr>
      <w:tr w:rsidR="00F15A5A" w:rsidRPr="007716B1" w14:paraId="2451CD3B" w14:textId="77777777" w:rsidTr="008465BE">
        <w:trPr>
          <w:jc w:val="center"/>
        </w:trPr>
        <w:tc>
          <w:tcPr>
            <w:tcW w:w="2669" w:type="dxa"/>
            <w:vAlign w:val="bottom"/>
          </w:tcPr>
          <w:p w14:paraId="2451CD39" w14:textId="77777777" w:rsidR="00F15A5A" w:rsidRPr="0030703F" w:rsidRDefault="00F15A5A" w:rsidP="008465BE">
            <w:pPr>
              <w:rPr>
                <w:rFonts w:cs="Times New Roman"/>
                <w:sz w:val="20"/>
                <w:szCs w:val="20"/>
              </w:rPr>
            </w:pPr>
            <w:r w:rsidRPr="0030703F">
              <w:rPr>
                <w:rFonts w:cs="Times New Roman"/>
                <w:color w:val="000000"/>
                <w:sz w:val="20"/>
                <w:szCs w:val="20"/>
              </w:rPr>
              <w:t>Legacy</w:t>
            </w:r>
            <w:r>
              <w:rPr>
                <w:rFonts w:cs="Times New Roman"/>
                <w:color w:val="000000"/>
                <w:sz w:val="20"/>
                <w:szCs w:val="20"/>
              </w:rPr>
              <w:t xml:space="preserve"> </w:t>
            </w:r>
          </w:p>
        </w:tc>
        <w:tc>
          <w:tcPr>
            <w:tcW w:w="1409" w:type="dxa"/>
            <w:vAlign w:val="bottom"/>
          </w:tcPr>
          <w:p w14:paraId="2451CD3A" w14:textId="77777777" w:rsidR="00F15A5A" w:rsidRPr="0030703F" w:rsidRDefault="00F15A5A" w:rsidP="008465BE">
            <w:pPr>
              <w:jc w:val="right"/>
              <w:rPr>
                <w:rFonts w:cs="Times New Roman"/>
                <w:sz w:val="20"/>
                <w:szCs w:val="20"/>
              </w:rPr>
            </w:pPr>
            <w:r w:rsidRPr="005B5D91">
              <w:rPr>
                <w:rFonts w:cs="Times New Roman"/>
                <w:sz w:val="20"/>
                <w:szCs w:val="20"/>
              </w:rPr>
              <w:t>4,360,298</w:t>
            </w:r>
          </w:p>
        </w:tc>
      </w:tr>
      <w:tr w:rsidR="00F15A5A" w:rsidRPr="007716B1" w14:paraId="2451CD3E" w14:textId="77777777" w:rsidTr="008465BE">
        <w:trPr>
          <w:jc w:val="center"/>
        </w:trPr>
        <w:tc>
          <w:tcPr>
            <w:tcW w:w="2669" w:type="dxa"/>
            <w:vAlign w:val="bottom"/>
          </w:tcPr>
          <w:p w14:paraId="2451CD3C" w14:textId="77777777" w:rsidR="00F15A5A" w:rsidRPr="0030703F" w:rsidRDefault="00F15A5A" w:rsidP="008465BE">
            <w:pPr>
              <w:rPr>
                <w:rFonts w:cs="Times New Roman"/>
                <w:color w:val="000000"/>
                <w:sz w:val="20"/>
                <w:szCs w:val="20"/>
              </w:rPr>
            </w:pPr>
            <w:r>
              <w:rPr>
                <w:rFonts w:cs="Times New Roman"/>
                <w:color w:val="000000"/>
                <w:sz w:val="20"/>
                <w:szCs w:val="20"/>
              </w:rPr>
              <w:t>Legacy Refill</w:t>
            </w:r>
          </w:p>
        </w:tc>
        <w:tc>
          <w:tcPr>
            <w:tcW w:w="1409" w:type="dxa"/>
            <w:vAlign w:val="bottom"/>
          </w:tcPr>
          <w:p w14:paraId="2451CD3D" w14:textId="77777777" w:rsidR="00F15A5A" w:rsidRPr="0030703F" w:rsidRDefault="00F15A5A" w:rsidP="008465BE">
            <w:pPr>
              <w:jc w:val="right"/>
              <w:rPr>
                <w:rFonts w:cs="Arial"/>
                <w:color w:val="000000"/>
                <w:sz w:val="20"/>
                <w:szCs w:val="20"/>
              </w:rPr>
            </w:pPr>
            <w:r w:rsidRPr="005B5D91">
              <w:rPr>
                <w:rFonts w:cs="Arial"/>
                <w:color w:val="000000"/>
                <w:sz w:val="20"/>
                <w:szCs w:val="20"/>
              </w:rPr>
              <w:t>96,035</w:t>
            </w:r>
          </w:p>
        </w:tc>
      </w:tr>
      <w:tr w:rsidR="00F15A5A" w:rsidRPr="007716B1" w14:paraId="2451CD41" w14:textId="77777777" w:rsidTr="008465BE">
        <w:trPr>
          <w:jc w:val="center"/>
        </w:trPr>
        <w:tc>
          <w:tcPr>
            <w:tcW w:w="2669" w:type="dxa"/>
            <w:vAlign w:val="bottom"/>
          </w:tcPr>
          <w:p w14:paraId="2451CD3F" w14:textId="77777777" w:rsidR="00F15A5A" w:rsidRPr="0030703F" w:rsidRDefault="00F15A5A" w:rsidP="008465BE">
            <w:pPr>
              <w:rPr>
                <w:rFonts w:cs="Times New Roman"/>
                <w:sz w:val="20"/>
                <w:szCs w:val="20"/>
              </w:rPr>
            </w:pPr>
            <w:r w:rsidRPr="0030703F">
              <w:rPr>
                <w:rFonts w:cs="Times New Roman"/>
                <w:color w:val="000000"/>
                <w:sz w:val="20"/>
                <w:szCs w:val="20"/>
              </w:rPr>
              <w:t>Expansion Group</w:t>
            </w:r>
          </w:p>
        </w:tc>
        <w:tc>
          <w:tcPr>
            <w:tcW w:w="1409" w:type="dxa"/>
            <w:vAlign w:val="bottom"/>
          </w:tcPr>
          <w:p w14:paraId="2451CD40" w14:textId="77777777" w:rsidR="00F15A5A" w:rsidRPr="0030703F" w:rsidRDefault="00F15A5A" w:rsidP="008465BE">
            <w:pPr>
              <w:jc w:val="right"/>
              <w:rPr>
                <w:rFonts w:cs="Times New Roman"/>
                <w:sz w:val="20"/>
                <w:szCs w:val="20"/>
              </w:rPr>
            </w:pPr>
            <w:r w:rsidRPr="0030703F">
              <w:rPr>
                <w:rFonts w:cs="Arial"/>
                <w:color w:val="000000"/>
                <w:sz w:val="20"/>
                <w:szCs w:val="20"/>
              </w:rPr>
              <w:t>3,263,809</w:t>
            </w:r>
          </w:p>
        </w:tc>
      </w:tr>
      <w:tr w:rsidR="00F15A5A" w:rsidRPr="00523CDA" w14:paraId="2451CD44" w14:textId="77777777" w:rsidTr="008465BE">
        <w:trPr>
          <w:jc w:val="center"/>
        </w:trPr>
        <w:tc>
          <w:tcPr>
            <w:tcW w:w="2669" w:type="dxa"/>
            <w:vAlign w:val="bottom"/>
          </w:tcPr>
          <w:p w14:paraId="2451CD42" w14:textId="77777777" w:rsidR="00F15A5A" w:rsidRPr="0030703F" w:rsidRDefault="00F15A5A" w:rsidP="008465BE">
            <w:pPr>
              <w:rPr>
                <w:rFonts w:cs="Times New Roman"/>
                <w:b/>
                <w:sz w:val="20"/>
                <w:szCs w:val="20"/>
              </w:rPr>
            </w:pPr>
            <w:r w:rsidRPr="0030703F">
              <w:rPr>
                <w:rFonts w:cs="Times New Roman"/>
                <w:color w:val="000000"/>
                <w:sz w:val="20"/>
                <w:szCs w:val="20"/>
              </w:rPr>
              <w:t xml:space="preserve"> </w:t>
            </w:r>
            <w:r w:rsidRPr="0030703F">
              <w:rPr>
                <w:rFonts w:cs="Times New Roman"/>
                <w:b/>
                <w:color w:val="000000"/>
                <w:sz w:val="20"/>
                <w:szCs w:val="20"/>
              </w:rPr>
              <w:t>Total</w:t>
            </w:r>
          </w:p>
        </w:tc>
        <w:tc>
          <w:tcPr>
            <w:tcW w:w="1409" w:type="dxa"/>
            <w:vAlign w:val="bottom"/>
          </w:tcPr>
          <w:p w14:paraId="2451CD43" w14:textId="77777777" w:rsidR="00F15A5A" w:rsidRPr="0030703F" w:rsidRDefault="00F15A5A" w:rsidP="008465BE">
            <w:pPr>
              <w:jc w:val="right"/>
              <w:rPr>
                <w:rFonts w:cs="Times New Roman"/>
                <w:sz w:val="20"/>
                <w:szCs w:val="20"/>
              </w:rPr>
            </w:pPr>
            <w:r w:rsidRPr="0030703F">
              <w:rPr>
                <w:rFonts w:cs="Arial"/>
                <w:b/>
                <w:bCs/>
                <w:color w:val="000000"/>
                <w:sz w:val="20"/>
                <w:szCs w:val="20"/>
              </w:rPr>
              <w:t>7,720,142</w:t>
            </w:r>
          </w:p>
        </w:tc>
      </w:tr>
    </w:tbl>
    <w:p w14:paraId="2451CD45" w14:textId="77777777" w:rsidR="006B0836" w:rsidRPr="00B456C0" w:rsidRDefault="006B0836" w:rsidP="006B0836">
      <w:pPr>
        <w:pStyle w:val="Heading3"/>
        <w:rPr>
          <w:sz w:val="24"/>
          <w:szCs w:val="24"/>
        </w:rPr>
      </w:pPr>
      <w:bookmarkStart w:id="32" w:name="_Toc449356474"/>
      <w:bookmarkStart w:id="33" w:name="_Toc449510486"/>
      <w:r w:rsidRPr="00B456C0">
        <w:rPr>
          <w:sz w:val="24"/>
          <w:szCs w:val="24"/>
        </w:rPr>
        <w:t>Program Management</w:t>
      </w:r>
      <w:bookmarkEnd w:id="32"/>
      <w:bookmarkEnd w:id="33"/>
    </w:p>
    <w:p w14:paraId="2451CD46" w14:textId="77777777" w:rsidR="006B0836" w:rsidRPr="00B456C0" w:rsidRDefault="006B0836" w:rsidP="006B0836">
      <w:pPr>
        <w:rPr>
          <w:sz w:val="24"/>
          <w:szCs w:val="24"/>
        </w:rPr>
      </w:pPr>
    </w:p>
    <w:p w14:paraId="2451CD47" w14:textId="77777777" w:rsidR="006B0836" w:rsidRPr="007716B1" w:rsidRDefault="006B0836" w:rsidP="006B0836">
      <w:pPr>
        <w:jc w:val="both"/>
        <w:rPr>
          <w:rFonts w:ascii="Times New Roman" w:hAnsi="Times New Roman" w:cs="Times New Roman"/>
          <w:sz w:val="24"/>
          <w:szCs w:val="24"/>
        </w:rPr>
      </w:pPr>
      <w:r>
        <w:rPr>
          <w:rFonts w:ascii="Times New Roman" w:hAnsi="Times New Roman" w:cs="Times New Roman"/>
          <w:sz w:val="24"/>
          <w:szCs w:val="24"/>
        </w:rPr>
        <w:t>The program manager overseeing program activity in Washington</w:t>
      </w:r>
      <w:r w:rsidR="005627BF">
        <w:rPr>
          <w:rFonts w:ascii="Times New Roman" w:hAnsi="Times New Roman" w:cs="Times New Roman"/>
          <w:sz w:val="24"/>
          <w:szCs w:val="24"/>
        </w:rPr>
        <w:t xml:space="preserve"> is also responsible for </w:t>
      </w:r>
      <w:r w:rsidR="005627BF" w:rsidRPr="006340B2">
        <w:rPr>
          <w:rFonts w:ascii="Times New Roman" w:hAnsi="Times New Roman" w:cs="Times New Roman"/>
          <w:i/>
          <w:sz w:val="24"/>
          <w:szCs w:val="24"/>
        </w:rPr>
        <w:t>Home Energy Savings</w:t>
      </w:r>
      <w:r w:rsidR="005627BF">
        <w:rPr>
          <w:rFonts w:ascii="Times New Roman" w:hAnsi="Times New Roman" w:cs="Times New Roman"/>
          <w:sz w:val="24"/>
          <w:szCs w:val="24"/>
        </w:rPr>
        <w:t xml:space="preserve"> program in California and Washing</w:t>
      </w:r>
      <w:r w:rsidR="00CB50A1">
        <w:rPr>
          <w:rFonts w:ascii="Times New Roman" w:hAnsi="Times New Roman" w:cs="Times New Roman"/>
          <w:sz w:val="24"/>
          <w:szCs w:val="24"/>
        </w:rPr>
        <w:t>ton</w:t>
      </w:r>
      <w:r w:rsidR="005627BF">
        <w:rPr>
          <w:rFonts w:ascii="Times New Roman" w:hAnsi="Times New Roman" w:cs="Times New Roman"/>
          <w:sz w:val="24"/>
          <w:szCs w:val="24"/>
        </w:rPr>
        <w:t>. For each program and in each state the program manager</w:t>
      </w:r>
      <w:r>
        <w:rPr>
          <w:rFonts w:ascii="Times New Roman" w:hAnsi="Times New Roman" w:cs="Times New Roman"/>
          <w:sz w:val="24"/>
          <w:szCs w:val="24"/>
        </w:rPr>
        <w:t xml:space="preserve"> is responsible for the cost effectiveness of the program, identifying and contracting with the program administrator through a competitive bid process, establishing and monitoring program performance and compliance, and recommending changes in the terms and conditions set in each state’s compliance requirements.</w:t>
      </w:r>
    </w:p>
    <w:p w14:paraId="2451CD48" w14:textId="77777777" w:rsidR="006B0836" w:rsidRPr="00B456C0" w:rsidRDefault="006B0836" w:rsidP="006B0836">
      <w:pPr>
        <w:pStyle w:val="Heading3"/>
        <w:rPr>
          <w:sz w:val="24"/>
          <w:szCs w:val="24"/>
        </w:rPr>
      </w:pPr>
      <w:bookmarkStart w:id="34" w:name="_Toc449356475"/>
      <w:bookmarkStart w:id="35" w:name="_Toc449510487"/>
      <w:r w:rsidRPr="00B456C0">
        <w:rPr>
          <w:sz w:val="24"/>
          <w:szCs w:val="24"/>
        </w:rPr>
        <w:t>Program Administration</w:t>
      </w:r>
      <w:bookmarkEnd w:id="34"/>
      <w:bookmarkEnd w:id="35"/>
    </w:p>
    <w:p w14:paraId="2451CD49" w14:textId="77777777" w:rsidR="006B0836" w:rsidRPr="005D0A8B" w:rsidRDefault="006B0836" w:rsidP="006B0836">
      <w:pPr>
        <w:rPr>
          <w:rFonts w:ascii="Times New Roman" w:hAnsi="Times New Roman" w:cs="Times New Roman"/>
          <w:sz w:val="24"/>
          <w:szCs w:val="24"/>
          <w:u w:val="single"/>
        </w:rPr>
      </w:pPr>
    </w:p>
    <w:p w14:paraId="2451CD4A" w14:textId="77777777" w:rsidR="006B0836" w:rsidRPr="00AD4C4D" w:rsidRDefault="006B0836" w:rsidP="006B0836">
      <w:pPr>
        <w:pStyle w:val="NormalWeb"/>
        <w:spacing w:before="0" w:beforeAutospacing="0" w:after="0" w:afterAutospacing="0"/>
        <w:jc w:val="both"/>
        <w:rPr>
          <w:rFonts w:ascii="Times New Roman" w:hAnsi="Times New Roman"/>
          <w:color w:val="auto"/>
          <w:sz w:val="24"/>
          <w:szCs w:val="24"/>
        </w:rPr>
      </w:pPr>
      <w:r w:rsidRPr="00AD4C4D">
        <w:rPr>
          <w:rFonts w:ascii="Times New Roman" w:hAnsi="Times New Roman"/>
          <w:color w:val="auto"/>
          <w:sz w:val="24"/>
          <w:szCs w:val="24"/>
        </w:rPr>
        <w:t xml:space="preserve">The </w:t>
      </w:r>
      <w:r>
        <w:rPr>
          <w:rFonts w:ascii="Times New Roman" w:hAnsi="Times New Roman"/>
          <w:i/>
          <w:color w:val="auto"/>
          <w:sz w:val="24"/>
          <w:szCs w:val="24"/>
        </w:rPr>
        <w:t>Home Energy Reports</w:t>
      </w:r>
      <w:r w:rsidRPr="00AD4C4D">
        <w:rPr>
          <w:rFonts w:ascii="Times New Roman" w:hAnsi="Times New Roman"/>
          <w:color w:val="auto"/>
          <w:sz w:val="24"/>
          <w:szCs w:val="24"/>
        </w:rPr>
        <w:t xml:space="preserve"> program is administered by </w:t>
      </w:r>
      <w:r>
        <w:rPr>
          <w:rFonts w:ascii="Times New Roman" w:hAnsi="Times New Roman"/>
          <w:color w:val="auto"/>
          <w:sz w:val="24"/>
          <w:szCs w:val="24"/>
        </w:rPr>
        <w:t>Opower</w:t>
      </w:r>
      <w:r w:rsidRPr="00AD4C4D">
        <w:rPr>
          <w:rFonts w:ascii="Times New Roman" w:hAnsi="Times New Roman"/>
          <w:color w:val="auto"/>
          <w:sz w:val="24"/>
          <w:szCs w:val="24"/>
        </w:rPr>
        <w:t xml:space="preserve">. </w:t>
      </w:r>
      <w:r w:rsidRPr="00452115">
        <w:rPr>
          <w:rFonts w:ascii="Times New Roman" w:hAnsi="Times New Roman"/>
          <w:color w:val="auto"/>
          <w:sz w:val="24"/>
          <w:szCs w:val="24"/>
        </w:rPr>
        <w:t xml:space="preserve">Opower's software creates individualized </w:t>
      </w:r>
      <w:r>
        <w:rPr>
          <w:rFonts w:ascii="Times New Roman" w:hAnsi="Times New Roman"/>
          <w:color w:val="auto"/>
          <w:sz w:val="24"/>
          <w:szCs w:val="24"/>
        </w:rPr>
        <w:t>e</w:t>
      </w:r>
      <w:r w:rsidRPr="00452115">
        <w:rPr>
          <w:rFonts w:ascii="Times New Roman" w:hAnsi="Times New Roman"/>
          <w:color w:val="auto"/>
          <w:sz w:val="24"/>
          <w:szCs w:val="24"/>
        </w:rPr>
        <w:t xml:space="preserve">nergy </w:t>
      </w:r>
      <w:r>
        <w:rPr>
          <w:rFonts w:ascii="Times New Roman" w:hAnsi="Times New Roman"/>
          <w:color w:val="auto"/>
          <w:sz w:val="24"/>
          <w:szCs w:val="24"/>
        </w:rPr>
        <w:t>r</w:t>
      </w:r>
      <w:r w:rsidRPr="00452115">
        <w:rPr>
          <w:rFonts w:ascii="Times New Roman" w:hAnsi="Times New Roman"/>
          <w:color w:val="auto"/>
          <w:sz w:val="24"/>
          <w:szCs w:val="24"/>
        </w:rPr>
        <w:t>eports for utility customers that analyze their energy usage and offer</w:t>
      </w:r>
      <w:r>
        <w:rPr>
          <w:rFonts w:ascii="Times New Roman" w:hAnsi="Times New Roman"/>
          <w:color w:val="auto"/>
          <w:sz w:val="24"/>
          <w:szCs w:val="24"/>
        </w:rPr>
        <w:t>s</w:t>
      </w:r>
      <w:r w:rsidRPr="00452115">
        <w:rPr>
          <w:rFonts w:ascii="Times New Roman" w:hAnsi="Times New Roman"/>
          <w:color w:val="auto"/>
          <w:sz w:val="24"/>
          <w:szCs w:val="24"/>
        </w:rPr>
        <w:t xml:space="preserve"> recommendations on how to save energy and money by making small changes to their energy consumption</w:t>
      </w:r>
      <w:r w:rsidRPr="00AD4C4D">
        <w:rPr>
          <w:rFonts w:ascii="Times New Roman" w:hAnsi="Times New Roman"/>
          <w:color w:val="auto"/>
          <w:sz w:val="24"/>
          <w:szCs w:val="24"/>
        </w:rPr>
        <w:t xml:space="preserve">. The Company contracts with </w:t>
      </w:r>
      <w:r>
        <w:rPr>
          <w:rFonts w:ascii="Times New Roman" w:hAnsi="Times New Roman"/>
          <w:color w:val="auto"/>
          <w:sz w:val="24"/>
          <w:szCs w:val="24"/>
        </w:rPr>
        <w:t>Opower</w:t>
      </w:r>
      <w:r w:rsidRPr="00AD4C4D">
        <w:rPr>
          <w:rFonts w:ascii="Times New Roman" w:hAnsi="Times New Roman"/>
          <w:color w:val="auto"/>
          <w:sz w:val="24"/>
          <w:szCs w:val="24"/>
        </w:rPr>
        <w:t xml:space="preserve"> to provide</w:t>
      </w:r>
      <w:r>
        <w:rPr>
          <w:rFonts w:ascii="Times New Roman" w:hAnsi="Times New Roman"/>
          <w:color w:val="auto"/>
          <w:sz w:val="24"/>
          <w:szCs w:val="24"/>
        </w:rPr>
        <w:t xml:space="preserve"> energy savings,</w:t>
      </w:r>
      <w:r w:rsidRPr="00AD4C4D">
        <w:rPr>
          <w:rFonts w:ascii="Times New Roman" w:hAnsi="Times New Roman"/>
          <w:color w:val="auto"/>
          <w:sz w:val="24"/>
          <w:szCs w:val="24"/>
        </w:rPr>
        <w:t xml:space="preserve"> </w:t>
      </w:r>
      <w:r>
        <w:rPr>
          <w:rFonts w:ascii="Times New Roman" w:hAnsi="Times New Roman"/>
          <w:color w:val="auto"/>
          <w:sz w:val="24"/>
          <w:szCs w:val="24"/>
        </w:rPr>
        <w:t>software services, and printing and delivery of energy reports to customers</w:t>
      </w:r>
      <w:r w:rsidRPr="00AD4C4D">
        <w:rPr>
          <w:rFonts w:ascii="Times New Roman" w:hAnsi="Times New Roman"/>
          <w:color w:val="auto"/>
          <w:sz w:val="24"/>
          <w:szCs w:val="24"/>
        </w:rPr>
        <w:t>.</w:t>
      </w:r>
    </w:p>
    <w:p w14:paraId="2451CD4B" w14:textId="77777777" w:rsidR="006B0836" w:rsidRPr="00AD4C4D" w:rsidRDefault="006B0836" w:rsidP="006B0836">
      <w:pPr>
        <w:pStyle w:val="NormalWeb"/>
        <w:spacing w:before="0" w:beforeAutospacing="0" w:after="0" w:afterAutospacing="0"/>
        <w:jc w:val="both"/>
        <w:rPr>
          <w:rFonts w:ascii="Times New Roman" w:hAnsi="Times New Roman"/>
          <w:color w:val="auto"/>
          <w:sz w:val="24"/>
          <w:szCs w:val="24"/>
        </w:rPr>
      </w:pPr>
    </w:p>
    <w:p w14:paraId="2451CD4C" w14:textId="77777777" w:rsidR="006B0836" w:rsidRPr="00AD4C4D" w:rsidRDefault="006B0836" w:rsidP="006B0836">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Opower</w:t>
      </w:r>
      <w:r w:rsidRPr="00AD4C4D">
        <w:rPr>
          <w:rFonts w:ascii="Times New Roman" w:hAnsi="Times New Roman"/>
          <w:color w:val="auto"/>
          <w:sz w:val="24"/>
          <w:szCs w:val="24"/>
        </w:rPr>
        <w:t xml:space="preserve"> is responsible for the following:</w:t>
      </w:r>
    </w:p>
    <w:p w14:paraId="2451CD4D" w14:textId="77777777" w:rsidR="006B0836" w:rsidRPr="007716B1" w:rsidRDefault="006B0836" w:rsidP="006B0836">
      <w:pPr>
        <w:pStyle w:val="NormalWeb"/>
        <w:spacing w:before="0" w:beforeAutospacing="0" w:after="0" w:afterAutospacing="0"/>
        <w:jc w:val="both"/>
        <w:rPr>
          <w:rFonts w:ascii="Times New Roman" w:hAnsi="Times New Roman"/>
          <w:sz w:val="24"/>
          <w:szCs w:val="24"/>
        </w:rPr>
      </w:pPr>
    </w:p>
    <w:p w14:paraId="2451CD4E" w14:textId="77777777" w:rsidR="006B0836" w:rsidRPr="00AD4C4D" w:rsidRDefault="006B0836" w:rsidP="006B0836">
      <w:pPr>
        <w:pStyle w:val="NormalWeb"/>
        <w:numPr>
          <w:ilvl w:val="0"/>
          <w:numId w:val="5"/>
        </w:numPr>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Selecting Qualifying Customers</w:t>
      </w:r>
      <w:r w:rsidRPr="00AD4C4D">
        <w:rPr>
          <w:rFonts w:ascii="Times New Roman" w:hAnsi="Times New Roman"/>
          <w:color w:val="auto"/>
          <w:sz w:val="24"/>
          <w:szCs w:val="24"/>
        </w:rPr>
        <w:t xml:space="preserve"> – </w:t>
      </w:r>
      <w:r>
        <w:rPr>
          <w:rFonts w:ascii="Times New Roman" w:hAnsi="Times New Roman"/>
          <w:color w:val="auto"/>
          <w:sz w:val="24"/>
          <w:szCs w:val="24"/>
        </w:rPr>
        <w:t>Opower conducts an analysis to identify qualifying customers. An independent, third party administrator then randomly assigns qualifying customers into the program’s treatment (those who will receive reports) and control groups (for measurement and verification)</w:t>
      </w:r>
      <w:r w:rsidRPr="00AD4C4D">
        <w:rPr>
          <w:rFonts w:ascii="Times New Roman" w:hAnsi="Times New Roman"/>
          <w:color w:val="auto"/>
          <w:sz w:val="24"/>
          <w:szCs w:val="24"/>
        </w:rPr>
        <w:t>.</w:t>
      </w:r>
    </w:p>
    <w:p w14:paraId="2451CD4F" w14:textId="77777777" w:rsidR="006B0836" w:rsidRPr="00AD4C4D" w:rsidRDefault="006B0836" w:rsidP="006B0836">
      <w:pPr>
        <w:pStyle w:val="NormalWeb"/>
        <w:numPr>
          <w:ilvl w:val="0"/>
          <w:numId w:val="5"/>
        </w:numPr>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Customer Comparison Analysis </w:t>
      </w:r>
      <w:r w:rsidRPr="00AD4C4D">
        <w:rPr>
          <w:rFonts w:ascii="Times New Roman" w:hAnsi="Times New Roman"/>
          <w:color w:val="auto"/>
          <w:sz w:val="24"/>
          <w:szCs w:val="24"/>
        </w:rPr>
        <w:t xml:space="preserve">– </w:t>
      </w:r>
      <w:r>
        <w:rPr>
          <w:rFonts w:ascii="Times New Roman" w:hAnsi="Times New Roman"/>
          <w:color w:val="auto"/>
          <w:sz w:val="24"/>
          <w:szCs w:val="24"/>
        </w:rPr>
        <w:t>Opower conducts statistical analysis to perform pattern recognition in order to derive actionable insights to selected customers</w:t>
      </w:r>
      <w:r w:rsidRPr="00AD4C4D">
        <w:rPr>
          <w:rFonts w:ascii="Times New Roman" w:hAnsi="Times New Roman"/>
          <w:color w:val="auto"/>
          <w:sz w:val="24"/>
          <w:szCs w:val="24"/>
        </w:rPr>
        <w:t>.</w:t>
      </w:r>
    </w:p>
    <w:p w14:paraId="2451CD50" w14:textId="77777777" w:rsidR="006B0836" w:rsidRPr="00C20EE3" w:rsidRDefault="006B0836" w:rsidP="006B0836">
      <w:pPr>
        <w:pStyle w:val="NormalWeb"/>
        <w:numPr>
          <w:ilvl w:val="0"/>
          <w:numId w:val="5"/>
        </w:numPr>
        <w:jc w:val="both"/>
        <w:rPr>
          <w:rFonts w:ascii="Times New Roman" w:hAnsi="Times New Roman"/>
          <w:i/>
          <w:color w:val="auto"/>
          <w:sz w:val="24"/>
          <w:szCs w:val="24"/>
        </w:rPr>
      </w:pPr>
      <w:r>
        <w:rPr>
          <w:rFonts w:ascii="Times New Roman" w:hAnsi="Times New Roman"/>
          <w:color w:val="auto"/>
          <w:sz w:val="24"/>
          <w:szCs w:val="24"/>
        </w:rPr>
        <w:t>Energy Report Delivery</w:t>
      </w:r>
      <w:r w:rsidRPr="00AD4C4D">
        <w:rPr>
          <w:rFonts w:ascii="Times New Roman" w:hAnsi="Times New Roman"/>
          <w:color w:val="auto"/>
          <w:sz w:val="24"/>
          <w:szCs w:val="24"/>
        </w:rPr>
        <w:t xml:space="preserve"> – </w:t>
      </w:r>
      <w:r>
        <w:rPr>
          <w:rFonts w:ascii="Times New Roman" w:hAnsi="Times New Roman"/>
          <w:color w:val="auto"/>
          <w:sz w:val="24"/>
          <w:szCs w:val="24"/>
        </w:rPr>
        <w:t>By mail and/or email.</w:t>
      </w:r>
    </w:p>
    <w:p w14:paraId="2451CD51" w14:textId="77777777" w:rsidR="006B0836" w:rsidRPr="006B0836" w:rsidRDefault="006B0836" w:rsidP="006B0836">
      <w:pPr>
        <w:pStyle w:val="NormalWeb"/>
        <w:numPr>
          <w:ilvl w:val="0"/>
          <w:numId w:val="5"/>
        </w:numPr>
        <w:jc w:val="both"/>
        <w:rPr>
          <w:rFonts w:ascii="Times New Roman" w:hAnsi="Times New Roman"/>
          <w:i/>
          <w:color w:val="auto"/>
          <w:sz w:val="24"/>
          <w:szCs w:val="24"/>
        </w:rPr>
      </w:pPr>
      <w:r>
        <w:rPr>
          <w:rFonts w:ascii="Times New Roman" w:hAnsi="Times New Roman"/>
          <w:color w:val="auto"/>
          <w:sz w:val="24"/>
          <w:szCs w:val="24"/>
        </w:rPr>
        <w:t>Web Portal Design and Support – Opower operates and maintains a customer Web portal that participants may visit for additional information about their energy usage and saving opportunities.</w:t>
      </w:r>
    </w:p>
    <w:p w14:paraId="2451CD52" w14:textId="77777777" w:rsidR="006B0836" w:rsidRPr="00B456C0" w:rsidRDefault="006B0836" w:rsidP="006B0836">
      <w:pPr>
        <w:pStyle w:val="Heading3"/>
        <w:rPr>
          <w:sz w:val="24"/>
          <w:szCs w:val="24"/>
        </w:rPr>
      </w:pPr>
      <w:bookmarkStart w:id="36" w:name="_Toc449356476"/>
      <w:bookmarkStart w:id="37" w:name="_Toc449510488"/>
      <w:r w:rsidRPr="00B456C0">
        <w:rPr>
          <w:sz w:val="24"/>
          <w:szCs w:val="24"/>
        </w:rPr>
        <w:t>Evaluation</w:t>
      </w:r>
      <w:bookmarkEnd w:id="36"/>
      <w:bookmarkEnd w:id="37"/>
    </w:p>
    <w:p w14:paraId="2451CD53" w14:textId="77777777" w:rsidR="006B0836" w:rsidRPr="00D96B39" w:rsidRDefault="006B0836" w:rsidP="006B0836">
      <w:pPr>
        <w:rPr>
          <w:sz w:val="24"/>
          <w:szCs w:val="24"/>
        </w:rPr>
      </w:pPr>
    </w:p>
    <w:p w14:paraId="2451CD54" w14:textId="77777777" w:rsidR="00210B55" w:rsidRDefault="006B0836" w:rsidP="006B0836">
      <w:pPr>
        <w:jc w:val="both"/>
        <w:rPr>
          <w:rFonts w:ascii="Times New Roman" w:hAnsi="Times New Roman"/>
          <w:sz w:val="24"/>
          <w:szCs w:val="24"/>
        </w:rPr>
      </w:pPr>
      <w:r w:rsidRPr="00D96B39">
        <w:rPr>
          <w:rFonts w:ascii="Times New Roman" w:hAnsi="Times New Roman"/>
          <w:sz w:val="24"/>
          <w:szCs w:val="24"/>
        </w:rPr>
        <w:t xml:space="preserve">In </w:t>
      </w:r>
      <w:r w:rsidR="00F15A5A">
        <w:rPr>
          <w:rFonts w:ascii="Times New Roman" w:hAnsi="Times New Roman"/>
          <w:sz w:val="24"/>
          <w:szCs w:val="24"/>
        </w:rPr>
        <w:t>2015,</w:t>
      </w:r>
      <w:r w:rsidRPr="00D96B39">
        <w:rPr>
          <w:rFonts w:ascii="Times New Roman" w:hAnsi="Times New Roman"/>
          <w:sz w:val="24"/>
          <w:szCs w:val="24"/>
        </w:rPr>
        <w:t xml:space="preserve"> a process and impact evaluation was </w:t>
      </w:r>
      <w:r w:rsidR="00F15A5A">
        <w:rPr>
          <w:rFonts w:ascii="Times New Roman" w:hAnsi="Times New Roman"/>
          <w:sz w:val="24"/>
          <w:szCs w:val="24"/>
        </w:rPr>
        <w:t>initiated by a</w:t>
      </w:r>
      <w:r w:rsidRPr="00D96B39">
        <w:rPr>
          <w:rFonts w:ascii="Times New Roman" w:hAnsi="Times New Roman"/>
          <w:sz w:val="24"/>
          <w:szCs w:val="24"/>
        </w:rPr>
        <w:t xml:space="preserve"> third party evaluator for</w:t>
      </w:r>
      <w:r>
        <w:rPr>
          <w:rFonts w:ascii="Times New Roman" w:hAnsi="Times New Roman"/>
          <w:sz w:val="24"/>
          <w:szCs w:val="24"/>
        </w:rPr>
        <w:t xml:space="preserve"> the period of</w:t>
      </w:r>
      <w:r w:rsidRPr="00D96B39">
        <w:rPr>
          <w:rFonts w:ascii="Times New Roman" w:hAnsi="Times New Roman"/>
          <w:sz w:val="24"/>
          <w:szCs w:val="24"/>
        </w:rPr>
        <w:t xml:space="preserve"> </w:t>
      </w:r>
      <w:r w:rsidR="00F15A5A">
        <w:rPr>
          <w:rFonts w:ascii="Times New Roman" w:hAnsi="Times New Roman"/>
          <w:sz w:val="24"/>
          <w:szCs w:val="24"/>
        </w:rPr>
        <w:t xml:space="preserve">January </w:t>
      </w:r>
      <w:r>
        <w:rPr>
          <w:rFonts w:ascii="Times New Roman" w:hAnsi="Times New Roman"/>
          <w:sz w:val="24"/>
          <w:szCs w:val="24"/>
        </w:rPr>
        <w:t>1, 2014</w:t>
      </w:r>
      <w:r w:rsidR="00F15A5A">
        <w:rPr>
          <w:rFonts w:ascii="Times New Roman" w:hAnsi="Times New Roman"/>
          <w:sz w:val="24"/>
          <w:szCs w:val="24"/>
        </w:rPr>
        <w:t xml:space="preserve"> – December 31, 2015</w:t>
      </w:r>
      <w:r w:rsidRPr="00D96B39">
        <w:rPr>
          <w:rFonts w:ascii="Times New Roman" w:hAnsi="Times New Roman"/>
          <w:sz w:val="24"/>
          <w:szCs w:val="24"/>
        </w:rPr>
        <w:t xml:space="preserve">. </w:t>
      </w:r>
      <w:r w:rsidR="00A0345E">
        <w:rPr>
          <w:rFonts w:ascii="Times New Roman" w:hAnsi="Times New Roman"/>
          <w:sz w:val="24"/>
          <w:szCs w:val="24"/>
        </w:rPr>
        <w:t xml:space="preserve">The legacy, refill and expansion waves were evaluated. </w:t>
      </w:r>
      <w:r w:rsidRPr="00D96B39">
        <w:rPr>
          <w:rFonts w:ascii="Times New Roman" w:hAnsi="Times New Roman"/>
          <w:sz w:val="24"/>
          <w:szCs w:val="24"/>
        </w:rPr>
        <w:t xml:space="preserve">The </w:t>
      </w:r>
      <w:r>
        <w:rPr>
          <w:rFonts w:ascii="Times New Roman" w:hAnsi="Times New Roman"/>
          <w:sz w:val="24"/>
          <w:szCs w:val="24"/>
        </w:rPr>
        <w:t xml:space="preserve">primary objective of the evaluation report was to determine the extent to which participants </w:t>
      </w:r>
      <w:r>
        <w:rPr>
          <w:rFonts w:ascii="Times New Roman" w:hAnsi="Times New Roman"/>
          <w:sz w:val="24"/>
          <w:szCs w:val="24"/>
        </w:rPr>
        <w:lastRenderedPageBreak/>
        <w:t>in the Home Energy Reports program reduced their energy consumption due to the program</w:t>
      </w:r>
      <w:r w:rsidR="00330C14">
        <w:rPr>
          <w:rFonts w:ascii="Times New Roman" w:hAnsi="Times New Roman"/>
          <w:sz w:val="24"/>
          <w:szCs w:val="24"/>
        </w:rPr>
        <w:t xml:space="preserve"> which would be applied to the 2014-2015 Conservation Report</w:t>
      </w:r>
      <w:r>
        <w:rPr>
          <w:rFonts w:ascii="Times New Roman" w:hAnsi="Times New Roman"/>
          <w:sz w:val="24"/>
          <w:szCs w:val="24"/>
        </w:rPr>
        <w:t xml:space="preserve">. Secondary objectives are to report on customer satisfaction with the program, and on behavioral and information effects of the program. </w:t>
      </w:r>
      <w:r w:rsidR="00A0345E">
        <w:rPr>
          <w:rFonts w:ascii="Times New Roman" w:hAnsi="Times New Roman"/>
          <w:sz w:val="24"/>
          <w:szCs w:val="24"/>
        </w:rPr>
        <w:t>Once published, the</w:t>
      </w:r>
      <w:r w:rsidRPr="00D96B39">
        <w:rPr>
          <w:rFonts w:ascii="Times New Roman" w:hAnsi="Times New Roman"/>
          <w:sz w:val="24"/>
          <w:szCs w:val="24"/>
        </w:rPr>
        <w:t xml:space="preserve"> results of the evaluation can be viewed at</w:t>
      </w:r>
      <w:r w:rsidR="00210B55">
        <w:rPr>
          <w:rFonts w:ascii="Times New Roman" w:hAnsi="Times New Roman"/>
          <w:sz w:val="24"/>
          <w:szCs w:val="24"/>
        </w:rPr>
        <w:t>:</w:t>
      </w:r>
      <w:r w:rsidRPr="00D96B39">
        <w:rPr>
          <w:rFonts w:ascii="Times New Roman" w:hAnsi="Times New Roman"/>
          <w:sz w:val="24"/>
          <w:szCs w:val="24"/>
        </w:rPr>
        <w:t xml:space="preserve"> </w:t>
      </w:r>
    </w:p>
    <w:p w14:paraId="2451CD55" w14:textId="77777777" w:rsidR="006B0836" w:rsidRDefault="00EB6872" w:rsidP="006B0836">
      <w:pPr>
        <w:jc w:val="both"/>
      </w:pPr>
      <w:hyperlink r:id="rId44" w:history="1">
        <w:r w:rsidR="006B0836" w:rsidRPr="00D96B39">
          <w:rPr>
            <w:rStyle w:val="Hyperlink"/>
            <w:rFonts w:ascii="Times New Roman" w:hAnsi="Times New Roman"/>
            <w:sz w:val="24"/>
            <w:szCs w:val="24"/>
          </w:rPr>
          <w:t>www.pacificorp.com/es/dsm/washington.html</w:t>
        </w:r>
      </w:hyperlink>
      <w:r w:rsidR="006B0836" w:rsidRPr="00D96B39">
        <w:rPr>
          <w:rFonts w:ascii="Times New Roman" w:hAnsi="Times New Roman"/>
          <w:sz w:val="24"/>
          <w:szCs w:val="24"/>
        </w:rPr>
        <w:t xml:space="preserve">. </w:t>
      </w:r>
    </w:p>
    <w:p w14:paraId="2451CD56" w14:textId="77777777" w:rsidR="00875475" w:rsidRDefault="00875475" w:rsidP="00875475"/>
    <w:p w14:paraId="2451CD57" w14:textId="77777777" w:rsidR="0030703F" w:rsidRDefault="0030703F" w:rsidP="005A5750">
      <w:pPr>
        <w:pStyle w:val="Heading2"/>
      </w:pPr>
    </w:p>
    <w:p w14:paraId="2451CD58" w14:textId="77777777" w:rsidR="0030703F" w:rsidRDefault="0030703F" w:rsidP="005A5750">
      <w:pPr>
        <w:pStyle w:val="Heading2"/>
      </w:pPr>
    </w:p>
    <w:p w14:paraId="2451CD59" w14:textId="77777777" w:rsidR="0030703F" w:rsidRDefault="0030703F" w:rsidP="005A5750">
      <w:pPr>
        <w:pStyle w:val="Heading2"/>
        <w:sectPr w:rsidR="0030703F" w:rsidSect="00EB7445">
          <w:pgSz w:w="12240" w:h="15840"/>
          <w:pgMar w:top="1440" w:right="1440" w:bottom="1440" w:left="1440" w:header="720" w:footer="720" w:gutter="0"/>
          <w:cols w:space="720"/>
          <w:titlePg/>
          <w:docGrid w:linePitch="360"/>
        </w:sectPr>
      </w:pPr>
    </w:p>
    <w:p w14:paraId="2451CD5A" w14:textId="77777777" w:rsidR="005A5750" w:rsidRDefault="005A5750" w:rsidP="005A5750">
      <w:pPr>
        <w:pStyle w:val="Heading2"/>
      </w:pPr>
      <w:bookmarkStart w:id="38" w:name="_Toc449510489"/>
      <w:r w:rsidRPr="00CA4A03">
        <w:lastRenderedPageBreak/>
        <w:t>Refrigerator Recycling</w:t>
      </w:r>
      <w:bookmarkEnd w:id="38"/>
    </w:p>
    <w:p w14:paraId="2451CD5B" w14:textId="77777777" w:rsidR="005A5750" w:rsidRPr="009927F1" w:rsidRDefault="005A5750" w:rsidP="005A5750"/>
    <w:p w14:paraId="2451CD5C" w14:textId="77777777" w:rsidR="00091BE1" w:rsidRDefault="00091BE1" w:rsidP="00091BE1">
      <w:pPr>
        <w:jc w:val="both"/>
        <w:rPr>
          <w:rFonts w:ascii="Times New Roman" w:hAnsi="Times New Roman" w:cs="Times New Roman"/>
          <w:sz w:val="24"/>
          <w:szCs w:val="24"/>
        </w:rPr>
      </w:pPr>
      <w:r w:rsidRPr="00CA4A03">
        <w:rPr>
          <w:rFonts w:ascii="Times New Roman" w:hAnsi="Times New Roman" w:cs="Times New Roman"/>
          <w:sz w:val="24"/>
          <w:szCs w:val="24"/>
        </w:rPr>
        <w:t xml:space="preserve">The </w:t>
      </w:r>
      <w:r w:rsidR="00DA457A">
        <w:rPr>
          <w:rFonts w:ascii="Times New Roman" w:hAnsi="Times New Roman" w:cs="Times New Roman"/>
          <w:i/>
          <w:sz w:val="24"/>
          <w:szCs w:val="24"/>
        </w:rPr>
        <w:t>Refrigerator Recycling</w:t>
      </w:r>
      <w:r w:rsidRPr="007716B1">
        <w:rPr>
          <w:rFonts w:ascii="Times New Roman" w:hAnsi="Times New Roman" w:cs="Times New Roman"/>
          <w:sz w:val="24"/>
          <w:szCs w:val="24"/>
        </w:rPr>
        <w:t xml:space="preserve"> </w:t>
      </w:r>
      <w:r w:rsidRPr="007E0A3C">
        <w:rPr>
          <w:rFonts w:ascii="Times New Roman" w:hAnsi="Times New Roman" w:cs="Times New Roman"/>
          <w:sz w:val="24"/>
          <w:szCs w:val="24"/>
        </w:rPr>
        <w:t>(</w:t>
      </w:r>
      <w:r w:rsidR="00330C14">
        <w:rPr>
          <w:rFonts w:ascii="Times New Roman" w:hAnsi="Times New Roman" w:cs="Times New Roman"/>
          <w:sz w:val="24"/>
          <w:szCs w:val="24"/>
        </w:rPr>
        <w:t xml:space="preserve">also known as </w:t>
      </w:r>
      <w:r w:rsidRPr="007E0A3C">
        <w:rPr>
          <w:rFonts w:ascii="Times New Roman" w:hAnsi="Times New Roman" w:cs="Times New Roman"/>
          <w:sz w:val="24"/>
          <w:szCs w:val="24"/>
        </w:rPr>
        <w:t>“See ya later, refrigerator</w:t>
      </w:r>
      <w:r w:rsidRPr="007716B1">
        <w:rPr>
          <w:rFonts w:ascii="Times New Roman" w:hAnsi="Times New Roman" w:cs="Times New Roman"/>
        </w:rPr>
        <w:t>®</w:t>
      </w:r>
      <w:r w:rsidR="006F432A">
        <w:rPr>
          <w:rFonts w:ascii="Times New Roman" w:hAnsi="Times New Roman" w:cs="Times New Roman"/>
          <w:sz w:val="24"/>
          <w:szCs w:val="24"/>
        </w:rPr>
        <w:t>)</w:t>
      </w:r>
      <w:r>
        <w:rPr>
          <w:rFonts w:ascii="Times New Roman" w:hAnsi="Times New Roman" w:cs="Times New Roman"/>
          <w:sz w:val="24"/>
          <w:szCs w:val="24"/>
        </w:rPr>
        <w:t xml:space="preserve"> </w:t>
      </w:r>
      <w:r w:rsidRPr="007716B1">
        <w:rPr>
          <w:rFonts w:ascii="Times New Roman" w:hAnsi="Times New Roman" w:cs="Times New Roman"/>
          <w:sz w:val="24"/>
          <w:szCs w:val="24"/>
        </w:rPr>
        <w:t xml:space="preserve">program </w:t>
      </w:r>
      <w:r w:rsidR="00330C14">
        <w:rPr>
          <w:rFonts w:ascii="Times New Roman" w:hAnsi="Times New Roman" w:cs="Times New Roman"/>
          <w:sz w:val="24"/>
          <w:szCs w:val="24"/>
        </w:rPr>
        <w:t>was</w:t>
      </w:r>
      <w:r w:rsidRPr="007716B1">
        <w:rPr>
          <w:rFonts w:ascii="Times New Roman" w:hAnsi="Times New Roman" w:cs="Times New Roman"/>
          <w:sz w:val="24"/>
          <w:szCs w:val="24"/>
        </w:rPr>
        <w:t xml:space="preserve"> designed to decrease electricity us</w:t>
      </w:r>
      <w:r>
        <w:rPr>
          <w:rFonts w:ascii="Times New Roman" w:hAnsi="Times New Roman" w:cs="Times New Roman"/>
          <w:sz w:val="24"/>
          <w:szCs w:val="24"/>
        </w:rPr>
        <w:t>e</w:t>
      </w:r>
      <w:r w:rsidRPr="007716B1">
        <w:rPr>
          <w:rFonts w:ascii="Times New Roman" w:hAnsi="Times New Roman" w:cs="Times New Roman"/>
          <w:sz w:val="24"/>
          <w:szCs w:val="24"/>
        </w:rPr>
        <w:t xml:space="preserve"> (kWh) through voluntary removal and recycling of inefficient refrigera</w:t>
      </w:r>
      <w:r w:rsidRPr="00CA4A03">
        <w:rPr>
          <w:rFonts w:ascii="Times New Roman" w:hAnsi="Times New Roman" w:cs="Times New Roman"/>
          <w:sz w:val="24"/>
          <w:szCs w:val="24"/>
        </w:rPr>
        <w:t>tors and freezers</w:t>
      </w:r>
      <w:r w:rsidR="009C0C88">
        <w:rPr>
          <w:rFonts w:ascii="Times New Roman" w:hAnsi="Times New Roman" w:cs="Times New Roman"/>
          <w:sz w:val="24"/>
          <w:szCs w:val="24"/>
        </w:rPr>
        <w:t>.</w:t>
      </w:r>
      <w:r>
        <w:rPr>
          <w:rFonts w:ascii="Times New Roman" w:hAnsi="Times New Roman" w:cs="Times New Roman"/>
          <w:sz w:val="24"/>
          <w:szCs w:val="24"/>
        </w:rPr>
        <w:t xml:space="preserve"> </w:t>
      </w:r>
      <w:r w:rsidR="009C0C88">
        <w:rPr>
          <w:rFonts w:ascii="Times New Roman" w:hAnsi="Times New Roman" w:cs="Times New Roman"/>
          <w:sz w:val="24"/>
          <w:szCs w:val="24"/>
        </w:rPr>
        <w:t xml:space="preserve">The program was available to </w:t>
      </w:r>
      <w:r>
        <w:rPr>
          <w:rFonts w:ascii="Times New Roman" w:hAnsi="Times New Roman" w:cs="Times New Roman"/>
          <w:sz w:val="24"/>
          <w:szCs w:val="24"/>
        </w:rPr>
        <w:t>residential</w:t>
      </w:r>
      <w:r w:rsidR="009C0C88">
        <w:rPr>
          <w:rFonts w:ascii="Times New Roman" w:hAnsi="Times New Roman" w:cs="Times New Roman"/>
          <w:sz w:val="24"/>
          <w:szCs w:val="24"/>
        </w:rPr>
        <w:t>,</w:t>
      </w:r>
      <w:r>
        <w:rPr>
          <w:rFonts w:ascii="Times New Roman" w:hAnsi="Times New Roman" w:cs="Times New Roman"/>
          <w:sz w:val="24"/>
          <w:szCs w:val="24"/>
        </w:rPr>
        <w:t xml:space="preserve"> business</w:t>
      </w:r>
      <w:r w:rsidR="009C0C88">
        <w:rPr>
          <w:rFonts w:ascii="Times New Roman" w:hAnsi="Times New Roman" w:cs="Times New Roman"/>
          <w:sz w:val="24"/>
          <w:szCs w:val="24"/>
        </w:rPr>
        <w:t>es and</w:t>
      </w:r>
      <w:r>
        <w:rPr>
          <w:rFonts w:ascii="Times New Roman" w:hAnsi="Times New Roman" w:cs="Times New Roman"/>
          <w:sz w:val="24"/>
          <w:szCs w:val="24"/>
        </w:rPr>
        <w:t xml:space="preserve"> appliance retailers</w:t>
      </w:r>
      <w:r w:rsidRPr="00CA4A03">
        <w:rPr>
          <w:rFonts w:ascii="Times New Roman" w:hAnsi="Times New Roman" w:cs="Times New Roman"/>
          <w:sz w:val="24"/>
          <w:szCs w:val="24"/>
        </w:rPr>
        <w:t xml:space="preserve">. </w:t>
      </w:r>
      <w:r w:rsidR="009C0C88">
        <w:rPr>
          <w:rFonts w:ascii="Times New Roman" w:hAnsi="Times New Roman" w:cs="Times New Roman"/>
          <w:sz w:val="24"/>
          <w:szCs w:val="24"/>
        </w:rPr>
        <w:t xml:space="preserve">Customers </w:t>
      </w:r>
      <w:r w:rsidR="009C0C88" w:rsidRPr="00CA4A03">
        <w:rPr>
          <w:rFonts w:ascii="Times New Roman" w:hAnsi="Times New Roman" w:cs="Times New Roman"/>
          <w:sz w:val="24"/>
          <w:szCs w:val="24"/>
        </w:rPr>
        <w:t>receive</w:t>
      </w:r>
      <w:r w:rsidR="009C0C88">
        <w:rPr>
          <w:rFonts w:ascii="Times New Roman" w:hAnsi="Times New Roman" w:cs="Times New Roman"/>
          <w:sz w:val="24"/>
          <w:szCs w:val="24"/>
        </w:rPr>
        <w:t>d</w:t>
      </w:r>
      <w:r w:rsidRPr="00CA4A03">
        <w:rPr>
          <w:rFonts w:ascii="Times New Roman" w:hAnsi="Times New Roman" w:cs="Times New Roman"/>
          <w:sz w:val="24"/>
          <w:szCs w:val="24"/>
        </w:rPr>
        <w:t xml:space="preserve"> a $</w:t>
      </w:r>
      <w:r>
        <w:rPr>
          <w:rFonts w:ascii="Times New Roman" w:hAnsi="Times New Roman" w:cs="Times New Roman"/>
          <w:sz w:val="24"/>
          <w:szCs w:val="24"/>
        </w:rPr>
        <w:t>3</w:t>
      </w:r>
      <w:r w:rsidRPr="00CA4A03">
        <w:rPr>
          <w:rFonts w:ascii="Times New Roman" w:hAnsi="Times New Roman" w:cs="Times New Roman"/>
          <w:sz w:val="24"/>
          <w:szCs w:val="24"/>
        </w:rPr>
        <w:t>0 incentive for each qualifying refrigerator or freezer r</w:t>
      </w:r>
      <w:r w:rsidR="009C0C88">
        <w:rPr>
          <w:rFonts w:ascii="Times New Roman" w:hAnsi="Times New Roman" w:cs="Times New Roman"/>
          <w:sz w:val="24"/>
          <w:szCs w:val="24"/>
        </w:rPr>
        <w:t>ecycled through the program and</w:t>
      </w:r>
      <w:r>
        <w:rPr>
          <w:rFonts w:ascii="Times New Roman" w:hAnsi="Times New Roman" w:cs="Times New Roman"/>
          <w:sz w:val="24"/>
          <w:szCs w:val="24"/>
        </w:rPr>
        <w:t xml:space="preserve"> </w:t>
      </w:r>
      <w:r w:rsidRPr="00CA4A03">
        <w:rPr>
          <w:rFonts w:ascii="Times New Roman" w:hAnsi="Times New Roman" w:cs="Times New Roman"/>
          <w:sz w:val="24"/>
          <w:szCs w:val="24"/>
        </w:rPr>
        <w:t>an energy-saving kit which i</w:t>
      </w:r>
      <w:r w:rsidR="009C0C88">
        <w:rPr>
          <w:rFonts w:ascii="Times New Roman" w:hAnsi="Times New Roman" w:cs="Times New Roman"/>
          <w:sz w:val="24"/>
          <w:szCs w:val="24"/>
        </w:rPr>
        <w:t>ncluded</w:t>
      </w:r>
      <w:r w:rsidRPr="00CA4A03">
        <w:rPr>
          <w:rFonts w:ascii="Times New Roman" w:hAnsi="Times New Roman" w:cs="Times New Roman"/>
          <w:sz w:val="24"/>
          <w:szCs w:val="24"/>
        </w:rPr>
        <w:t xml:space="preserve"> two CFLs, a refrigerator thermometer card, energy-savings educational materials, and information on other efficiency programs relevant to residential customers</w:t>
      </w:r>
      <w:r>
        <w:rPr>
          <w:rFonts w:ascii="Times New Roman" w:hAnsi="Times New Roman" w:cs="Times New Roman"/>
          <w:sz w:val="24"/>
          <w:szCs w:val="24"/>
        </w:rPr>
        <w:t xml:space="preserve"> Retailers received an incentive up to $20 for each recycled appliance. </w:t>
      </w:r>
      <w:r w:rsidR="009C0C88">
        <w:rPr>
          <w:rFonts w:ascii="Times New Roman" w:hAnsi="Times New Roman" w:cs="Times New Roman"/>
          <w:sz w:val="24"/>
          <w:szCs w:val="24"/>
        </w:rPr>
        <w:t>The program was cost effective in 2015 as shown in Table 13</w:t>
      </w:r>
      <w:r w:rsidR="00CA5EA4">
        <w:rPr>
          <w:rFonts w:ascii="Times New Roman" w:hAnsi="Times New Roman" w:cs="Times New Roman"/>
          <w:sz w:val="24"/>
          <w:szCs w:val="24"/>
        </w:rPr>
        <w:t xml:space="preserve"> based on </w:t>
      </w:r>
      <w:r w:rsidR="00050677">
        <w:rPr>
          <w:rFonts w:ascii="Times New Roman" w:hAnsi="Times New Roman" w:cs="Times New Roman"/>
          <w:sz w:val="24"/>
          <w:szCs w:val="24"/>
        </w:rPr>
        <w:t xml:space="preserve">planned </w:t>
      </w:r>
      <w:r w:rsidR="00CA5EA4">
        <w:rPr>
          <w:rFonts w:ascii="Times New Roman" w:hAnsi="Times New Roman" w:cs="Times New Roman"/>
          <w:sz w:val="24"/>
          <w:szCs w:val="24"/>
        </w:rPr>
        <w:t>2014-2015 UES values</w:t>
      </w:r>
      <w:r w:rsidR="009C0C88">
        <w:rPr>
          <w:rFonts w:ascii="Times New Roman" w:hAnsi="Times New Roman" w:cs="Times New Roman"/>
          <w:sz w:val="24"/>
          <w:szCs w:val="24"/>
        </w:rPr>
        <w:t>.</w:t>
      </w:r>
    </w:p>
    <w:p w14:paraId="2451CD5D" w14:textId="77777777" w:rsidR="009C0C88" w:rsidRDefault="009C0C88" w:rsidP="00091BE1">
      <w:pPr>
        <w:jc w:val="both"/>
        <w:rPr>
          <w:rFonts w:ascii="Times New Roman" w:hAnsi="Times New Roman" w:cs="Times New Roman"/>
          <w:sz w:val="24"/>
          <w:szCs w:val="24"/>
        </w:rPr>
      </w:pPr>
    </w:p>
    <w:p w14:paraId="2451CD5E" w14:textId="77777777" w:rsidR="009C0C88" w:rsidRPr="007716B1" w:rsidRDefault="009C0C88" w:rsidP="009C0C88">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13</w:t>
      </w:r>
    </w:p>
    <w:p w14:paraId="2451CD5F" w14:textId="77777777" w:rsidR="009C0C88" w:rsidRDefault="009C0C88" w:rsidP="009C0C88">
      <w:pPr>
        <w:jc w:val="center"/>
        <w:rPr>
          <w:rFonts w:ascii="Times New Roman" w:hAnsi="Times New Roman" w:cs="Times New Roman"/>
          <w:color w:val="548DD4" w:themeColor="text2" w:themeTint="99"/>
          <w:sz w:val="24"/>
          <w:szCs w:val="24"/>
        </w:rPr>
      </w:pPr>
      <w:r w:rsidRPr="00CA4A03">
        <w:rPr>
          <w:rFonts w:ascii="Times New Roman" w:hAnsi="Times New Roman" w:cs="Times New Roman"/>
          <w:color w:val="548DD4" w:themeColor="text2" w:themeTint="99"/>
          <w:sz w:val="24"/>
          <w:szCs w:val="24"/>
        </w:rPr>
        <w:t>Cost</w:t>
      </w:r>
      <w:r>
        <w:rPr>
          <w:rFonts w:ascii="Times New Roman" w:hAnsi="Times New Roman" w:cs="Times New Roman"/>
          <w:color w:val="548DD4" w:themeColor="text2" w:themeTint="99"/>
          <w:sz w:val="24"/>
          <w:szCs w:val="24"/>
        </w:rPr>
        <w:t xml:space="preserve"> E</w:t>
      </w:r>
      <w:r w:rsidRPr="00CA4A03">
        <w:rPr>
          <w:rFonts w:ascii="Times New Roman" w:hAnsi="Times New Roman" w:cs="Times New Roman"/>
          <w:color w:val="548DD4" w:themeColor="text2" w:themeTint="99"/>
          <w:sz w:val="24"/>
          <w:szCs w:val="24"/>
        </w:rPr>
        <w:t>ffectiveness for Refrigerator Recycling</w:t>
      </w:r>
    </w:p>
    <w:p w14:paraId="2451CD60" w14:textId="77777777" w:rsidR="009C0C88" w:rsidRPr="007716B1" w:rsidRDefault="009C0C88" w:rsidP="009C0C88">
      <w:pPr>
        <w:jc w:val="center"/>
        <w:rPr>
          <w:rFonts w:ascii="Times New Roman" w:hAnsi="Times New Roman" w:cs="Times New Roman"/>
          <w:color w:val="548DD4" w:themeColor="text2" w:themeTint="99"/>
          <w:sz w:val="24"/>
          <w:szCs w:val="24"/>
        </w:rPr>
      </w:pPr>
    </w:p>
    <w:tbl>
      <w:tblPr>
        <w:tblStyle w:val="TableGrid"/>
        <w:tblW w:w="5994" w:type="dxa"/>
        <w:jc w:val="center"/>
        <w:tblLook w:val="04A0" w:firstRow="1" w:lastRow="0" w:firstColumn="1" w:lastColumn="0" w:noHBand="0" w:noVBand="1"/>
      </w:tblPr>
      <w:tblGrid>
        <w:gridCol w:w="4464"/>
        <w:gridCol w:w="1530"/>
      </w:tblGrid>
      <w:tr w:rsidR="009C0C88" w14:paraId="2451CD63" w14:textId="77777777" w:rsidTr="009C0C88">
        <w:trPr>
          <w:jc w:val="center"/>
        </w:trPr>
        <w:tc>
          <w:tcPr>
            <w:tcW w:w="4464" w:type="dxa"/>
            <w:shd w:val="clear" w:color="auto" w:fill="C6D9F1" w:themeFill="text2" w:themeFillTint="33"/>
          </w:tcPr>
          <w:p w14:paraId="2451CD61" w14:textId="77777777" w:rsidR="009C0C88" w:rsidRPr="00986EBF" w:rsidRDefault="009C0C88" w:rsidP="008465BE">
            <w:pPr>
              <w:rPr>
                <w:rFonts w:cs="Times New Roman"/>
                <w:b/>
                <w:sz w:val="20"/>
                <w:szCs w:val="24"/>
              </w:rPr>
            </w:pPr>
          </w:p>
        </w:tc>
        <w:tc>
          <w:tcPr>
            <w:tcW w:w="1530" w:type="dxa"/>
            <w:shd w:val="clear" w:color="auto" w:fill="C6D9F1" w:themeFill="text2" w:themeFillTint="33"/>
            <w:vAlign w:val="center"/>
          </w:tcPr>
          <w:p w14:paraId="2451CD62" w14:textId="77777777" w:rsidR="009C0C88" w:rsidRPr="00986EBF" w:rsidRDefault="009C0C88" w:rsidP="008465BE">
            <w:pPr>
              <w:jc w:val="center"/>
              <w:rPr>
                <w:rFonts w:cs="Times New Roman"/>
                <w:b/>
                <w:sz w:val="20"/>
                <w:szCs w:val="24"/>
              </w:rPr>
            </w:pPr>
            <w:r w:rsidRPr="00986EBF">
              <w:rPr>
                <w:rFonts w:cs="Times New Roman"/>
                <w:b/>
                <w:sz w:val="20"/>
                <w:szCs w:val="24"/>
              </w:rPr>
              <w:t>B/C Ratio</w:t>
            </w:r>
          </w:p>
        </w:tc>
      </w:tr>
      <w:tr w:rsidR="009C0C88" w14:paraId="2451CD66" w14:textId="77777777" w:rsidTr="009C0C88">
        <w:trPr>
          <w:jc w:val="center"/>
        </w:trPr>
        <w:tc>
          <w:tcPr>
            <w:tcW w:w="4464" w:type="dxa"/>
          </w:tcPr>
          <w:p w14:paraId="2451CD64" w14:textId="77777777" w:rsidR="009C0C88" w:rsidRPr="00986EBF" w:rsidRDefault="009C0C88" w:rsidP="008465BE">
            <w:pPr>
              <w:rPr>
                <w:rFonts w:cs="Times New Roman"/>
                <w:sz w:val="20"/>
                <w:szCs w:val="24"/>
              </w:rPr>
            </w:pPr>
            <w:r>
              <w:rPr>
                <w:rFonts w:cs="Times New Roman"/>
                <w:sz w:val="20"/>
                <w:szCs w:val="24"/>
              </w:rPr>
              <w:t xml:space="preserve">PacifiCorp Total Resource Test plus 10% </w:t>
            </w:r>
          </w:p>
        </w:tc>
        <w:tc>
          <w:tcPr>
            <w:tcW w:w="1530" w:type="dxa"/>
            <w:vAlign w:val="center"/>
          </w:tcPr>
          <w:p w14:paraId="2451CD65" w14:textId="77777777" w:rsidR="009C0C88" w:rsidRPr="00986EBF" w:rsidRDefault="00917AB6" w:rsidP="008465BE">
            <w:pPr>
              <w:jc w:val="center"/>
              <w:rPr>
                <w:rFonts w:cs="Times New Roman"/>
                <w:sz w:val="20"/>
                <w:szCs w:val="24"/>
              </w:rPr>
            </w:pPr>
            <w:r>
              <w:rPr>
                <w:rFonts w:cs="Times New Roman"/>
                <w:sz w:val="20"/>
                <w:szCs w:val="24"/>
              </w:rPr>
              <w:t>1.81</w:t>
            </w:r>
          </w:p>
        </w:tc>
      </w:tr>
      <w:tr w:rsidR="009C0C88" w14:paraId="2451CD69" w14:textId="77777777" w:rsidTr="009C0C88">
        <w:trPr>
          <w:jc w:val="center"/>
        </w:trPr>
        <w:tc>
          <w:tcPr>
            <w:tcW w:w="4464" w:type="dxa"/>
          </w:tcPr>
          <w:p w14:paraId="2451CD67" w14:textId="77777777" w:rsidR="009C0C88" w:rsidRPr="00986EBF" w:rsidRDefault="009C0C88" w:rsidP="008465BE">
            <w:pPr>
              <w:rPr>
                <w:rFonts w:cs="Times New Roman"/>
                <w:sz w:val="20"/>
                <w:szCs w:val="24"/>
              </w:rPr>
            </w:pPr>
            <w:r>
              <w:rPr>
                <w:rFonts w:cs="Times New Roman"/>
                <w:sz w:val="20"/>
                <w:szCs w:val="24"/>
              </w:rPr>
              <w:t xml:space="preserve">Total Resource Cost Test </w:t>
            </w:r>
          </w:p>
        </w:tc>
        <w:tc>
          <w:tcPr>
            <w:tcW w:w="1530" w:type="dxa"/>
            <w:vAlign w:val="center"/>
          </w:tcPr>
          <w:p w14:paraId="2451CD68" w14:textId="77777777" w:rsidR="009C0C88" w:rsidRPr="00986EBF" w:rsidRDefault="00917AB6" w:rsidP="008465BE">
            <w:pPr>
              <w:jc w:val="center"/>
              <w:rPr>
                <w:rFonts w:cs="Times New Roman"/>
                <w:sz w:val="20"/>
                <w:szCs w:val="24"/>
              </w:rPr>
            </w:pPr>
            <w:r>
              <w:rPr>
                <w:rFonts w:cs="Times New Roman"/>
                <w:sz w:val="20"/>
                <w:szCs w:val="24"/>
              </w:rPr>
              <w:t>1.65</w:t>
            </w:r>
          </w:p>
        </w:tc>
      </w:tr>
      <w:tr w:rsidR="009C0C88" w14:paraId="2451CD6C" w14:textId="77777777" w:rsidTr="009C0C88">
        <w:trPr>
          <w:jc w:val="center"/>
        </w:trPr>
        <w:tc>
          <w:tcPr>
            <w:tcW w:w="4464" w:type="dxa"/>
          </w:tcPr>
          <w:p w14:paraId="2451CD6A" w14:textId="77777777" w:rsidR="009C0C88" w:rsidRPr="00986EBF" w:rsidRDefault="009C0C88" w:rsidP="008465BE">
            <w:pPr>
              <w:rPr>
                <w:rFonts w:cs="Times New Roman"/>
                <w:sz w:val="20"/>
                <w:szCs w:val="24"/>
              </w:rPr>
            </w:pPr>
            <w:r w:rsidRPr="00986EBF">
              <w:rPr>
                <w:rFonts w:cs="Times New Roman"/>
                <w:sz w:val="20"/>
                <w:szCs w:val="24"/>
              </w:rPr>
              <w:t xml:space="preserve">Utility Cost Test </w:t>
            </w:r>
          </w:p>
        </w:tc>
        <w:tc>
          <w:tcPr>
            <w:tcW w:w="1530" w:type="dxa"/>
            <w:vAlign w:val="center"/>
          </w:tcPr>
          <w:p w14:paraId="2451CD6B" w14:textId="77777777" w:rsidR="009C0C88" w:rsidRPr="00986EBF" w:rsidRDefault="00917AB6" w:rsidP="008465BE">
            <w:pPr>
              <w:jc w:val="center"/>
              <w:rPr>
                <w:rFonts w:cs="Times New Roman"/>
                <w:sz w:val="20"/>
                <w:szCs w:val="24"/>
              </w:rPr>
            </w:pPr>
            <w:r>
              <w:rPr>
                <w:rFonts w:cs="Times New Roman"/>
                <w:sz w:val="20"/>
                <w:szCs w:val="24"/>
              </w:rPr>
              <w:t>1.65</w:t>
            </w:r>
          </w:p>
        </w:tc>
      </w:tr>
      <w:tr w:rsidR="009C0C88" w14:paraId="2451CD6F" w14:textId="77777777" w:rsidTr="009C0C88">
        <w:trPr>
          <w:jc w:val="center"/>
        </w:trPr>
        <w:tc>
          <w:tcPr>
            <w:tcW w:w="4464" w:type="dxa"/>
          </w:tcPr>
          <w:p w14:paraId="2451CD6D" w14:textId="77777777" w:rsidR="009C0C88" w:rsidRPr="00986EBF" w:rsidRDefault="009C0C88" w:rsidP="008465BE">
            <w:pPr>
              <w:rPr>
                <w:rFonts w:cs="Times New Roman"/>
                <w:sz w:val="20"/>
                <w:szCs w:val="24"/>
              </w:rPr>
            </w:pPr>
            <w:r>
              <w:rPr>
                <w:rFonts w:cs="Times New Roman"/>
                <w:sz w:val="20"/>
                <w:szCs w:val="24"/>
              </w:rPr>
              <w:t>Participant Cost Test</w:t>
            </w:r>
          </w:p>
        </w:tc>
        <w:tc>
          <w:tcPr>
            <w:tcW w:w="1530" w:type="dxa"/>
            <w:vAlign w:val="center"/>
          </w:tcPr>
          <w:p w14:paraId="2451CD6E" w14:textId="77777777" w:rsidR="009C0C88" w:rsidRPr="00986EBF" w:rsidRDefault="00917AB6" w:rsidP="008465BE">
            <w:pPr>
              <w:jc w:val="center"/>
              <w:rPr>
                <w:rFonts w:cs="Times New Roman"/>
                <w:sz w:val="20"/>
                <w:szCs w:val="24"/>
              </w:rPr>
            </w:pPr>
            <w:r>
              <w:rPr>
                <w:rFonts w:cs="Times New Roman"/>
                <w:sz w:val="20"/>
                <w:szCs w:val="24"/>
              </w:rPr>
              <w:t>N/A</w:t>
            </w:r>
          </w:p>
        </w:tc>
      </w:tr>
      <w:tr w:rsidR="009C0C88" w14:paraId="2451CD72" w14:textId="77777777" w:rsidTr="009C0C88">
        <w:trPr>
          <w:jc w:val="center"/>
        </w:trPr>
        <w:tc>
          <w:tcPr>
            <w:tcW w:w="4464" w:type="dxa"/>
          </w:tcPr>
          <w:p w14:paraId="2451CD70" w14:textId="77777777" w:rsidR="009C0C88" w:rsidRPr="00986EBF" w:rsidRDefault="009C0C88" w:rsidP="008465BE">
            <w:pPr>
              <w:rPr>
                <w:rFonts w:cs="Times New Roman"/>
                <w:sz w:val="20"/>
                <w:szCs w:val="24"/>
              </w:rPr>
            </w:pPr>
            <w:r>
              <w:rPr>
                <w:rFonts w:cs="Times New Roman"/>
                <w:sz w:val="20"/>
                <w:szCs w:val="24"/>
              </w:rPr>
              <w:t xml:space="preserve">Rate Payer Impact </w:t>
            </w:r>
            <w:r w:rsidR="00CE321D">
              <w:rPr>
                <w:rFonts w:cs="Times New Roman"/>
                <w:sz w:val="20"/>
                <w:szCs w:val="24"/>
              </w:rPr>
              <w:t>Cost Test</w:t>
            </w:r>
          </w:p>
        </w:tc>
        <w:tc>
          <w:tcPr>
            <w:tcW w:w="1530" w:type="dxa"/>
            <w:vAlign w:val="center"/>
          </w:tcPr>
          <w:p w14:paraId="2451CD71" w14:textId="77777777" w:rsidR="009C0C88" w:rsidRPr="00986EBF" w:rsidRDefault="00917AB6" w:rsidP="008465BE">
            <w:pPr>
              <w:jc w:val="center"/>
              <w:rPr>
                <w:rFonts w:cs="Times New Roman"/>
                <w:sz w:val="20"/>
                <w:szCs w:val="24"/>
              </w:rPr>
            </w:pPr>
            <w:r>
              <w:rPr>
                <w:rFonts w:cs="Times New Roman"/>
                <w:sz w:val="20"/>
                <w:szCs w:val="24"/>
              </w:rPr>
              <w:t>0.44</w:t>
            </w:r>
          </w:p>
        </w:tc>
      </w:tr>
    </w:tbl>
    <w:p w14:paraId="2451CD73" w14:textId="77777777" w:rsidR="00875475" w:rsidRDefault="00875475" w:rsidP="00875475">
      <w:pPr>
        <w:jc w:val="both"/>
        <w:rPr>
          <w:rFonts w:ascii="Times New Roman" w:hAnsi="Times New Roman" w:cs="Times New Roman"/>
          <w:sz w:val="24"/>
          <w:szCs w:val="24"/>
        </w:rPr>
      </w:pPr>
    </w:p>
    <w:p w14:paraId="2451CD74" w14:textId="77777777" w:rsidR="00330C14" w:rsidRDefault="00330C14" w:rsidP="00875475">
      <w:pPr>
        <w:jc w:val="both"/>
        <w:rPr>
          <w:rFonts w:ascii="Times New Roman" w:hAnsi="Times New Roman" w:cs="Times New Roman"/>
          <w:sz w:val="24"/>
          <w:szCs w:val="24"/>
        </w:rPr>
      </w:pPr>
    </w:p>
    <w:p w14:paraId="2451CD75" w14:textId="77777777" w:rsidR="00875475" w:rsidRDefault="00875475" w:rsidP="00875475">
      <w:pPr>
        <w:jc w:val="both"/>
        <w:rPr>
          <w:rFonts w:ascii="Times New Roman" w:hAnsi="Times New Roman" w:cs="Times New Roman"/>
          <w:sz w:val="24"/>
          <w:szCs w:val="24"/>
        </w:rPr>
      </w:pPr>
      <w:r w:rsidRPr="00CA4A03">
        <w:rPr>
          <w:rFonts w:ascii="Times New Roman" w:hAnsi="Times New Roman" w:cs="Times New Roman"/>
          <w:sz w:val="24"/>
          <w:szCs w:val="24"/>
        </w:rPr>
        <w:t>Program participa</w:t>
      </w:r>
      <w:r>
        <w:rPr>
          <w:rFonts w:ascii="Times New Roman" w:hAnsi="Times New Roman" w:cs="Times New Roman"/>
          <w:sz w:val="24"/>
          <w:szCs w:val="24"/>
        </w:rPr>
        <w:t>tion by measure for the current period is provided in Table 1</w:t>
      </w:r>
      <w:r w:rsidR="009C0C88">
        <w:rPr>
          <w:rFonts w:ascii="Times New Roman" w:hAnsi="Times New Roman" w:cs="Times New Roman"/>
          <w:sz w:val="24"/>
          <w:szCs w:val="24"/>
        </w:rPr>
        <w:t>4</w:t>
      </w:r>
      <w:r w:rsidRPr="00CA4A03">
        <w:rPr>
          <w:rFonts w:ascii="Times New Roman" w:hAnsi="Times New Roman" w:cs="Times New Roman"/>
          <w:sz w:val="24"/>
          <w:szCs w:val="24"/>
        </w:rPr>
        <w:t>.</w:t>
      </w:r>
      <w:r>
        <w:rPr>
          <w:rFonts w:ascii="Times New Roman" w:hAnsi="Times New Roman" w:cs="Times New Roman"/>
          <w:sz w:val="24"/>
          <w:szCs w:val="24"/>
        </w:rPr>
        <w:t xml:space="preserve"> </w:t>
      </w:r>
    </w:p>
    <w:p w14:paraId="2451CD76" w14:textId="77777777" w:rsidR="00875475" w:rsidRDefault="00875475" w:rsidP="00875475">
      <w:pPr>
        <w:jc w:val="both"/>
        <w:rPr>
          <w:rFonts w:ascii="Times New Roman" w:hAnsi="Times New Roman" w:cs="Times New Roman"/>
          <w:sz w:val="24"/>
          <w:szCs w:val="24"/>
        </w:rPr>
      </w:pPr>
    </w:p>
    <w:p w14:paraId="2451CD77" w14:textId="77777777" w:rsidR="00875475" w:rsidRPr="007716B1" w:rsidRDefault="00875475" w:rsidP="00875475">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w:t>
      </w:r>
      <w:r w:rsidR="009C0C88">
        <w:rPr>
          <w:rFonts w:ascii="Times New Roman" w:hAnsi="Times New Roman" w:cs="Times New Roman"/>
          <w:color w:val="548DD4" w:themeColor="text2" w:themeTint="99"/>
          <w:sz w:val="24"/>
          <w:szCs w:val="24"/>
        </w:rPr>
        <w:t>4</w:t>
      </w:r>
    </w:p>
    <w:p w14:paraId="2451CD78" w14:textId="77777777" w:rsidR="00875475" w:rsidRPr="007716B1" w:rsidRDefault="00875475" w:rsidP="00875475">
      <w:pPr>
        <w:jc w:val="center"/>
        <w:rPr>
          <w:rFonts w:ascii="Times New Roman" w:hAnsi="Times New Roman" w:cs="Times New Roman"/>
          <w:color w:val="548DD4" w:themeColor="text2" w:themeTint="99"/>
          <w:sz w:val="24"/>
          <w:szCs w:val="24"/>
        </w:rPr>
      </w:pPr>
      <w:r w:rsidRPr="00CA4A03">
        <w:rPr>
          <w:rFonts w:ascii="Times New Roman" w:hAnsi="Times New Roman" w:cs="Times New Roman"/>
          <w:color w:val="548DD4" w:themeColor="text2" w:themeTint="99"/>
          <w:sz w:val="24"/>
          <w:szCs w:val="24"/>
        </w:rPr>
        <w:t>Eligible Program Measures (Units)</w:t>
      </w:r>
    </w:p>
    <w:p w14:paraId="2451CD79" w14:textId="77777777" w:rsidR="00875475" w:rsidRPr="007716B1" w:rsidRDefault="00875475" w:rsidP="00875475">
      <w:pPr>
        <w:rPr>
          <w:rFonts w:ascii="Times New Roman" w:hAnsi="Times New Roman" w:cs="Times New Roman"/>
          <w:sz w:val="24"/>
          <w:szCs w:val="24"/>
        </w:rPr>
      </w:pPr>
    </w:p>
    <w:p w14:paraId="2451CD7A" w14:textId="77777777" w:rsidR="00875475" w:rsidRDefault="009C0C88" w:rsidP="00860E7D">
      <w:pPr>
        <w:jc w:val="center"/>
        <w:rPr>
          <w:rFonts w:ascii="Times New Roman" w:hAnsi="Times New Roman" w:cs="Times New Roman"/>
          <w:sz w:val="24"/>
          <w:szCs w:val="24"/>
        </w:rPr>
      </w:pPr>
      <w:r w:rsidRPr="009C0C88">
        <w:rPr>
          <w:noProof/>
        </w:rPr>
        <w:drawing>
          <wp:inline distT="0" distB="0" distL="0" distR="0" wp14:anchorId="2451CFDF" wp14:editId="2451CFE0">
            <wp:extent cx="4589253" cy="1520006"/>
            <wp:effectExtent l="0" t="0" r="190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05290" cy="1525318"/>
                    </a:xfrm>
                    <a:prstGeom prst="rect">
                      <a:avLst/>
                    </a:prstGeom>
                    <a:noFill/>
                    <a:ln>
                      <a:noFill/>
                    </a:ln>
                  </pic:spPr>
                </pic:pic>
              </a:graphicData>
            </a:graphic>
          </wp:inline>
        </w:drawing>
      </w:r>
    </w:p>
    <w:p w14:paraId="2451CD7B" w14:textId="77777777" w:rsidR="00875475" w:rsidRPr="007716B1" w:rsidRDefault="00875475" w:rsidP="00875475">
      <w:pPr>
        <w:rPr>
          <w:rFonts w:ascii="Times New Roman" w:hAnsi="Times New Roman" w:cs="Times New Roman"/>
          <w:sz w:val="24"/>
          <w:szCs w:val="24"/>
        </w:rPr>
      </w:pPr>
    </w:p>
    <w:p w14:paraId="2451CD7C" w14:textId="77777777" w:rsidR="00E03E53" w:rsidRDefault="00E03E53" w:rsidP="00091BE1">
      <w:pPr>
        <w:jc w:val="both"/>
        <w:rPr>
          <w:rFonts w:ascii="Times New Roman" w:hAnsi="Times New Roman" w:cs="Times New Roman"/>
          <w:sz w:val="24"/>
          <w:szCs w:val="24"/>
        </w:rPr>
      </w:pPr>
    </w:p>
    <w:p w14:paraId="2451CD7D" w14:textId="77777777" w:rsidR="00875475" w:rsidRDefault="0030703F" w:rsidP="00091BE1">
      <w:pPr>
        <w:jc w:val="both"/>
        <w:rPr>
          <w:rFonts w:ascii="Times New Roman" w:hAnsi="Times New Roman" w:cs="Times New Roman"/>
          <w:sz w:val="24"/>
          <w:szCs w:val="24"/>
        </w:rPr>
      </w:pPr>
      <w:r>
        <w:rPr>
          <w:rFonts w:ascii="Times New Roman" w:hAnsi="Times New Roman" w:cs="Times New Roman"/>
          <w:sz w:val="24"/>
          <w:szCs w:val="24"/>
        </w:rPr>
        <w:t>In 2015</w:t>
      </w:r>
      <w:r w:rsidR="00091BE1" w:rsidRPr="00091BE1">
        <w:rPr>
          <w:rFonts w:ascii="Times New Roman" w:hAnsi="Times New Roman" w:cs="Times New Roman"/>
          <w:sz w:val="24"/>
          <w:szCs w:val="24"/>
        </w:rPr>
        <w:t>, more than 70 tons (141,125 pounds) of steel, 2 tons (5,645 pounds) of aluminum and copper, 11 tons (22,508 pounds) of plastics were recycled as a result of the program, reducing landfill deposits by an amount sufficient to cover an entire football field more than two and a half feet deep.  In addition, the chlorofluorocarbons (greenhouse gases) collected and destroyed during recycling equates to approximately 3.6 tons (4,113 metric tons for 1,129 units) of carbon dioxide equivalents per unit, equivalent to the annual emissions of the average car in the U.S.</w:t>
      </w:r>
    </w:p>
    <w:p w14:paraId="2451CD7E" w14:textId="77777777" w:rsidR="00875475" w:rsidRPr="00B456C0" w:rsidRDefault="00875475" w:rsidP="00875475">
      <w:pPr>
        <w:pStyle w:val="Heading3"/>
        <w:rPr>
          <w:sz w:val="24"/>
          <w:szCs w:val="24"/>
        </w:rPr>
      </w:pPr>
      <w:bookmarkStart w:id="39" w:name="_Toc449356478"/>
      <w:bookmarkStart w:id="40" w:name="_Toc449510490"/>
      <w:r w:rsidRPr="00B456C0">
        <w:rPr>
          <w:sz w:val="24"/>
          <w:szCs w:val="24"/>
        </w:rPr>
        <w:lastRenderedPageBreak/>
        <w:t>Program Management</w:t>
      </w:r>
      <w:bookmarkEnd w:id="39"/>
      <w:bookmarkEnd w:id="40"/>
    </w:p>
    <w:p w14:paraId="2451CD7F" w14:textId="77777777" w:rsidR="00875475" w:rsidRPr="003D1557" w:rsidRDefault="00875475" w:rsidP="00875475">
      <w:pPr>
        <w:rPr>
          <w:rFonts w:ascii="Times New Roman" w:hAnsi="Times New Roman" w:cs="Times New Roman"/>
          <w:sz w:val="24"/>
          <w:szCs w:val="24"/>
        </w:rPr>
      </w:pPr>
    </w:p>
    <w:p w14:paraId="2451CD80" w14:textId="77777777" w:rsidR="00875475" w:rsidRDefault="00875475" w:rsidP="00875475">
      <w:pPr>
        <w:jc w:val="both"/>
        <w:rPr>
          <w:rFonts w:ascii="Times New Roman" w:hAnsi="Times New Roman" w:cs="Times New Roman"/>
          <w:sz w:val="24"/>
          <w:szCs w:val="24"/>
        </w:rPr>
      </w:pPr>
      <w:r w:rsidRPr="00CA4A03">
        <w:rPr>
          <w:rFonts w:ascii="Times New Roman" w:hAnsi="Times New Roman" w:cs="Times New Roman"/>
          <w:sz w:val="24"/>
          <w:szCs w:val="24"/>
        </w:rPr>
        <w:t>The program manager</w:t>
      </w:r>
      <w:r>
        <w:rPr>
          <w:rFonts w:ascii="Times New Roman" w:hAnsi="Times New Roman" w:cs="Times New Roman"/>
          <w:sz w:val="24"/>
          <w:szCs w:val="24"/>
        </w:rPr>
        <w:t xml:space="preserve"> responsible for </w:t>
      </w:r>
      <w:r w:rsidR="005C6274">
        <w:rPr>
          <w:rFonts w:ascii="Times New Roman" w:hAnsi="Times New Roman" w:cs="Times New Roman"/>
          <w:sz w:val="24"/>
          <w:szCs w:val="24"/>
        </w:rPr>
        <w:t>the</w:t>
      </w:r>
      <w:r w:rsidR="00B742F1" w:rsidRPr="00CA4A03">
        <w:rPr>
          <w:rFonts w:ascii="Times New Roman" w:hAnsi="Times New Roman" w:cs="Times New Roman"/>
          <w:sz w:val="24"/>
          <w:szCs w:val="24"/>
        </w:rPr>
        <w:t xml:space="preserve"> program</w:t>
      </w:r>
      <w:r w:rsidR="00B742F1">
        <w:rPr>
          <w:rFonts w:ascii="Times New Roman" w:hAnsi="Times New Roman" w:cs="Times New Roman"/>
          <w:sz w:val="24"/>
          <w:szCs w:val="24"/>
        </w:rPr>
        <w:t xml:space="preserve"> in </w:t>
      </w:r>
      <w:r>
        <w:rPr>
          <w:rFonts w:ascii="Times New Roman" w:hAnsi="Times New Roman" w:cs="Times New Roman"/>
          <w:sz w:val="24"/>
          <w:szCs w:val="24"/>
        </w:rPr>
        <w:t>Washington</w:t>
      </w:r>
      <w:r w:rsidR="00E03E53">
        <w:rPr>
          <w:rFonts w:ascii="Times New Roman" w:hAnsi="Times New Roman" w:cs="Times New Roman"/>
          <w:sz w:val="24"/>
          <w:szCs w:val="24"/>
        </w:rPr>
        <w:t xml:space="preserve"> was also responsible for the program in California. For each program and in each state, the program manager</w:t>
      </w:r>
      <w:r>
        <w:rPr>
          <w:rFonts w:ascii="Times New Roman" w:hAnsi="Times New Roman" w:cs="Times New Roman"/>
          <w:sz w:val="24"/>
          <w:szCs w:val="24"/>
        </w:rPr>
        <w:t xml:space="preserve"> </w:t>
      </w:r>
      <w:r w:rsidR="00091BE1">
        <w:rPr>
          <w:rFonts w:ascii="Times New Roman" w:hAnsi="Times New Roman" w:cs="Times New Roman"/>
          <w:sz w:val="24"/>
          <w:szCs w:val="24"/>
        </w:rPr>
        <w:t xml:space="preserve">is responsible for the </w:t>
      </w:r>
      <w:r w:rsidRPr="00CA4A03">
        <w:rPr>
          <w:rFonts w:ascii="Times New Roman" w:hAnsi="Times New Roman" w:cs="Times New Roman"/>
          <w:sz w:val="24"/>
          <w:szCs w:val="24"/>
        </w:rPr>
        <w:t>cost</w:t>
      </w:r>
      <w:r>
        <w:rPr>
          <w:rFonts w:ascii="Times New Roman" w:hAnsi="Times New Roman" w:cs="Times New Roman"/>
          <w:sz w:val="24"/>
          <w:szCs w:val="24"/>
        </w:rPr>
        <w:t xml:space="preserve"> </w:t>
      </w:r>
      <w:r w:rsidRPr="00CA4A03">
        <w:rPr>
          <w:rFonts w:ascii="Times New Roman" w:hAnsi="Times New Roman" w:cs="Times New Roman"/>
          <w:sz w:val="24"/>
          <w:szCs w:val="24"/>
        </w:rPr>
        <w:t>effectiveness of the program, identifying and contracting with the program administrator through a competitive bid process, establishing and monitoring program performance and compliance, and recommending changes in the terms and conditions set out in the tariff.</w:t>
      </w:r>
    </w:p>
    <w:p w14:paraId="2451CD81" w14:textId="77777777" w:rsidR="00E03E53" w:rsidRPr="00F33971" w:rsidRDefault="00E03E53" w:rsidP="006340B2">
      <w:pPr>
        <w:pStyle w:val="Heading3"/>
        <w:jc w:val="both"/>
        <w:rPr>
          <w:rFonts w:cs="Times New Roman"/>
          <w:sz w:val="24"/>
          <w:szCs w:val="24"/>
          <w:u w:val="none"/>
        </w:rPr>
      </w:pPr>
      <w:bookmarkStart w:id="41" w:name="_Toc449510491"/>
      <w:r w:rsidRPr="00F33971">
        <w:rPr>
          <w:rFonts w:cs="Times New Roman"/>
          <w:sz w:val="24"/>
          <w:szCs w:val="24"/>
          <w:u w:val="none"/>
        </w:rPr>
        <w:t xml:space="preserve">In </w:t>
      </w:r>
      <w:r>
        <w:rPr>
          <w:rFonts w:cs="Times New Roman"/>
          <w:sz w:val="24"/>
          <w:szCs w:val="24"/>
          <w:u w:val="none"/>
        </w:rPr>
        <w:t xml:space="preserve">the fourth quarter of </w:t>
      </w:r>
      <w:r w:rsidRPr="00F33971">
        <w:rPr>
          <w:rFonts w:cs="Times New Roman"/>
          <w:sz w:val="24"/>
          <w:szCs w:val="24"/>
          <w:u w:val="none"/>
        </w:rPr>
        <w:t>2014, the program manager identified media placement expenditures were paid twice in all states between 2013 and 2014. The media placement expenditures were paid to JACO and the Company’s media vendor. Accordingly, JACO issued a credit to the program in 2015 which was allocated to all states based upon the percentage of media expenditures incurred.</w:t>
      </w:r>
      <w:bookmarkEnd w:id="41"/>
    </w:p>
    <w:p w14:paraId="2451CD82" w14:textId="77777777" w:rsidR="00E03E53" w:rsidRDefault="00E03E53" w:rsidP="00875475">
      <w:pPr>
        <w:jc w:val="both"/>
        <w:rPr>
          <w:rFonts w:ascii="Times New Roman" w:hAnsi="Times New Roman" w:cs="Times New Roman"/>
          <w:sz w:val="24"/>
          <w:szCs w:val="24"/>
        </w:rPr>
      </w:pPr>
    </w:p>
    <w:p w14:paraId="2451CD83" w14:textId="77777777" w:rsidR="00875475" w:rsidRPr="00B456C0" w:rsidRDefault="00875475" w:rsidP="00875475">
      <w:pPr>
        <w:pStyle w:val="Heading3"/>
        <w:rPr>
          <w:sz w:val="24"/>
          <w:szCs w:val="24"/>
        </w:rPr>
      </w:pPr>
      <w:bookmarkStart w:id="42" w:name="_Toc449356479"/>
      <w:bookmarkStart w:id="43" w:name="_Toc449510492"/>
      <w:r w:rsidRPr="00B456C0">
        <w:rPr>
          <w:sz w:val="24"/>
          <w:szCs w:val="24"/>
        </w:rPr>
        <w:t>Program Administration</w:t>
      </w:r>
      <w:bookmarkEnd w:id="42"/>
      <w:bookmarkEnd w:id="43"/>
    </w:p>
    <w:p w14:paraId="2451CD84" w14:textId="77777777" w:rsidR="00860E7D" w:rsidRDefault="00860E7D" w:rsidP="00875475">
      <w:pPr>
        <w:rPr>
          <w:rFonts w:ascii="Times New Roman" w:hAnsi="Times New Roman" w:cs="Times New Roman"/>
          <w:sz w:val="24"/>
          <w:szCs w:val="24"/>
        </w:rPr>
      </w:pPr>
    </w:p>
    <w:p w14:paraId="2451CD85" w14:textId="77777777" w:rsidR="00F33971" w:rsidRPr="003A5274" w:rsidRDefault="00F33971" w:rsidP="00F33971">
      <w:pPr>
        <w:pStyle w:val="NormalWeb"/>
        <w:spacing w:before="0" w:beforeAutospacing="0" w:after="0" w:afterAutospacing="0"/>
        <w:jc w:val="both"/>
        <w:rPr>
          <w:rFonts w:ascii="Times New Roman" w:eastAsiaTheme="minorHAnsi" w:hAnsi="Times New Roman"/>
          <w:color w:val="auto"/>
          <w:sz w:val="24"/>
          <w:szCs w:val="24"/>
        </w:rPr>
      </w:pPr>
      <w:bookmarkStart w:id="44" w:name="_Toc444691092"/>
      <w:bookmarkStart w:id="45" w:name="_Toc449356480"/>
      <w:r w:rsidRPr="003A5274">
        <w:rPr>
          <w:rFonts w:ascii="Times New Roman" w:eastAsiaTheme="minorHAnsi" w:hAnsi="Times New Roman"/>
          <w:color w:val="auto"/>
          <w:sz w:val="24"/>
          <w:szCs w:val="24"/>
        </w:rPr>
        <w:t>The</w:t>
      </w:r>
      <w:r w:rsidRPr="0058647A">
        <w:rPr>
          <w:rFonts w:ascii="Times New Roman" w:eastAsiaTheme="minorHAnsi" w:hAnsi="Times New Roman"/>
          <w:i/>
          <w:color w:val="auto"/>
          <w:sz w:val="24"/>
          <w:szCs w:val="24"/>
        </w:rPr>
        <w:t xml:space="preserve"> Refrigerator Recycling</w:t>
      </w:r>
      <w:r>
        <w:rPr>
          <w:rFonts w:ascii="Times New Roman" w:eastAsiaTheme="minorHAnsi" w:hAnsi="Times New Roman"/>
          <w:color w:val="auto"/>
          <w:sz w:val="24"/>
          <w:szCs w:val="24"/>
        </w:rPr>
        <w:t xml:space="preserve"> program was</w:t>
      </w:r>
      <w:r w:rsidRPr="003A5274">
        <w:rPr>
          <w:rFonts w:ascii="Times New Roman" w:eastAsiaTheme="minorHAnsi" w:hAnsi="Times New Roman"/>
          <w:color w:val="auto"/>
          <w:sz w:val="24"/>
          <w:szCs w:val="24"/>
        </w:rPr>
        <w:t xml:space="preserve"> administered by JACO Environmental </w:t>
      </w:r>
      <w:r w:rsidR="006F432A">
        <w:rPr>
          <w:rFonts w:ascii="Times New Roman" w:eastAsiaTheme="minorHAnsi" w:hAnsi="Times New Roman"/>
          <w:color w:val="auto"/>
          <w:sz w:val="24"/>
          <w:szCs w:val="24"/>
        </w:rPr>
        <w:t>(</w:t>
      </w:r>
      <w:r w:rsidRPr="003A5274">
        <w:rPr>
          <w:rFonts w:ascii="Times New Roman" w:eastAsiaTheme="minorHAnsi" w:hAnsi="Times New Roman"/>
          <w:color w:val="auto"/>
          <w:sz w:val="24"/>
          <w:szCs w:val="24"/>
        </w:rPr>
        <w:t>JACO</w:t>
      </w:r>
      <w:r w:rsidR="006F432A">
        <w:rPr>
          <w:rFonts w:ascii="Times New Roman" w:eastAsiaTheme="minorHAnsi" w:hAnsi="Times New Roman"/>
          <w:color w:val="auto"/>
          <w:sz w:val="24"/>
          <w:szCs w:val="24"/>
        </w:rPr>
        <w:t>)</w:t>
      </w:r>
      <w:r>
        <w:rPr>
          <w:rFonts w:ascii="Times New Roman" w:eastAsiaTheme="minorHAnsi" w:hAnsi="Times New Roman"/>
          <w:color w:val="auto"/>
          <w:sz w:val="24"/>
          <w:szCs w:val="24"/>
        </w:rPr>
        <w:t xml:space="preserve"> in 2015</w:t>
      </w:r>
      <w:r w:rsidRPr="003A5274">
        <w:rPr>
          <w:rFonts w:ascii="Times New Roman" w:eastAsiaTheme="minorHAnsi" w:hAnsi="Times New Roman"/>
          <w:color w:val="auto"/>
          <w:sz w:val="24"/>
          <w:szCs w:val="24"/>
        </w:rPr>
        <w:t xml:space="preserve">. JACO </w:t>
      </w:r>
      <w:r>
        <w:rPr>
          <w:rFonts w:ascii="Times New Roman" w:eastAsiaTheme="minorHAnsi" w:hAnsi="Times New Roman"/>
          <w:color w:val="auto"/>
          <w:sz w:val="24"/>
          <w:szCs w:val="24"/>
        </w:rPr>
        <w:t>was</w:t>
      </w:r>
      <w:r w:rsidRPr="003A5274">
        <w:rPr>
          <w:rFonts w:ascii="Times New Roman" w:eastAsiaTheme="minorHAnsi" w:hAnsi="Times New Roman"/>
          <w:color w:val="auto"/>
          <w:sz w:val="24"/>
          <w:szCs w:val="24"/>
        </w:rPr>
        <w:t xml:space="preserve"> one of the largest recyclers of house-hold appliances in the United States</w:t>
      </w:r>
      <w:r>
        <w:rPr>
          <w:rFonts w:ascii="Times New Roman" w:eastAsiaTheme="minorHAnsi" w:hAnsi="Times New Roman"/>
          <w:color w:val="auto"/>
          <w:sz w:val="24"/>
          <w:szCs w:val="24"/>
        </w:rPr>
        <w:t xml:space="preserve"> until going out of business in the fourth quarter of 2015. The Company contracted</w:t>
      </w:r>
      <w:r w:rsidRPr="003A5274">
        <w:rPr>
          <w:rFonts w:ascii="Times New Roman" w:eastAsiaTheme="minorHAnsi" w:hAnsi="Times New Roman"/>
          <w:color w:val="auto"/>
          <w:sz w:val="24"/>
          <w:szCs w:val="24"/>
        </w:rPr>
        <w:t xml:space="preserve"> with JACO to provide customer scheduling, pick-up, incentive processing and marketing services for the</w:t>
      </w:r>
      <w:r w:rsidRPr="00D816AB">
        <w:rPr>
          <w:rFonts w:ascii="Times New Roman" w:hAnsi="Times New Roman"/>
          <w:i/>
          <w:color w:val="auto"/>
          <w:sz w:val="24"/>
          <w:szCs w:val="24"/>
        </w:rPr>
        <w:t xml:space="preserve"> </w:t>
      </w:r>
      <w:r w:rsidRPr="00EE554E">
        <w:rPr>
          <w:rFonts w:ascii="Times New Roman" w:hAnsi="Times New Roman"/>
          <w:i/>
          <w:color w:val="auto"/>
          <w:sz w:val="24"/>
          <w:szCs w:val="24"/>
        </w:rPr>
        <w:t>See ya later, refrigerator</w:t>
      </w:r>
      <w:r w:rsidRPr="003A5274">
        <w:rPr>
          <w:rFonts w:ascii="Times New Roman" w:eastAsiaTheme="minorHAnsi" w:hAnsi="Times New Roman"/>
          <w:color w:val="auto"/>
          <w:sz w:val="24"/>
          <w:szCs w:val="24"/>
        </w:rPr>
        <w:t xml:space="preserve"> program.</w:t>
      </w:r>
    </w:p>
    <w:p w14:paraId="2451CD86" w14:textId="77777777" w:rsidR="00284DE1" w:rsidRDefault="00284DE1" w:rsidP="00284DE1">
      <w:pPr>
        <w:pStyle w:val="NormalWeb"/>
        <w:spacing w:before="0" w:beforeAutospacing="0" w:after="0" w:afterAutospacing="0"/>
        <w:jc w:val="both"/>
        <w:rPr>
          <w:rFonts w:ascii="Times New Roman" w:eastAsiaTheme="minorHAnsi" w:hAnsi="Times New Roman"/>
          <w:color w:val="auto"/>
          <w:sz w:val="24"/>
          <w:szCs w:val="24"/>
        </w:rPr>
      </w:pPr>
    </w:p>
    <w:p w14:paraId="2451CD87" w14:textId="77777777" w:rsidR="00284DE1" w:rsidRPr="003A5274" w:rsidRDefault="00284DE1" w:rsidP="00284DE1">
      <w:pPr>
        <w:pStyle w:val="NormalWeb"/>
        <w:spacing w:before="0" w:beforeAutospacing="0" w:after="0" w:afterAutospacing="0"/>
        <w:jc w:val="both"/>
        <w:rPr>
          <w:rFonts w:ascii="Times New Roman" w:eastAsiaTheme="minorHAnsi" w:hAnsi="Times New Roman"/>
          <w:color w:val="auto"/>
          <w:sz w:val="24"/>
          <w:szCs w:val="24"/>
        </w:rPr>
      </w:pPr>
      <w:r>
        <w:rPr>
          <w:rFonts w:ascii="Times New Roman" w:eastAsiaTheme="minorHAnsi" w:hAnsi="Times New Roman"/>
          <w:color w:val="auto"/>
          <w:sz w:val="24"/>
          <w:szCs w:val="24"/>
        </w:rPr>
        <w:t>JACO was</w:t>
      </w:r>
      <w:r w:rsidRPr="003A5274">
        <w:rPr>
          <w:rFonts w:ascii="Times New Roman" w:eastAsiaTheme="minorHAnsi" w:hAnsi="Times New Roman"/>
          <w:color w:val="auto"/>
          <w:sz w:val="24"/>
          <w:szCs w:val="24"/>
        </w:rPr>
        <w:t xml:space="preserve"> responsible for the following:</w:t>
      </w:r>
    </w:p>
    <w:p w14:paraId="2451CD88" w14:textId="77777777" w:rsidR="00284DE1" w:rsidRPr="003A5274" w:rsidRDefault="00284DE1" w:rsidP="00284DE1">
      <w:pPr>
        <w:pStyle w:val="NormalWeb"/>
        <w:spacing w:before="0" w:beforeAutospacing="0" w:after="0" w:afterAutospacing="0"/>
        <w:jc w:val="both"/>
        <w:rPr>
          <w:rFonts w:ascii="Times New Roman" w:eastAsiaTheme="minorHAnsi" w:hAnsi="Times New Roman"/>
          <w:color w:val="auto"/>
          <w:sz w:val="24"/>
          <w:szCs w:val="24"/>
        </w:rPr>
      </w:pPr>
    </w:p>
    <w:p w14:paraId="2451CD89" w14:textId="77777777" w:rsidR="00284DE1" w:rsidRPr="004B3D60" w:rsidRDefault="00284DE1" w:rsidP="00284DE1">
      <w:pPr>
        <w:pStyle w:val="NormalWeb"/>
        <w:numPr>
          <w:ilvl w:val="0"/>
          <w:numId w:val="5"/>
        </w:numPr>
        <w:spacing w:before="0" w:beforeAutospacing="0" w:after="0" w:afterAutospacing="0"/>
        <w:jc w:val="both"/>
        <w:rPr>
          <w:rFonts w:ascii="Times New Roman" w:eastAsiaTheme="minorHAnsi" w:hAnsi="Times New Roman"/>
          <w:color w:val="auto"/>
          <w:sz w:val="24"/>
          <w:szCs w:val="24"/>
        </w:rPr>
      </w:pPr>
      <w:r>
        <w:rPr>
          <w:rFonts w:ascii="Times New Roman" w:eastAsiaTheme="minorHAnsi" w:hAnsi="Times New Roman"/>
          <w:color w:val="auto"/>
          <w:sz w:val="24"/>
          <w:szCs w:val="24"/>
        </w:rPr>
        <w:t>Appliance Pick-up – JACO handled</w:t>
      </w:r>
      <w:r w:rsidRPr="004B3D60">
        <w:rPr>
          <w:rFonts w:ascii="Times New Roman" w:eastAsiaTheme="minorHAnsi" w:hAnsi="Times New Roman"/>
          <w:color w:val="auto"/>
          <w:sz w:val="24"/>
          <w:szCs w:val="24"/>
        </w:rPr>
        <w:t xml:space="preserve"> all customer and field service operations for the program</w:t>
      </w:r>
      <w:r>
        <w:rPr>
          <w:rFonts w:ascii="Times New Roman" w:eastAsiaTheme="minorHAnsi" w:hAnsi="Times New Roman"/>
          <w:color w:val="auto"/>
          <w:sz w:val="24"/>
          <w:szCs w:val="24"/>
        </w:rPr>
        <w:t>,</w:t>
      </w:r>
      <w:r w:rsidRPr="004B3D60">
        <w:rPr>
          <w:rFonts w:ascii="Times New Roman" w:eastAsiaTheme="minorHAnsi" w:hAnsi="Times New Roman"/>
          <w:color w:val="auto"/>
          <w:sz w:val="24"/>
          <w:szCs w:val="24"/>
        </w:rPr>
        <w:t xml:space="preserve"> including pick-up of refrigerators and freezers from customers</w:t>
      </w:r>
      <w:r>
        <w:rPr>
          <w:rFonts w:ascii="Times New Roman" w:eastAsiaTheme="minorHAnsi" w:hAnsi="Times New Roman"/>
          <w:color w:val="auto"/>
          <w:sz w:val="24"/>
          <w:szCs w:val="24"/>
        </w:rPr>
        <w:t xml:space="preserve"> and transporting</w:t>
      </w:r>
      <w:r w:rsidRPr="004B3D60">
        <w:rPr>
          <w:rFonts w:ascii="Times New Roman" w:eastAsiaTheme="minorHAnsi" w:hAnsi="Times New Roman"/>
          <w:color w:val="auto"/>
          <w:sz w:val="24"/>
          <w:szCs w:val="24"/>
        </w:rPr>
        <w:t xml:space="preserve"> units to the de-manufacturing facility.</w:t>
      </w:r>
    </w:p>
    <w:p w14:paraId="2451CD8A" w14:textId="77777777" w:rsidR="00284DE1" w:rsidRPr="003A5274" w:rsidRDefault="00284DE1" w:rsidP="00284DE1">
      <w:pPr>
        <w:pStyle w:val="NormalWeb"/>
        <w:numPr>
          <w:ilvl w:val="0"/>
          <w:numId w:val="5"/>
        </w:numPr>
        <w:spacing w:before="0" w:beforeAutospacing="0" w:after="0" w:afterAutospacing="0"/>
        <w:jc w:val="both"/>
        <w:rPr>
          <w:rFonts w:ascii="Times New Roman" w:eastAsiaTheme="minorHAnsi" w:hAnsi="Times New Roman"/>
          <w:color w:val="auto"/>
          <w:sz w:val="24"/>
          <w:szCs w:val="24"/>
        </w:rPr>
      </w:pPr>
      <w:r w:rsidRPr="003A5274">
        <w:rPr>
          <w:rFonts w:ascii="Times New Roman" w:eastAsiaTheme="minorHAnsi" w:hAnsi="Times New Roman"/>
          <w:color w:val="auto"/>
          <w:sz w:val="24"/>
          <w:szCs w:val="24"/>
        </w:rPr>
        <w:t xml:space="preserve">Incentive processing and call-center operations – </w:t>
      </w:r>
      <w:r>
        <w:rPr>
          <w:rFonts w:ascii="Times New Roman" w:eastAsiaTheme="minorHAnsi" w:hAnsi="Times New Roman"/>
          <w:color w:val="auto"/>
          <w:sz w:val="24"/>
          <w:szCs w:val="24"/>
        </w:rPr>
        <w:t>C</w:t>
      </w:r>
      <w:r w:rsidRPr="003A5274">
        <w:rPr>
          <w:rFonts w:ascii="Times New Roman" w:eastAsiaTheme="minorHAnsi" w:hAnsi="Times New Roman"/>
          <w:color w:val="auto"/>
          <w:sz w:val="24"/>
          <w:szCs w:val="24"/>
        </w:rPr>
        <w:t>ustomer service calls, pick-up scheduling and incentive processing.</w:t>
      </w:r>
    </w:p>
    <w:p w14:paraId="2451CD8B" w14:textId="77777777" w:rsidR="00284DE1" w:rsidRPr="003A5274" w:rsidRDefault="00284DE1" w:rsidP="00284DE1">
      <w:pPr>
        <w:pStyle w:val="NormalWeb"/>
        <w:numPr>
          <w:ilvl w:val="0"/>
          <w:numId w:val="5"/>
        </w:numPr>
        <w:jc w:val="both"/>
        <w:rPr>
          <w:rFonts w:ascii="Times New Roman" w:eastAsiaTheme="minorHAnsi" w:hAnsi="Times New Roman"/>
          <w:color w:val="auto"/>
          <w:sz w:val="24"/>
          <w:szCs w:val="24"/>
        </w:rPr>
      </w:pPr>
      <w:r w:rsidRPr="003A5274">
        <w:rPr>
          <w:rFonts w:ascii="Times New Roman" w:eastAsiaTheme="minorHAnsi" w:hAnsi="Times New Roman"/>
          <w:color w:val="auto"/>
          <w:sz w:val="24"/>
          <w:szCs w:val="24"/>
        </w:rPr>
        <w:t>Program specific customer communication and outreach – Working in close coordinatio</w:t>
      </w:r>
      <w:r>
        <w:rPr>
          <w:rFonts w:ascii="Times New Roman" w:eastAsiaTheme="minorHAnsi" w:hAnsi="Times New Roman"/>
          <w:color w:val="auto"/>
          <w:sz w:val="24"/>
          <w:szCs w:val="24"/>
        </w:rPr>
        <w:t>n with the Company, JACO handled</w:t>
      </w:r>
      <w:r w:rsidRPr="003A5274">
        <w:rPr>
          <w:rFonts w:ascii="Times New Roman" w:eastAsiaTheme="minorHAnsi" w:hAnsi="Times New Roman"/>
          <w:color w:val="auto"/>
          <w:sz w:val="24"/>
          <w:szCs w:val="24"/>
        </w:rPr>
        <w:t xml:space="preserve"> all the marketing</w:t>
      </w:r>
      <w:r>
        <w:rPr>
          <w:rFonts w:ascii="Times New Roman" w:eastAsiaTheme="minorHAnsi" w:hAnsi="Times New Roman"/>
          <w:color w:val="auto"/>
          <w:sz w:val="24"/>
          <w:szCs w:val="24"/>
        </w:rPr>
        <w:t xml:space="preserve"> for the program. The program was</w:t>
      </w:r>
      <w:r w:rsidRPr="003A5274">
        <w:rPr>
          <w:rFonts w:ascii="Times New Roman" w:eastAsiaTheme="minorHAnsi" w:hAnsi="Times New Roman"/>
          <w:color w:val="auto"/>
          <w:sz w:val="24"/>
          <w:szCs w:val="24"/>
        </w:rPr>
        <w:t xml:space="preserve"> marketed through bill inserts, customer newsletters and TV, newspaper and online advertising.</w:t>
      </w:r>
    </w:p>
    <w:p w14:paraId="2451CD8C" w14:textId="77777777" w:rsidR="00284DE1" w:rsidRDefault="00284DE1" w:rsidP="00284DE1">
      <w:pPr>
        <w:pStyle w:val="NormalWeb"/>
        <w:jc w:val="both"/>
        <w:rPr>
          <w:rFonts w:ascii="Times New Roman" w:eastAsiaTheme="minorHAnsi" w:hAnsi="Times New Roman"/>
          <w:color w:val="auto"/>
          <w:sz w:val="24"/>
          <w:szCs w:val="24"/>
        </w:rPr>
      </w:pPr>
      <w:r>
        <w:rPr>
          <w:rFonts w:ascii="Times New Roman" w:hAnsi="Times New Roman"/>
          <w:color w:val="auto"/>
          <w:sz w:val="24"/>
          <w:szCs w:val="24"/>
        </w:rPr>
        <w:t>As part of the program control process, the Company contracted with third-party independent inspectors to conduct ongoing oversight of the program’s appliance recycling process, from verification that the units being recycled met the program eligibility criteria to verifying they were being recycled and that the program records were accurate.</w:t>
      </w:r>
    </w:p>
    <w:p w14:paraId="2451CD8D" w14:textId="77777777" w:rsidR="00284DE1" w:rsidRDefault="00284DE1" w:rsidP="00284DE1">
      <w:pPr>
        <w:pStyle w:val="NormalWeb"/>
        <w:jc w:val="both"/>
        <w:rPr>
          <w:rFonts w:ascii="Times New Roman" w:eastAsiaTheme="minorHAnsi" w:hAnsi="Times New Roman"/>
          <w:color w:val="auto"/>
          <w:sz w:val="24"/>
          <w:szCs w:val="24"/>
        </w:rPr>
      </w:pPr>
      <w:r>
        <w:rPr>
          <w:rFonts w:ascii="Times New Roman" w:eastAsiaTheme="minorHAnsi" w:hAnsi="Times New Roman"/>
          <w:color w:val="auto"/>
          <w:sz w:val="24"/>
          <w:szCs w:val="24"/>
        </w:rPr>
        <w:t>A</w:t>
      </w:r>
      <w:r w:rsidRPr="003A5274">
        <w:rPr>
          <w:rFonts w:ascii="Times New Roman" w:eastAsiaTheme="minorHAnsi" w:hAnsi="Times New Roman"/>
          <w:color w:val="auto"/>
          <w:sz w:val="24"/>
          <w:szCs w:val="24"/>
        </w:rPr>
        <w:t xml:space="preserve"> summary of the inspection process is included in </w:t>
      </w:r>
      <w:r w:rsidRPr="00071C1D">
        <w:rPr>
          <w:rFonts w:ascii="Times New Roman" w:eastAsiaTheme="minorHAnsi" w:hAnsi="Times New Roman"/>
          <w:color w:val="auto"/>
          <w:sz w:val="24"/>
          <w:szCs w:val="24"/>
        </w:rPr>
        <w:t xml:space="preserve">Appendix </w:t>
      </w:r>
      <w:r w:rsidR="00EE016E">
        <w:rPr>
          <w:rFonts w:ascii="Times New Roman" w:eastAsiaTheme="minorHAnsi" w:hAnsi="Times New Roman"/>
          <w:color w:val="auto"/>
          <w:sz w:val="24"/>
          <w:szCs w:val="24"/>
        </w:rPr>
        <w:t>2</w:t>
      </w:r>
      <w:r w:rsidRPr="003A5274">
        <w:rPr>
          <w:rFonts w:ascii="Times New Roman" w:eastAsiaTheme="minorHAnsi" w:hAnsi="Times New Roman"/>
          <w:color w:val="auto"/>
          <w:sz w:val="24"/>
          <w:szCs w:val="24"/>
        </w:rPr>
        <w:t>.</w:t>
      </w:r>
    </w:p>
    <w:p w14:paraId="2451CD8E" w14:textId="77777777" w:rsidR="00CC6966" w:rsidRDefault="00CC6966" w:rsidP="00CC6966">
      <w:pPr>
        <w:pStyle w:val="Heading3"/>
        <w:spacing w:before="0"/>
        <w:rPr>
          <w:rFonts w:cs="Times New Roman"/>
          <w:sz w:val="24"/>
        </w:rPr>
      </w:pPr>
    </w:p>
    <w:p w14:paraId="2451CD8F" w14:textId="77777777" w:rsidR="0083556F" w:rsidRDefault="0083556F" w:rsidP="0083556F"/>
    <w:p w14:paraId="2451CD90" w14:textId="77777777" w:rsidR="0083556F" w:rsidRPr="0083556F" w:rsidRDefault="0083556F" w:rsidP="0083556F"/>
    <w:p w14:paraId="2451CD91" w14:textId="77777777" w:rsidR="00091BE1" w:rsidRPr="00041D58" w:rsidRDefault="00091BE1" w:rsidP="00CC6966">
      <w:pPr>
        <w:pStyle w:val="Heading3"/>
        <w:spacing w:before="0"/>
        <w:rPr>
          <w:rFonts w:cs="Times New Roman"/>
          <w:b/>
          <w:sz w:val="24"/>
        </w:rPr>
      </w:pPr>
      <w:bookmarkStart w:id="46" w:name="_Toc449510493"/>
      <w:r w:rsidRPr="00041D58">
        <w:rPr>
          <w:rFonts w:cs="Times New Roman"/>
          <w:sz w:val="24"/>
        </w:rPr>
        <w:lastRenderedPageBreak/>
        <w:t>Program Changes</w:t>
      </w:r>
      <w:bookmarkEnd w:id="44"/>
      <w:bookmarkEnd w:id="45"/>
      <w:bookmarkEnd w:id="46"/>
    </w:p>
    <w:p w14:paraId="2451CD92" w14:textId="77777777" w:rsidR="00091BE1" w:rsidRDefault="00091BE1" w:rsidP="00091BE1">
      <w:pPr>
        <w:contextualSpacing/>
        <w:rPr>
          <w:rFonts w:ascii="Times New Roman" w:hAnsi="Times New Roman" w:cs="Times New Roman"/>
          <w:sz w:val="24"/>
          <w:szCs w:val="24"/>
        </w:rPr>
      </w:pPr>
    </w:p>
    <w:p w14:paraId="2451CD93" w14:textId="77777777" w:rsidR="00091BE1" w:rsidRDefault="00091BE1" w:rsidP="00091BE1">
      <w:pPr>
        <w:contextualSpacing/>
        <w:jc w:val="both"/>
        <w:rPr>
          <w:rFonts w:ascii="Times New Roman" w:hAnsi="Times New Roman" w:cs="Times New Roman"/>
          <w:sz w:val="24"/>
          <w:szCs w:val="24"/>
        </w:rPr>
      </w:pPr>
      <w:r>
        <w:rPr>
          <w:rFonts w:ascii="Times New Roman" w:hAnsi="Times New Roman" w:cs="Times New Roman"/>
          <w:sz w:val="24"/>
          <w:szCs w:val="24"/>
        </w:rPr>
        <w:t>As part of the planning process for the 2016-2017 biennial period, the Company filed Advice No. 15-04 to cancel Schedule 107 effective January 1, 2016</w:t>
      </w:r>
      <w:r w:rsidR="00210B55">
        <w:rPr>
          <w:rFonts w:ascii="Times New Roman" w:hAnsi="Times New Roman" w:cs="Times New Roman"/>
          <w:sz w:val="24"/>
          <w:szCs w:val="24"/>
        </w:rPr>
        <w:t>,</w:t>
      </w:r>
      <w:r>
        <w:rPr>
          <w:rFonts w:ascii="Times New Roman" w:hAnsi="Times New Roman" w:cs="Times New Roman"/>
          <w:sz w:val="24"/>
          <w:szCs w:val="24"/>
        </w:rPr>
        <w:t xml:space="preserve"> based on </w:t>
      </w:r>
      <w:r w:rsidR="002414BD">
        <w:rPr>
          <w:rFonts w:ascii="Times New Roman" w:hAnsi="Times New Roman" w:cs="Times New Roman"/>
          <w:sz w:val="24"/>
          <w:szCs w:val="24"/>
        </w:rPr>
        <w:t xml:space="preserve">forecasted </w:t>
      </w:r>
      <w:r>
        <w:rPr>
          <w:rFonts w:ascii="Times New Roman" w:hAnsi="Times New Roman" w:cs="Times New Roman"/>
          <w:sz w:val="24"/>
          <w:szCs w:val="24"/>
        </w:rPr>
        <w:t>sub-optimal cost effectiveness</w:t>
      </w:r>
      <w:r w:rsidR="002414BD">
        <w:rPr>
          <w:rFonts w:ascii="Times New Roman" w:hAnsi="Times New Roman" w:cs="Times New Roman"/>
          <w:sz w:val="24"/>
          <w:szCs w:val="24"/>
        </w:rPr>
        <w:t xml:space="preserve"> utilizing new (and lower) unit energy savings from the Company’s program evaluation</w:t>
      </w:r>
      <w:r>
        <w:rPr>
          <w:rFonts w:ascii="Times New Roman" w:hAnsi="Times New Roman" w:cs="Times New Roman"/>
          <w:sz w:val="24"/>
          <w:szCs w:val="24"/>
        </w:rPr>
        <w:t xml:space="preserve">. </w:t>
      </w:r>
      <w:r w:rsidR="002414BD">
        <w:rPr>
          <w:rFonts w:ascii="Times New Roman" w:hAnsi="Times New Roman" w:cs="Times New Roman"/>
          <w:sz w:val="24"/>
          <w:szCs w:val="24"/>
        </w:rPr>
        <w:t xml:space="preserve"> </w:t>
      </w:r>
      <w:r>
        <w:rPr>
          <w:rFonts w:ascii="Times New Roman" w:hAnsi="Times New Roman" w:cs="Times New Roman"/>
          <w:sz w:val="24"/>
          <w:szCs w:val="24"/>
        </w:rPr>
        <w:t xml:space="preserve">The Washington Utilities and Transportation Commission placed this request on the consent agenda and </w:t>
      </w:r>
      <w:r w:rsidR="0030703F">
        <w:rPr>
          <w:rFonts w:ascii="Times New Roman" w:hAnsi="Times New Roman" w:cs="Times New Roman"/>
          <w:sz w:val="24"/>
          <w:szCs w:val="24"/>
        </w:rPr>
        <w:t>approved it</w:t>
      </w:r>
      <w:r>
        <w:rPr>
          <w:rFonts w:ascii="Times New Roman" w:hAnsi="Times New Roman" w:cs="Times New Roman"/>
          <w:sz w:val="24"/>
          <w:szCs w:val="24"/>
        </w:rPr>
        <w:t xml:space="preserve"> at the December 30, 2015 open meeting.  </w:t>
      </w:r>
    </w:p>
    <w:p w14:paraId="2451CD94" w14:textId="77777777" w:rsidR="00091BE1" w:rsidRDefault="00091BE1" w:rsidP="00091BE1">
      <w:pPr>
        <w:contextualSpacing/>
        <w:jc w:val="both"/>
        <w:rPr>
          <w:rFonts w:ascii="Times New Roman" w:hAnsi="Times New Roman" w:cs="Times New Roman"/>
          <w:sz w:val="24"/>
          <w:szCs w:val="24"/>
        </w:rPr>
      </w:pPr>
    </w:p>
    <w:p w14:paraId="2451CD95" w14:textId="77777777" w:rsidR="00091BE1" w:rsidRPr="00FA289C" w:rsidRDefault="0083556F" w:rsidP="00091BE1">
      <w:pPr>
        <w:contextualSpacing/>
        <w:jc w:val="both"/>
        <w:rPr>
          <w:rFonts w:ascii="Times New Roman" w:hAnsi="Times New Roman" w:cs="Times New Roman"/>
          <w:sz w:val="24"/>
          <w:szCs w:val="24"/>
        </w:rPr>
      </w:pPr>
      <w:r>
        <w:rPr>
          <w:rFonts w:ascii="Times New Roman" w:hAnsi="Times New Roman" w:cs="Times New Roman"/>
          <w:sz w:val="24"/>
          <w:szCs w:val="24"/>
        </w:rPr>
        <w:t>I</w:t>
      </w:r>
      <w:r w:rsidR="00091BE1">
        <w:rPr>
          <w:rFonts w:ascii="Times New Roman" w:hAnsi="Times New Roman" w:cs="Times New Roman"/>
          <w:sz w:val="24"/>
          <w:szCs w:val="24"/>
        </w:rPr>
        <w:t xml:space="preserve">n </w:t>
      </w:r>
      <w:r w:rsidR="00091BE1" w:rsidRPr="00FA289C">
        <w:rPr>
          <w:rFonts w:ascii="Times New Roman" w:hAnsi="Times New Roman" w:cs="Times New Roman"/>
          <w:sz w:val="24"/>
          <w:szCs w:val="24"/>
        </w:rPr>
        <w:t>Novemb</w:t>
      </w:r>
      <w:r w:rsidR="00091BE1">
        <w:rPr>
          <w:rFonts w:ascii="Times New Roman" w:hAnsi="Times New Roman" w:cs="Times New Roman"/>
          <w:sz w:val="24"/>
          <w:szCs w:val="24"/>
        </w:rPr>
        <w:t>er 2015, the C</w:t>
      </w:r>
      <w:r w:rsidR="00091BE1" w:rsidRPr="00FA289C">
        <w:rPr>
          <w:rFonts w:ascii="Times New Roman" w:hAnsi="Times New Roman" w:cs="Times New Roman"/>
          <w:sz w:val="24"/>
          <w:szCs w:val="24"/>
        </w:rPr>
        <w:t>ompany</w:t>
      </w:r>
      <w:r w:rsidR="00091BE1">
        <w:rPr>
          <w:rFonts w:ascii="Times New Roman" w:hAnsi="Times New Roman" w:cs="Times New Roman"/>
          <w:sz w:val="24"/>
          <w:szCs w:val="24"/>
        </w:rPr>
        <w:t xml:space="preserve"> was notified by JACO that </w:t>
      </w:r>
      <w:r w:rsidR="00091BE1" w:rsidRPr="00FA289C">
        <w:rPr>
          <w:rFonts w:ascii="Times New Roman" w:hAnsi="Times New Roman" w:cs="Times New Roman"/>
          <w:sz w:val="24"/>
          <w:szCs w:val="24"/>
        </w:rPr>
        <w:t>they</w:t>
      </w:r>
      <w:r w:rsidR="00091BE1">
        <w:rPr>
          <w:rFonts w:ascii="Times New Roman" w:hAnsi="Times New Roman" w:cs="Times New Roman"/>
          <w:sz w:val="24"/>
          <w:szCs w:val="24"/>
        </w:rPr>
        <w:t xml:space="preserve"> entered into a voluntary receivership,</w:t>
      </w:r>
      <w:r w:rsidR="001A119B">
        <w:rPr>
          <w:rFonts w:ascii="Times New Roman" w:hAnsi="Times New Roman" w:cs="Times New Roman"/>
          <w:sz w:val="24"/>
          <w:szCs w:val="24"/>
        </w:rPr>
        <w:t xml:space="preserve"> pickups were cancelled and </w:t>
      </w:r>
      <w:r w:rsidR="00091BE1">
        <w:rPr>
          <w:rFonts w:ascii="Times New Roman" w:hAnsi="Times New Roman" w:cs="Times New Roman"/>
          <w:sz w:val="24"/>
          <w:szCs w:val="24"/>
        </w:rPr>
        <w:t xml:space="preserve">operations had ceased. </w:t>
      </w:r>
      <w:r w:rsidR="00091BE1" w:rsidRPr="00FA289C">
        <w:rPr>
          <w:rFonts w:ascii="Times New Roman" w:hAnsi="Times New Roman" w:cs="Times New Roman"/>
          <w:sz w:val="24"/>
          <w:szCs w:val="24"/>
        </w:rPr>
        <w:t xml:space="preserve">The Company immediately posted this information on the program web site and utilized another vendor to contact the affected customers </w:t>
      </w:r>
      <w:r w:rsidR="00091BE1">
        <w:rPr>
          <w:rFonts w:ascii="Times New Roman" w:hAnsi="Times New Roman" w:cs="Times New Roman"/>
          <w:sz w:val="24"/>
          <w:szCs w:val="24"/>
        </w:rPr>
        <w:t>to</w:t>
      </w:r>
      <w:r w:rsidR="00091BE1" w:rsidRPr="00FA289C">
        <w:rPr>
          <w:rFonts w:ascii="Times New Roman" w:hAnsi="Times New Roman" w:cs="Times New Roman"/>
          <w:sz w:val="24"/>
          <w:szCs w:val="24"/>
        </w:rPr>
        <w:t xml:space="preserve"> inform them the pickup was cancelled. Initial data indicates this impacted </w:t>
      </w:r>
      <w:r w:rsidR="00050677">
        <w:rPr>
          <w:rFonts w:ascii="Times New Roman" w:hAnsi="Times New Roman" w:cs="Times New Roman"/>
          <w:sz w:val="24"/>
          <w:szCs w:val="24"/>
        </w:rPr>
        <w:t>29 Washington customers</w:t>
      </w:r>
      <w:r w:rsidR="00091BE1" w:rsidRPr="00FA289C">
        <w:rPr>
          <w:rFonts w:ascii="Times New Roman" w:hAnsi="Times New Roman" w:cs="Times New Roman"/>
          <w:sz w:val="24"/>
          <w:szCs w:val="24"/>
        </w:rPr>
        <w:t>. The Company also learned that JACO bank accounts had been closed</w:t>
      </w:r>
      <w:r w:rsidR="00091BE1">
        <w:rPr>
          <w:rFonts w:ascii="Times New Roman" w:hAnsi="Times New Roman" w:cs="Times New Roman"/>
          <w:sz w:val="24"/>
          <w:szCs w:val="24"/>
        </w:rPr>
        <w:t xml:space="preserve"> impacting the cashing of checks</w:t>
      </w:r>
      <w:r w:rsidR="00091BE1" w:rsidRPr="00FA289C">
        <w:rPr>
          <w:rFonts w:ascii="Times New Roman" w:hAnsi="Times New Roman" w:cs="Times New Roman"/>
          <w:sz w:val="24"/>
          <w:szCs w:val="24"/>
        </w:rPr>
        <w:t xml:space="preserve"> and customers who were recent participants would experience delays in receiving </w:t>
      </w:r>
      <w:r w:rsidR="00091BE1">
        <w:rPr>
          <w:rFonts w:ascii="Times New Roman" w:hAnsi="Times New Roman" w:cs="Times New Roman"/>
          <w:sz w:val="24"/>
          <w:szCs w:val="24"/>
        </w:rPr>
        <w:t>their</w:t>
      </w:r>
      <w:r w:rsidR="00091BE1" w:rsidRPr="00FA289C">
        <w:rPr>
          <w:rFonts w:ascii="Times New Roman" w:hAnsi="Times New Roman" w:cs="Times New Roman"/>
          <w:sz w:val="24"/>
          <w:szCs w:val="24"/>
        </w:rPr>
        <w:t xml:space="preserve"> checks.   </w:t>
      </w:r>
    </w:p>
    <w:p w14:paraId="2451CD96" w14:textId="77777777" w:rsidR="00091BE1" w:rsidRPr="00FA289C" w:rsidRDefault="00091BE1" w:rsidP="00091BE1">
      <w:pPr>
        <w:contextualSpacing/>
        <w:jc w:val="both"/>
        <w:rPr>
          <w:rFonts w:ascii="Times New Roman" w:hAnsi="Times New Roman" w:cs="Times New Roman"/>
          <w:sz w:val="24"/>
          <w:szCs w:val="24"/>
        </w:rPr>
      </w:pPr>
    </w:p>
    <w:p w14:paraId="2451CD97" w14:textId="77777777" w:rsidR="00091BE1" w:rsidRPr="00FA289C" w:rsidRDefault="00091BE1" w:rsidP="00091BE1">
      <w:pPr>
        <w:contextualSpacing/>
        <w:jc w:val="both"/>
        <w:rPr>
          <w:rFonts w:ascii="Times New Roman" w:hAnsi="Times New Roman" w:cs="Times New Roman"/>
          <w:sz w:val="24"/>
          <w:szCs w:val="24"/>
        </w:rPr>
      </w:pPr>
      <w:r w:rsidRPr="00FA289C">
        <w:rPr>
          <w:rFonts w:ascii="Times New Roman" w:hAnsi="Times New Roman" w:cs="Times New Roman"/>
          <w:sz w:val="24"/>
          <w:szCs w:val="24"/>
        </w:rPr>
        <w:t xml:space="preserve">On </w:t>
      </w:r>
      <w:r>
        <w:rPr>
          <w:rFonts w:ascii="Times New Roman" w:hAnsi="Times New Roman" w:cs="Times New Roman"/>
          <w:sz w:val="24"/>
          <w:szCs w:val="24"/>
        </w:rPr>
        <w:t>November 30, 2015</w:t>
      </w:r>
      <w:r w:rsidR="00210B55">
        <w:rPr>
          <w:rFonts w:ascii="Times New Roman" w:hAnsi="Times New Roman" w:cs="Times New Roman"/>
          <w:sz w:val="24"/>
          <w:szCs w:val="24"/>
        </w:rPr>
        <w:t>,</w:t>
      </w:r>
      <w:r>
        <w:rPr>
          <w:rFonts w:ascii="Times New Roman" w:hAnsi="Times New Roman" w:cs="Times New Roman"/>
          <w:sz w:val="24"/>
          <w:szCs w:val="24"/>
        </w:rPr>
        <w:t xml:space="preserve"> </w:t>
      </w:r>
      <w:r w:rsidRPr="00FA289C">
        <w:rPr>
          <w:rFonts w:ascii="Times New Roman" w:hAnsi="Times New Roman" w:cs="Times New Roman"/>
          <w:sz w:val="24"/>
          <w:szCs w:val="24"/>
        </w:rPr>
        <w:t>the Company notified the</w:t>
      </w:r>
      <w:r>
        <w:rPr>
          <w:rFonts w:ascii="Times New Roman" w:hAnsi="Times New Roman" w:cs="Times New Roman"/>
          <w:sz w:val="24"/>
          <w:szCs w:val="24"/>
        </w:rPr>
        <w:t xml:space="preserve"> </w:t>
      </w:r>
      <w:r w:rsidR="00E03E53">
        <w:rPr>
          <w:rFonts w:ascii="Times New Roman" w:hAnsi="Times New Roman" w:cs="Times New Roman"/>
          <w:sz w:val="24"/>
          <w:szCs w:val="24"/>
        </w:rPr>
        <w:t>DSM</w:t>
      </w:r>
      <w:r>
        <w:rPr>
          <w:rFonts w:ascii="Times New Roman" w:hAnsi="Times New Roman" w:cs="Times New Roman"/>
          <w:sz w:val="24"/>
          <w:szCs w:val="24"/>
        </w:rPr>
        <w:t xml:space="preserve"> Advisory </w:t>
      </w:r>
      <w:r w:rsidR="00860E7D">
        <w:rPr>
          <w:rFonts w:ascii="Times New Roman" w:hAnsi="Times New Roman" w:cs="Times New Roman"/>
          <w:sz w:val="24"/>
          <w:szCs w:val="24"/>
        </w:rPr>
        <w:t>Group of</w:t>
      </w:r>
      <w:r w:rsidRPr="00FA289C">
        <w:rPr>
          <w:rFonts w:ascii="Times New Roman" w:hAnsi="Times New Roman" w:cs="Times New Roman"/>
          <w:sz w:val="24"/>
          <w:szCs w:val="24"/>
        </w:rPr>
        <w:t xml:space="preserve"> the recent developments with JACO</w:t>
      </w:r>
      <w:r>
        <w:rPr>
          <w:rFonts w:ascii="Times New Roman" w:hAnsi="Times New Roman" w:cs="Times New Roman"/>
          <w:sz w:val="24"/>
          <w:szCs w:val="24"/>
        </w:rPr>
        <w:t xml:space="preserve"> and </w:t>
      </w:r>
      <w:r w:rsidRPr="00FA289C">
        <w:rPr>
          <w:rFonts w:ascii="Times New Roman" w:hAnsi="Times New Roman" w:cs="Times New Roman"/>
          <w:sz w:val="24"/>
          <w:szCs w:val="24"/>
        </w:rPr>
        <w:t>the unavailabilit</w:t>
      </w:r>
      <w:r>
        <w:rPr>
          <w:rFonts w:ascii="Times New Roman" w:hAnsi="Times New Roman" w:cs="Times New Roman"/>
          <w:sz w:val="24"/>
          <w:szCs w:val="24"/>
        </w:rPr>
        <w:t>y of the program offer ahea</w:t>
      </w:r>
      <w:r w:rsidR="00CE321D">
        <w:rPr>
          <w:rFonts w:ascii="Times New Roman" w:hAnsi="Times New Roman" w:cs="Times New Roman"/>
          <w:sz w:val="24"/>
          <w:szCs w:val="24"/>
        </w:rPr>
        <w:t>d of the scheduled suspension of the program</w:t>
      </w:r>
      <w:r>
        <w:rPr>
          <w:rFonts w:ascii="Times New Roman" w:hAnsi="Times New Roman" w:cs="Times New Roman"/>
          <w:sz w:val="24"/>
          <w:szCs w:val="24"/>
        </w:rPr>
        <w:t xml:space="preserve"> </w:t>
      </w:r>
      <w:r w:rsidR="00860E7D">
        <w:rPr>
          <w:rFonts w:ascii="Times New Roman" w:hAnsi="Times New Roman" w:cs="Times New Roman"/>
          <w:sz w:val="24"/>
          <w:szCs w:val="24"/>
        </w:rPr>
        <w:t>a</w:t>
      </w:r>
      <w:r>
        <w:rPr>
          <w:rFonts w:ascii="Times New Roman" w:hAnsi="Times New Roman" w:cs="Times New Roman"/>
          <w:sz w:val="24"/>
          <w:szCs w:val="24"/>
        </w:rPr>
        <w:t>nd the C</w:t>
      </w:r>
      <w:r w:rsidRPr="00FA289C">
        <w:rPr>
          <w:rFonts w:ascii="Times New Roman" w:hAnsi="Times New Roman" w:cs="Times New Roman"/>
          <w:sz w:val="24"/>
          <w:szCs w:val="24"/>
        </w:rPr>
        <w:t>ompany’s plan to use the program change process to suspend the appliance recycling offer and allow time t</w:t>
      </w:r>
      <w:r>
        <w:rPr>
          <w:rFonts w:ascii="Times New Roman" w:hAnsi="Times New Roman" w:cs="Times New Roman"/>
          <w:sz w:val="24"/>
          <w:szCs w:val="24"/>
        </w:rPr>
        <w:t>o evaluate the options</w:t>
      </w:r>
      <w:r w:rsidRPr="00FA289C">
        <w:rPr>
          <w:rFonts w:ascii="Times New Roman" w:hAnsi="Times New Roman" w:cs="Times New Roman"/>
          <w:sz w:val="24"/>
          <w:szCs w:val="24"/>
        </w:rPr>
        <w:t xml:space="preserve">. </w:t>
      </w:r>
    </w:p>
    <w:p w14:paraId="2451CD98" w14:textId="77777777" w:rsidR="00091BE1" w:rsidRDefault="00091BE1" w:rsidP="00091BE1">
      <w:pPr>
        <w:contextualSpacing/>
        <w:jc w:val="both"/>
        <w:rPr>
          <w:rFonts w:ascii="Times New Roman" w:hAnsi="Times New Roman" w:cs="Times New Roman"/>
          <w:sz w:val="24"/>
          <w:szCs w:val="24"/>
        </w:rPr>
      </w:pPr>
    </w:p>
    <w:p w14:paraId="2451CD99" w14:textId="77777777" w:rsidR="00091BE1" w:rsidRPr="00FA289C" w:rsidRDefault="00A67A9F" w:rsidP="00091BE1">
      <w:pPr>
        <w:contextualSpacing/>
        <w:jc w:val="both"/>
        <w:rPr>
          <w:rFonts w:ascii="Times New Roman" w:hAnsi="Times New Roman" w:cs="Times New Roman"/>
          <w:sz w:val="24"/>
          <w:szCs w:val="24"/>
        </w:rPr>
      </w:pPr>
      <w:r>
        <w:rPr>
          <w:rFonts w:ascii="Times New Roman" w:hAnsi="Times New Roman" w:cs="Times New Roman"/>
          <w:sz w:val="24"/>
          <w:szCs w:val="24"/>
        </w:rPr>
        <w:t>The</w:t>
      </w:r>
      <w:r w:rsidR="00091BE1">
        <w:rPr>
          <w:rFonts w:ascii="Times New Roman" w:hAnsi="Times New Roman" w:cs="Times New Roman"/>
          <w:sz w:val="24"/>
          <w:szCs w:val="24"/>
        </w:rPr>
        <w:t xml:space="preserve"> Company developed a process to pay </w:t>
      </w:r>
      <w:r w:rsidR="00FD42F8">
        <w:rPr>
          <w:rFonts w:ascii="Times New Roman" w:hAnsi="Times New Roman" w:cs="Times New Roman"/>
          <w:sz w:val="24"/>
          <w:szCs w:val="24"/>
        </w:rPr>
        <w:t xml:space="preserve">outstanding </w:t>
      </w:r>
      <w:r w:rsidR="00091BE1">
        <w:rPr>
          <w:rFonts w:ascii="Times New Roman" w:hAnsi="Times New Roman" w:cs="Times New Roman"/>
          <w:sz w:val="24"/>
          <w:szCs w:val="24"/>
        </w:rPr>
        <w:t xml:space="preserve">incentives and any bank fees incurred by customers. The process was communicated to affected customers on December 9, 2015. </w:t>
      </w:r>
    </w:p>
    <w:p w14:paraId="2451CD9A" w14:textId="77777777" w:rsidR="00091BE1" w:rsidRPr="00FA289C" w:rsidRDefault="00091BE1" w:rsidP="00091BE1">
      <w:pPr>
        <w:contextualSpacing/>
        <w:jc w:val="both"/>
        <w:rPr>
          <w:rFonts w:ascii="Times New Roman" w:hAnsi="Times New Roman" w:cs="Times New Roman"/>
          <w:sz w:val="24"/>
          <w:szCs w:val="24"/>
        </w:rPr>
      </w:pPr>
    </w:p>
    <w:p w14:paraId="2451CD9B" w14:textId="77777777" w:rsidR="00091BE1" w:rsidRDefault="00091BE1" w:rsidP="00091BE1">
      <w:pPr>
        <w:contextualSpacing/>
        <w:jc w:val="both"/>
        <w:rPr>
          <w:rFonts w:ascii="Times New Roman" w:hAnsi="Times New Roman"/>
          <w:sz w:val="24"/>
          <w:szCs w:val="24"/>
        </w:rPr>
      </w:pPr>
      <w:r w:rsidRPr="00FA289C">
        <w:rPr>
          <w:rFonts w:ascii="Times New Roman" w:hAnsi="Times New Roman" w:cs="Times New Roman"/>
          <w:sz w:val="24"/>
          <w:szCs w:val="24"/>
        </w:rPr>
        <w:t>During December 2015, the Company began an expedited sole source procurement process to contract for remedial or “clean-up” appliance recycling service</w:t>
      </w:r>
      <w:r>
        <w:rPr>
          <w:rFonts w:ascii="Times New Roman" w:hAnsi="Times New Roman" w:cs="Times New Roman"/>
          <w:sz w:val="24"/>
          <w:szCs w:val="24"/>
        </w:rPr>
        <w:t>s</w:t>
      </w:r>
      <w:r w:rsidRPr="00FA289C">
        <w:rPr>
          <w:rFonts w:ascii="Times New Roman" w:hAnsi="Times New Roman" w:cs="Times New Roman"/>
          <w:sz w:val="24"/>
          <w:szCs w:val="24"/>
        </w:rPr>
        <w:t>. This provider would contact customers who had pick-ups scheduled with JACO that were cancelled in late November and</w:t>
      </w:r>
      <w:r w:rsidR="00FD42F8">
        <w:rPr>
          <w:rFonts w:ascii="Times New Roman" w:hAnsi="Times New Roman" w:cs="Times New Roman"/>
          <w:sz w:val="24"/>
          <w:szCs w:val="24"/>
        </w:rPr>
        <w:t xml:space="preserve"> December and</w:t>
      </w:r>
      <w:r w:rsidRPr="00FA289C">
        <w:rPr>
          <w:rFonts w:ascii="Times New Roman" w:hAnsi="Times New Roman" w:cs="Times New Roman"/>
          <w:sz w:val="24"/>
          <w:szCs w:val="24"/>
        </w:rPr>
        <w:t xml:space="preserve"> if the customer was still interested, offer the same removal service and incentive. A contract with Appliance Recycling Centers of America (ARCA) was executed in late December and customer outreach began in </w:t>
      </w:r>
      <w:r w:rsidR="00FD42F8">
        <w:rPr>
          <w:rFonts w:ascii="Times New Roman" w:hAnsi="Times New Roman" w:cs="Times New Roman"/>
          <w:sz w:val="24"/>
          <w:szCs w:val="24"/>
        </w:rPr>
        <w:t>January</w:t>
      </w:r>
      <w:r w:rsidRPr="00FA289C">
        <w:rPr>
          <w:rFonts w:ascii="Times New Roman" w:hAnsi="Times New Roman" w:cs="Times New Roman"/>
          <w:sz w:val="24"/>
          <w:szCs w:val="24"/>
        </w:rPr>
        <w:t xml:space="preserve"> 2016. </w:t>
      </w:r>
      <w:r>
        <w:rPr>
          <w:rFonts w:ascii="Times New Roman" w:hAnsi="Times New Roman" w:cs="Times New Roman"/>
          <w:sz w:val="24"/>
          <w:szCs w:val="24"/>
        </w:rPr>
        <w:t xml:space="preserve"> Final costs and savings reported from the final recycled units will be included in the 2016 reporting period. </w:t>
      </w:r>
    </w:p>
    <w:p w14:paraId="2451CD9C" w14:textId="77777777" w:rsidR="00875475" w:rsidRPr="00B635A2" w:rsidRDefault="00875475" w:rsidP="00875475">
      <w:pPr>
        <w:pStyle w:val="Heading3"/>
        <w:rPr>
          <w:sz w:val="24"/>
          <w:szCs w:val="24"/>
        </w:rPr>
      </w:pPr>
      <w:bookmarkStart w:id="47" w:name="_Toc449356481"/>
      <w:bookmarkStart w:id="48" w:name="_Toc449510494"/>
      <w:r w:rsidRPr="00B635A2">
        <w:rPr>
          <w:sz w:val="24"/>
          <w:szCs w:val="24"/>
        </w:rPr>
        <w:t>Evaluation</w:t>
      </w:r>
      <w:bookmarkEnd w:id="47"/>
      <w:bookmarkEnd w:id="48"/>
    </w:p>
    <w:p w14:paraId="2451CD9D" w14:textId="77777777" w:rsidR="00256FBD" w:rsidRDefault="00256FBD" w:rsidP="00CE321D">
      <w:pPr>
        <w:jc w:val="both"/>
        <w:rPr>
          <w:rFonts w:ascii="Times New Roman" w:hAnsi="Times New Roman" w:cs="Times New Roman"/>
          <w:sz w:val="24"/>
          <w:szCs w:val="24"/>
        </w:rPr>
      </w:pPr>
    </w:p>
    <w:p w14:paraId="2451CD9E" w14:textId="77777777" w:rsidR="00A607DE" w:rsidRDefault="00CE321D" w:rsidP="00FD42F8">
      <w:pPr>
        <w:jc w:val="both"/>
        <w:rPr>
          <w:rFonts w:ascii="Times New Roman" w:hAnsi="Times New Roman" w:cs="Times New Roman"/>
          <w:sz w:val="24"/>
          <w:szCs w:val="24"/>
        </w:rPr>
      </w:pPr>
      <w:r>
        <w:rPr>
          <w:rFonts w:ascii="Times New Roman" w:hAnsi="Times New Roman" w:cs="Times New Roman"/>
          <w:sz w:val="24"/>
          <w:szCs w:val="24"/>
        </w:rPr>
        <w:t>A</w:t>
      </w:r>
      <w:r w:rsidR="004B64E1" w:rsidRPr="00282247">
        <w:rPr>
          <w:rFonts w:ascii="Times New Roman" w:hAnsi="Times New Roman" w:cs="Times New Roman"/>
          <w:sz w:val="24"/>
          <w:szCs w:val="24"/>
        </w:rPr>
        <w:t xml:space="preserve"> process and impact evaluation </w:t>
      </w:r>
      <w:r w:rsidR="00A607DE">
        <w:rPr>
          <w:rFonts w:ascii="Times New Roman" w:hAnsi="Times New Roman" w:cs="Times New Roman"/>
          <w:sz w:val="24"/>
          <w:szCs w:val="24"/>
        </w:rPr>
        <w:t>for program years 2013-</w:t>
      </w:r>
      <w:r>
        <w:rPr>
          <w:rFonts w:ascii="Times New Roman" w:hAnsi="Times New Roman" w:cs="Times New Roman"/>
          <w:sz w:val="24"/>
          <w:szCs w:val="24"/>
        </w:rPr>
        <w:t xml:space="preserve">2014 </w:t>
      </w:r>
      <w:r w:rsidR="004B64E1" w:rsidRPr="00282247">
        <w:rPr>
          <w:rFonts w:ascii="Times New Roman" w:hAnsi="Times New Roman" w:cs="Times New Roman"/>
          <w:sz w:val="24"/>
          <w:szCs w:val="24"/>
        </w:rPr>
        <w:t xml:space="preserve">was </w:t>
      </w:r>
      <w:r>
        <w:rPr>
          <w:rFonts w:ascii="Times New Roman" w:hAnsi="Times New Roman" w:cs="Times New Roman"/>
          <w:sz w:val="24"/>
          <w:szCs w:val="24"/>
        </w:rPr>
        <w:t>in</w:t>
      </w:r>
      <w:r w:rsidR="004B64E1">
        <w:rPr>
          <w:rFonts w:ascii="Times New Roman" w:hAnsi="Times New Roman" w:cs="Times New Roman"/>
          <w:sz w:val="24"/>
          <w:szCs w:val="24"/>
        </w:rPr>
        <w:t xml:space="preserve"> process </w:t>
      </w:r>
      <w:r w:rsidR="004B64E1" w:rsidRPr="00282247">
        <w:rPr>
          <w:rFonts w:ascii="Times New Roman" w:hAnsi="Times New Roman" w:cs="Times New Roman"/>
          <w:sz w:val="24"/>
          <w:szCs w:val="24"/>
        </w:rPr>
        <w:t xml:space="preserve">by a third party evaluator </w:t>
      </w:r>
      <w:r w:rsidR="00692CDD">
        <w:rPr>
          <w:rFonts w:ascii="Times New Roman" w:hAnsi="Times New Roman" w:cs="Times New Roman"/>
          <w:sz w:val="24"/>
          <w:szCs w:val="24"/>
        </w:rPr>
        <w:t>during 2015</w:t>
      </w:r>
      <w:r w:rsidR="004B64E1" w:rsidRPr="00282247">
        <w:rPr>
          <w:rFonts w:ascii="Times New Roman" w:hAnsi="Times New Roman" w:cs="Times New Roman"/>
          <w:sz w:val="24"/>
          <w:szCs w:val="24"/>
        </w:rPr>
        <w:t>.</w:t>
      </w:r>
      <w:r w:rsidR="00A607DE">
        <w:rPr>
          <w:rFonts w:ascii="Times New Roman" w:hAnsi="Times New Roman" w:cs="Times New Roman"/>
          <w:sz w:val="24"/>
          <w:szCs w:val="24"/>
        </w:rPr>
        <w:t xml:space="preserve"> The impact results were made available to the Company in 2015 to ass</w:t>
      </w:r>
      <w:r w:rsidR="00E01CCC">
        <w:rPr>
          <w:rFonts w:ascii="Times New Roman" w:hAnsi="Times New Roman" w:cs="Times New Roman"/>
          <w:sz w:val="24"/>
          <w:szCs w:val="24"/>
        </w:rPr>
        <w:t>ist with the 2016-2017 planning process</w:t>
      </w:r>
      <w:r w:rsidR="00A607DE">
        <w:rPr>
          <w:rFonts w:ascii="Times New Roman" w:hAnsi="Times New Roman" w:cs="Times New Roman"/>
          <w:sz w:val="24"/>
          <w:szCs w:val="24"/>
        </w:rPr>
        <w:t>.</w:t>
      </w:r>
    </w:p>
    <w:p w14:paraId="2451CD9F" w14:textId="77777777" w:rsidR="00A607DE" w:rsidRDefault="00A607DE" w:rsidP="00FD42F8">
      <w:pPr>
        <w:jc w:val="both"/>
        <w:rPr>
          <w:rFonts w:ascii="Times New Roman" w:hAnsi="Times New Roman" w:cs="Times New Roman"/>
          <w:sz w:val="24"/>
          <w:szCs w:val="24"/>
        </w:rPr>
      </w:pPr>
    </w:p>
    <w:p w14:paraId="2451CDA0" w14:textId="77777777" w:rsidR="00D96B39" w:rsidRDefault="00D96B39" w:rsidP="00CE321D">
      <w:pPr>
        <w:jc w:val="both"/>
        <w:rPr>
          <w:rFonts w:ascii="Times New Roman" w:hAnsi="Times New Roman"/>
          <w:sz w:val="24"/>
          <w:szCs w:val="24"/>
        </w:rPr>
      </w:pPr>
    </w:p>
    <w:p w14:paraId="2451CDA1" w14:textId="77777777" w:rsidR="00D96B39" w:rsidRDefault="00D96B39" w:rsidP="00CE321D">
      <w:pPr>
        <w:jc w:val="both"/>
        <w:rPr>
          <w:rFonts w:ascii="Times New Roman" w:hAnsi="Times New Roman"/>
          <w:sz w:val="24"/>
          <w:szCs w:val="24"/>
        </w:rPr>
      </w:pPr>
    </w:p>
    <w:p w14:paraId="2451CDA2" w14:textId="77777777" w:rsidR="00860E7D" w:rsidRDefault="00860E7D" w:rsidP="00875475">
      <w:pPr>
        <w:jc w:val="both"/>
        <w:rPr>
          <w:rFonts w:ascii="Times New Roman" w:hAnsi="Times New Roman"/>
          <w:sz w:val="24"/>
          <w:szCs w:val="24"/>
        </w:rPr>
      </w:pPr>
    </w:p>
    <w:p w14:paraId="2451CDA3" w14:textId="77777777" w:rsidR="00860E7D" w:rsidRDefault="00860E7D" w:rsidP="00875475">
      <w:pPr>
        <w:jc w:val="both"/>
        <w:rPr>
          <w:rFonts w:ascii="Times New Roman" w:hAnsi="Times New Roman"/>
          <w:sz w:val="24"/>
          <w:szCs w:val="24"/>
        </w:rPr>
      </w:pPr>
    </w:p>
    <w:p w14:paraId="2451CDA4" w14:textId="77777777" w:rsidR="00860E7D" w:rsidRDefault="00860E7D" w:rsidP="00875475">
      <w:pPr>
        <w:jc w:val="both"/>
        <w:rPr>
          <w:rFonts w:ascii="Times New Roman" w:hAnsi="Times New Roman"/>
          <w:sz w:val="24"/>
          <w:szCs w:val="24"/>
        </w:rPr>
        <w:sectPr w:rsidR="00860E7D" w:rsidSect="00EB7445">
          <w:pgSz w:w="12240" w:h="15840"/>
          <w:pgMar w:top="1440" w:right="1440" w:bottom="1440" w:left="1440" w:header="720" w:footer="720" w:gutter="0"/>
          <w:cols w:space="720"/>
          <w:titlePg/>
          <w:docGrid w:linePitch="360"/>
        </w:sectPr>
      </w:pPr>
    </w:p>
    <w:p w14:paraId="2451CDA5" w14:textId="77777777" w:rsidR="00214C10" w:rsidRDefault="00214C10" w:rsidP="00CE0B1A">
      <w:pPr>
        <w:pStyle w:val="Heading2"/>
      </w:pPr>
      <w:bookmarkStart w:id="49" w:name="_Toc449510495"/>
      <w:r w:rsidRPr="007968A8">
        <w:lastRenderedPageBreak/>
        <w:t>Low Income Weatherization</w:t>
      </w:r>
      <w:bookmarkEnd w:id="49"/>
    </w:p>
    <w:p w14:paraId="2451CDA6" w14:textId="77777777" w:rsidR="009927F1" w:rsidRPr="009927F1" w:rsidRDefault="009927F1" w:rsidP="009927F1"/>
    <w:p w14:paraId="2451CDA7" w14:textId="77777777" w:rsidR="004B64E1" w:rsidRPr="007716B1" w:rsidRDefault="004B64E1" w:rsidP="004B64E1">
      <w:pPr>
        <w:jc w:val="both"/>
        <w:rPr>
          <w:rFonts w:ascii="Times New Roman" w:hAnsi="Times New Roman" w:cs="Times New Roman"/>
          <w:sz w:val="24"/>
          <w:szCs w:val="24"/>
        </w:rPr>
      </w:pPr>
      <w:r w:rsidRPr="00CA4A03">
        <w:rPr>
          <w:rFonts w:ascii="Times New Roman" w:hAnsi="Times New Roman" w:cs="Times New Roman"/>
          <w:sz w:val="24"/>
          <w:szCs w:val="24"/>
        </w:rPr>
        <w:t xml:space="preserve">The </w:t>
      </w:r>
      <w:r>
        <w:rPr>
          <w:rFonts w:ascii="Times New Roman" w:hAnsi="Times New Roman" w:cs="Times New Roman"/>
          <w:i/>
          <w:sz w:val="24"/>
          <w:szCs w:val="24"/>
        </w:rPr>
        <w:t xml:space="preserve">Low Income Weatherization </w:t>
      </w:r>
      <w:r w:rsidRPr="00CA2865">
        <w:rPr>
          <w:rFonts w:ascii="Times New Roman" w:hAnsi="Times New Roman" w:cs="Times New Roman"/>
          <w:sz w:val="24"/>
          <w:szCs w:val="24"/>
        </w:rPr>
        <w:t>program</w:t>
      </w:r>
      <w:r w:rsidRPr="009D20EC">
        <w:rPr>
          <w:rFonts w:ascii="Times New Roman" w:hAnsi="Times New Roman" w:cs="Times New Roman"/>
          <w:sz w:val="24"/>
          <w:szCs w:val="24"/>
        </w:rPr>
        <w:t xml:space="preserve"> </w:t>
      </w:r>
      <w:r>
        <w:rPr>
          <w:rFonts w:ascii="Times New Roman" w:hAnsi="Times New Roman" w:cs="Times New Roman"/>
          <w:sz w:val="24"/>
          <w:szCs w:val="24"/>
        </w:rPr>
        <w:t xml:space="preserve">provides energy efficiency services through a partnership between the Company and local non-profit agencies to residential customers who meet income-eligible guidelines. Services are at no cost to the program participants. </w:t>
      </w:r>
      <w:r w:rsidR="00AB1378" w:rsidRPr="00575E4D">
        <w:rPr>
          <w:rFonts w:ascii="Times New Roman" w:hAnsi="Times New Roman" w:cs="Times New Roman"/>
        </w:rPr>
        <w:t>Cost effectiveness for the Low Income Weatherization program was not included</w:t>
      </w:r>
      <w:r w:rsidR="00AB1378">
        <w:rPr>
          <w:rFonts w:ascii="Times New Roman" w:hAnsi="Times New Roman" w:cs="Times New Roman"/>
        </w:rPr>
        <w:t xml:space="preserve"> in the portfolio or sector-level analysis</w:t>
      </w:r>
      <w:r w:rsidR="00AB1378" w:rsidRPr="00575E4D">
        <w:rPr>
          <w:rFonts w:ascii="Times New Roman" w:hAnsi="Times New Roman" w:cs="Times New Roman"/>
        </w:rPr>
        <w:t xml:space="preserve"> per WAC 480-109-100 (10)(b)</w:t>
      </w:r>
      <w:r w:rsidR="00AB1378">
        <w:rPr>
          <w:rFonts w:ascii="Times New Roman" w:hAnsi="Times New Roman" w:cs="Times New Roman"/>
        </w:rPr>
        <w:t>.</w:t>
      </w:r>
    </w:p>
    <w:p w14:paraId="2451CDA8" w14:textId="77777777" w:rsidR="004B64E1" w:rsidRDefault="004B64E1" w:rsidP="004B64E1">
      <w:pPr>
        <w:rPr>
          <w:rFonts w:ascii="Times New Roman" w:hAnsi="Times New Roman" w:cs="Times New Roman"/>
          <w:sz w:val="24"/>
          <w:szCs w:val="24"/>
        </w:rPr>
      </w:pPr>
    </w:p>
    <w:p w14:paraId="2451CDA9" w14:textId="77777777" w:rsidR="00214AA5" w:rsidRDefault="004B64E1" w:rsidP="00F14DE0">
      <w:pPr>
        <w:jc w:val="both"/>
        <w:rPr>
          <w:rFonts w:ascii="Times New Roman" w:hAnsi="Times New Roman" w:cs="Times New Roman"/>
          <w:sz w:val="24"/>
          <w:szCs w:val="24"/>
        </w:rPr>
      </w:pPr>
      <w:r>
        <w:rPr>
          <w:rFonts w:ascii="Times New Roman" w:hAnsi="Times New Roman" w:cs="Times New Roman"/>
          <w:sz w:val="24"/>
          <w:szCs w:val="24"/>
        </w:rPr>
        <w:t>Total homes treated under the program in 2015, as well as the type and frequency of specific energy efficiency measures installed in each home, is provided in Table 15.</w:t>
      </w:r>
    </w:p>
    <w:p w14:paraId="2451CDAA" w14:textId="77777777" w:rsidR="004B64E1" w:rsidRDefault="004B64E1" w:rsidP="004B64E1">
      <w:pPr>
        <w:rPr>
          <w:rFonts w:ascii="Times New Roman" w:hAnsi="Times New Roman" w:cs="Times New Roman"/>
          <w:sz w:val="24"/>
          <w:szCs w:val="24"/>
        </w:rPr>
      </w:pPr>
    </w:p>
    <w:p w14:paraId="2451CDAB" w14:textId="77777777" w:rsidR="00214AA5" w:rsidRDefault="00214AA5" w:rsidP="00214AA5">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Table </w:t>
      </w:r>
      <w:r w:rsidR="00B24613">
        <w:rPr>
          <w:rFonts w:ascii="Times New Roman" w:hAnsi="Times New Roman" w:cs="Times New Roman"/>
          <w:color w:val="548DD4" w:themeColor="text2" w:themeTint="99"/>
          <w:sz w:val="24"/>
          <w:szCs w:val="24"/>
        </w:rPr>
        <w:t>15</w:t>
      </w:r>
    </w:p>
    <w:p w14:paraId="2451CDAC" w14:textId="77777777" w:rsidR="00214AA5" w:rsidRDefault="00214AA5" w:rsidP="00214AA5">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Eligible Program Measures (Units)</w:t>
      </w:r>
    </w:p>
    <w:p w14:paraId="2451CDAD" w14:textId="77777777" w:rsidR="00214AA5" w:rsidRDefault="00214AA5" w:rsidP="00214AA5">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90"/>
        <w:gridCol w:w="1530"/>
      </w:tblGrid>
      <w:tr w:rsidR="00091BE1" w14:paraId="2451CDB0" w14:textId="77777777" w:rsidTr="00986EBF">
        <w:trPr>
          <w:jc w:val="center"/>
        </w:trPr>
        <w:tc>
          <w:tcPr>
            <w:tcW w:w="45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51CDAE" w14:textId="77777777" w:rsidR="00091BE1" w:rsidRPr="00986EBF" w:rsidRDefault="00091BE1" w:rsidP="00CB1948">
            <w:pPr>
              <w:jc w:val="center"/>
              <w:rPr>
                <w:rFonts w:cs="Times New Roman"/>
                <w:b/>
                <w:sz w:val="20"/>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51CDAF" w14:textId="77777777" w:rsidR="00091BE1" w:rsidRPr="00986EBF" w:rsidRDefault="00986EBF" w:rsidP="00CB1948">
            <w:pPr>
              <w:jc w:val="center"/>
              <w:rPr>
                <w:rFonts w:cs="Times New Roman"/>
                <w:b/>
                <w:sz w:val="20"/>
                <w:szCs w:val="24"/>
              </w:rPr>
            </w:pPr>
            <w:r w:rsidRPr="00986EBF">
              <w:rPr>
                <w:rFonts w:cs="Times New Roman"/>
                <w:b/>
                <w:sz w:val="20"/>
                <w:szCs w:val="24"/>
              </w:rPr>
              <w:t>2015</w:t>
            </w:r>
            <w:r w:rsidR="00091BE1" w:rsidRPr="00986EBF">
              <w:rPr>
                <w:rFonts w:cs="Times New Roman"/>
                <w:b/>
                <w:sz w:val="20"/>
                <w:szCs w:val="24"/>
              </w:rPr>
              <w:t xml:space="preserve"> Total</w:t>
            </w:r>
          </w:p>
        </w:tc>
      </w:tr>
      <w:tr w:rsidR="00091BE1" w:rsidRPr="00986EBF" w14:paraId="2451CDB3"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B1" w14:textId="77777777" w:rsidR="00091BE1" w:rsidRPr="00986EBF" w:rsidRDefault="00091BE1" w:rsidP="00CB1948">
            <w:pPr>
              <w:rPr>
                <w:rFonts w:cs="Times New Roman"/>
                <w:b/>
                <w:sz w:val="20"/>
                <w:szCs w:val="24"/>
              </w:rPr>
            </w:pPr>
            <w:r w:rsidRPr="00986EBF">
              <w:rPr>
                <w:rFonts w:cs="Times New Roman"/>
                <w:b/>
                <w:sz w:val="20"/>
                <w:szCs w:val="24"/>
              </w:rPr>
              <w:t>Participation – Total # of Completed/Treated Homes</w:t>
            </w:r>
          </w:p>
        </w:tc>
        <w:tc>
          <w:tcPr>
            <w:tcW w:w="1530" w:type="dxa"/>
            <w:tcBorders>
              <w:top w:val="single" w:sz="4" w:space="0" w:color="auto"/>
              <w:left w:val="single" w:sz="4" w:space="0" w:color="auto"/>
              <w:bottom w:val="single" w:sz="4" w:space="0" w:color="auto"/>
              <w:right w:val="single" w:sz="4" w:space="0" w:color="auto"/>
            </w:tcBorders>
          </w:tcPr>
          <w:p w14:paraId="2451CDB2" w14:textId="77777777" w:rsidR="00091BE1" w:rsidRPr="00986EBF" w:rsidRDefault="00091BE1" w:rsidP="00CB1948">
            <w:pPr>
              <w:jc w:val="right"/>
              <w:rPr>
                <w:rFonts w:cs="Times New Roman"/>
                <w:b/>
                <w:sz w:val="20"/>
                <w:szCs w:val="24"/>
              </w:rPr>
            </w:pPr>
            <w:r w:rsidRPr="00986EBF">
              <w:rPr>
                <w:rFonts w:cs="Times New Roman"/>
                <w:b/>
                <w:sz w:val="20"/>
                <w:szCs w:val="24"/>
              </w:rPr>
              <w:t>98</w:t>
            </w:r>
          </w:p>
        </w:tc>
      </w:tr>
      <w:tr w:rsidR="00091BE1" w:rsidRPr="00986EBF" w14:paraId="2451CDB6"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B4" w14:textId="77777777" w:rsidR="00091BE1" w:rsidRPr="00986EBF" w:rsidRDefault="00091BE1" w:rsidP="00CB1948">
            <w:pPr>
              <w:rPr>
                <w:rFonts w:cs="Times New Roman"/>
                <w:sz w:val="20"/>
                <w:szCs w:val="24"/>
              </w:rPr>
            </w:pPr>
            <w:r w:rsidRPr="00986EBF">
              <w:rPr>
                <w:rFonts w:cs="Times New Roman"/>
                <w:sz w:val="20"/>
                <w:szCs w:val="24"/>
              </w:rPr>
              <w:t xml:space="preserve">   Number of Homes Receiving Specific Measures</w:t>
            </w:r>
          </w:p>
        </w:tc>
        <w:tc>
          <w:tcPr>
            <w:tcW w:w="1530" w:type="dxa"/>
            <w:tcBorders>
              <w:top w:val="single" w:sz="4" w:space="0" w:color="auto"/>
              <w:left w:val="single" w:sz="4" w:space="0" w:color="auto"/>
              <w:bottom w:val="single" w:sz="4" w:space="0" w:color="auto"/>
              <w:right w:val="single" w:sz="4" w:space="0" w:color="auto"/>
            </w:tcBorders>
          </w:tcPr>
          <w:p w14:paraId="2451CDB5" w14:textId="77777777" w:rsidR="00091BE1" w:rsidRPr="00986EBF" w:rsidRDefault="00091BE1" w:rsidP="00CB1948">
            <w:pPr>
              <w:jc w:val="right"/>
              <w:rPr>
                <w:rFonts w:cs="Times New Roman"/>
                <w:sz w:val="20"/>
                <w:szCs w:val="24"/>
              </w:rPr>
            </w:pPr>
          </w:p>
        </w:tc>
      </w:tr>
      <w:tr w:rsidR="00091BE1" w:rsidRPr="00986EBF" w14:paraId="2451CDB9" w14:textId="77777777" w:rsidTr="00CB1948">
        <w:trPr>
          <w:trHeight w:val="134"/>
          <w:jc w:val="center"/>
        </w:trPr>
        <w:tc>
          <w:tcPr>
            <w:tcW w:w="4590" w:type="dxa"/>
            <w:tcBorders>
              <w:top w:val="single" w:sz="4" w:space="0" w:color="auto"/>
              <w:left w:val="single" w:sz="4" w:space="0" w:color="auto"/>
              <w:bottom w:val="single" w:sz="4" w:space="0" w:color="auto"/>
              <w:right w:val="single" w:sz="4" w:space="0" w:color="auto"/>
            </w:tcBorders>
            <w:hideMark/>
          </w:tcPr>
          <w:p w14:paraId="2451CDB7" w14:textId="77777777" w:rsidR="00091BE1" w:rsidRPr="00986EBF" w:rsidRDefault="00091BE1" w:rsidP="00CB1948">
            <w:pPr>
              <w:rPr>
                <w:rFonts w:cs="Times New Roman"/>
                <w:sz w:val="20"/>
                <w:szCs w:val="24"/>
              </w:rPr>
            </w:pPr>
            <w:r w:rsidRPr="00986EBF">
              <w:rPr>
                <w:rFonts w:cs="Times New Roman"/>
                <w:sz w:val="20"/>
                <w:szCs w:val="24"/>
              </w:rPr>
              <w:t xml:space="preserve">      Aerators</w:t>
            </w:r>
          </w:p>
        </w:tc>
        <w:tc>
          <w:tcPr>
            <w:tcW w:w="1530" w:type="dxa"/>
            <w:tcBorders>
              <w:top w:val="single" w:sz="4" w:space="0" w:color="auto"/>
              <w:left w:val="single" w:sz="4" w:space="0" w:color="auto"/>
              <w:bottom w:val="single" w:sz="4" w:space="0" w:color="auto"/>
              <w:right w:val="single" w:sz="4" w:space="0" w:color="auto"/>
            </w:tcBorders>
          </w:tcPr>
          <w:p w14:paraId="2451CDB8" w14:textId="77777777" w:rsidR="00091BE1" w:rsidRPr="00986EBF" w:rsidRDefault="00091BE1" w:rsidP="00CB1948">
            <w:pPr>
              <w:jc w:val="right"/>
              <w:rPr>
                <w:rFonts w:cs="Times New Roman"/>
                <w:sz w:val="20"/>
                <w:szCs w:val="24"/>
              </w:rPr>
            </w:pPr>
            <w:r w:rsidRPr="00986EBF">
              <w:rPr>
                <w:rFonts w:cs="Times New Roman"/>
                <w:sz w:val="20"/>
                <w:szCs w:val="24"/>
              </w:rPr>
              <w:t>55</w:t>
            </w:r>
          </w:p>
        </w:tc>
      </w:tr>
      <w:tr w:rsidR="00091BE1" w:rsidRPr="00986EBF" w14:paraId="2451CDBC"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BA" w14:textId="77777777" w:rsidR="00091BE1" w:rsidRPr="00986EBF" w:rsidRDefault="00091BE1" w:rsidP="00CB1948">
            <w:pPr>
              <w:rPr>
                <w:rFonts w:cs="Times New Roman"/>
                <w:sz w:val="20"/>
                <w:szCs w:val="24"/>
              </w:rPr>
            </w:pPr>
            <w:r w:rsidRPr="00986EBF">
              <w:rPr>
                <w:rFonts w:cs="Times New Roman"/>
                <w:sz w:val="20"/>
                <w:szCs w:val="24"/>
              </w:rPr>
              <w:t xml:space="preserve">      Attic Ventilation</w:t>
            </w:r>
          </w:p>
        </w:tc>
        <w:tc>
          <w:tcPr>
            <w:tcW w:w="1530" w:type="dxa"/>
            <w:tcBorders>
              <w:top w:val="single" w:sz="4" w:space="0" w:color="auto"/>
              <w:left w:val="single" w:sz="4" w:space="0" w:color="auto"/>
              <w:bottom w:val="single" w:sz="4" w:space="0" w:color="auto"/>
              <w:right w:val="single" w:sz="4" w:space="0" w:color="auto"/>
            </w:tcBorders>
          </w:tcPr>
          <w:p w14:paraId="2451CDBB" w14:textId="77777777" w:rsidR="00091BE1" w:rsidRPr="00986EBF" w:rsidRDefault="00091BE1" w:rsidP="00CB1948">
            <w:pPr>
              <w:jc w:val="right"/>
              <w:rPr>
                <w:rFonts w:cs="Times New Roman"/>
                <w:sz w:val="20"/>
                <w:szCs w:val="24"/>
              </w:rPr>
            </w:pPr>
            <w:r w:rsidRPr="00986EBF">
              <w:rPr>
                <w:rFonts w:cs="Times New Roman"/>
                <w:sz w:val="20"/>
                <w:szCs w:val="24"/>
              </w:rPr>
              <w:t>63</w:t>
            </w:r>
          </w:p>
        </w:tc>
      </w:tr>
      <w:tr w:rsidR="00091BE1" w:rsidRPr="00986EBF" w14:paraId="2451CDBF"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BD" w14:textId="77777777" w:rsidR="00091BE1" w:rsidRPr="00986EBF" w:rsidRDefault="00091BE1" w:rsidP="00CB1948">
            <w:pPr>
              <w:rPr>
                <w:rFonts w:cs="Times New Roman"/>
                <w:sz w:val="20"/>
                <w:szCs w:val="24"/>
              </w:rPr>
            </w:pPr>
            <w:r w:rsidRPr="00986EBF">
              <w:rPr>
                <w:rFonts w:cs="Times New Roman"/>
                <w:sz w:val="20"/>
                <w:szCs w:val="24"/>
              </w:rPr>
              <w:t xml:space="preserve">      Caulk/Weather-stripping</w:t>
            </w:r>
          </w:p>
        </w:tc>
        <w:tc>
          <w:tcPr>
            <w:tcW w:w="1530" w:type="dxa"/>
            <w:tcBorders>
              <w:top w:val="single" w:sz="4" w:space="0" w:color="auto"/>
              <w:left w:val="single" w:sz="4" w:space="0" w:color="auto"/>
              <w:bottom w:val="single" w:sz="4" w:space="0" w:color="auto"/>
              <w:right w:val="single" w:sz="4" w:space="0" w:color="auto"/>
            </w:tcBorders>
          </w:tcPr>
          <w:p w14:paraId="2451CDBE" w14:textId="77777777" w:rsidR="00091BE1" w:rsidRPr="00986EBF" w:rsidRDefault="00091BE1" w:rsidP="00CB1948">
            <w:pPr>
              <w:jc w:val="right"/>
              <w:rPr>
                <w:rFonts w:cs="Times New Roman"/>
                <w:sz w:val="20"/>
                <w:szCs w:val="24"/>
              </w:rPr>
            </w:pPr>
            <w:r w:rsidRPr="00986EBF">
              <w:rPr>
                <w:rFonts w:cs="Times New Roman"/>
                <w:sz w:val="20"/>
                <w:szCs w:val="24"/>
              </w:rPr>
              <w:t>68</w:t>
            </w:r>
          </w:p>
        </w:tc>
      </w:tr>
      <w:tr w:rsidR="00091BE1" w:rsidRPr="00986EBF" w14:paraId="2451CDC2"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C0" w14:textId="77777777" w:rsidR="00091BE1" w:rsidRPr="00986EBF" w:rsidRDefault="00091BE1" w:rsidP="00CB1948">
            <w:pPr>
              <w:rPr>
                <w:rFonts w:cs="Times New Roman"/>
                <w:sz w:val="20"/>
                <w:szCs w:val="24"/>
              </w:rPr>
            </w:pPr>
            <w:r w:rsidRPr="00986EBF">
              <w:rPr>
                <w:rFonts w:cs="Times New Roman"/>
                <w:sz w:val="20"/>
                <w:szCs w:val="24"/>
              </w:rPr>
              <w:t xml:space="preserve">      Ceiling Insulation</w:t>
            </w:r>
          </w:p>
        </w:tc>
        <w:tc>
          <w:tcPr>
            <w:tcW w:w="1530" w:type="dxa"/>
            <w:tcBorders>
              <w:top w:val="single" w:sz="4" w:space="0" w:color="auto"/>
              <w:left w:val="single" w:sz="4" w:space="0" w:color="auto"/>
              <w:bottom w:val="single" w:sz="4" w:space="0" w:color="auto"/>
              <w:right w:val="single" w:sz="4" w:space="0" w:color="auto"/>
            </w:tcBorders>
          </w:tcPr>
          <w:p w14:paraId="2451CDC1" w14:textId="77777777" w:rsidR="00091BE1" w:rsidRPr="00986EBF" w:rsidRDefault="00091BE1" w:rsidP="00CB1948">
            <w:pPr>
              <w:jc w:val="right"/>
              <w:rPr>
                <w:rFonts w:cs="Times New Roman"/>
                <w:sz w:val="20"/>
                <w:szCs w:val="24"/>
              </w:rPr>
            </w:pPr>
            <w:r w:rsidRPr="00986EBF">
              <w:rPr>
                <w:rFonts w:cs="Times New Roman"/>
                <w:sz w:val="20"/>
                <w:szCs w:val="24"/>
              </w:rPr>
              <w:t>39</w:t>
            </w:r>
          </w:p>
        </w:tc>
      </w:tr>
      <w:tr w:rsidR="00091BE1" w:rsidRPr="00986EBF" w14:paraId="2451CDC5" w14:textId="77777777" w:rsidTr="00CB1948">
        <w:trPr>
          <w:trHeight w:val="134"/>
          <w:jc w:val="center"/>
        </w:trPr>
        <w:tc>
          <w:tcPr>
            <w:tcW w:w="4590" w:type="dxa"/>
            <w:tcBorders>
              <w:top w:val="single" w:sz="4" w:space="0" w:color="auto"/>
              <w:left w:val="single" w:sz="4" w:space="0" w:color="auto"/>
              <w:bottom w:val="single" w:sz="4" w:space="0" w:color="auto"/>
              <w:right w:val="single" w:sz="4" w:space="0" w:color="auto"/>
            </w:tcBorders>
            <w:hideMark/>
          </w:tcPr>
          <w:p w14:paraId="2451CDC3" w14:textId="77777777" w:rsidR="00091BE1" w:rsidRPr="00986EBF" w:rsidRDefault="00091BE1" w:rsidP="00CB1948">
            <w:pPr>
              <w:rPr>
                <w:rFonts w:cs="Times New Roman"/>
                <w:sz w:val="20"/>
                <w:szCs w:val="24"/>
              </w:rPr>
            </w:pPr>
            <w:r w:rsidRPr="00986EBF">
              <w:rPr>
                <w:rFonts w:cs="Times New Roman"/>
                <w:sz w:val="20"/>
                <w:szCs w:val="24"/>
              </w:rPr>
              <w:t xml:space="preserve">      Compact Fluorescent Light bulbs</w:t>
            </w:r>
          </w:p>
        </w:tc>
        <w:tc>
          <w:tcPr>
            <w:tcW w:w="1530" w:type="dxa"/>
            <w:tcBorders>
              <w:top w:val="single" w:sz="4" w:space="0" w:color="auto"/>
              <w:left w:val="single" w:sz="4" w:space="0" w:color="auto"/>
              <w:bottom w:val="single" w:sz="4" w:space="0" w:color="auto"/>
              <w:right w:val="single" w:sz="4" w:space="0" w:color="auto"/>
            </w:tcBorders>
          </w:tcPr>
          <w:p w14:paraId="2451CDC4" w14:textId="77777777" w:rsidR="00091BE1" w:rsidRPr="00986EBF" w:rsidRDefault="00091BE1" w:rsidP="00CB1948">
            <w:pPr>
              <w:jc w:val="right"/>
              <w:rPr>
                <w:rFonts w:cs="Times New Roman"/>
                <w:sz w:val="20"/>
                <w:szCs w:val="24"/>
              </w:rPr>
            </w:pPr>
            <w:r w:rsidRPr="00986EBF">
              <w:rPr>
                <w:rFonts w:cs="Times New Roman"/>
                <w:sz w:val="20"/>
                <w:szCs w:val="24"/>
              </w:rPr>
              <w:t>85</w:t>
            </w:r>
          </w:p>
        </w:tc>
      </w:tr>
      <w:tr w:rsidR="00091BE1" w:rsidRPr="00986EBF" w14:paraId="2451CDC8"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C6" w14:textId="77777777" w:rsidR="00091BE1" w:rsidRPr="00986EBF" w:rsidRDefault="00091BE1" w:rsidP="00CB1948">
            <w:pPr>
              <w:rPr>
                <w:rFonts w:cs="Times New Roman"/>
                <w:sz w:val="20"/>
                <w:szCs w:val="24"/>
              </w:rPr>
            </w:pPr>
            <w:r w:rsidRPr="00986EBF">
              <w:rPr>
                <w:rFonts w:cs="Times New Roman"/>
                <w:sz w:val="20"/>
                <w:szCs w:val="24"/>
              </w:rPr>
              <w:t xml:space="preserve">      Duct Insulation</w:t>
            </w:r>
          </w:p>
        </w:tc>
        <w:tc>
          <w:tcPr>
            <w:tcW w:w="1530" w:type="dxa"/>
            <w:tcBorders>
              <w:top w:val="single" w:sz="4" w:space="0" w:color="auto"/>
              <w:left w:val="single" w:sz="4" w:space="0" w:color="auto"/>
              <w:bottom w:val="single" w:sz="4" w:space="0" w:color="auto"/>
              <w:right w:val="single" w:sz="4" w:space="0" w:color="auto"/>
            </w:tcBorders>
          </w:tcPr>
          <w:p w14:paraId="2451CDC7" w14:textId="77777777" w:rsidR="00091BE1" w:rsidRPr="00986EBF" w:rsidRDefault="00091BE1" w:rsidP="00CB1948">
            <w:pPr>
              <w:jc w:val="right"/>
              <w:rPr>
                <w:rFonts w:cs="Times New Roman"/>
                <w:sz w:val="20"/>
                <w:szCs w:val="24"/>
              </w:rPr>
            </w:pPr>
            <w:r w:rsidRPr="00986EBF">
              <w:rPr>
                <w:rFonts w:cs="Times New Roman"/>
                <w:sz w:val="20"/>
                <w:szCs w:val="24"/>
              </w:rPr>
              <w:t>54</w:t>
            </w:r>
          </w:p>
        </w:tc>
      </w:tr>
      <w:tr w:rsidR="00091BE1" w:rsidRPr="00986EBF" w14:paraId="2451CDCB"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C9" w14:textId="77777777" w:rsidR="00091BE1" w:rsidRPr="00986EBF" w:rsidRDefault="00091BE1" w:rsidP="00CB1948">
            <w:pPr>
              <w:rPr>
                <w:rFonts w:cs="Times New Roman"/>
                <w:sz w:val="20"/>
                <w:szCs w:val="24"/>
              </w:rPr>
            </w:pPr>
            <w:r w:rsidRPr="00986EBF">
              <w:rPr>
                <w:rFonts w:cs="Times New Roman"/>
                <w:sz w:val="20"/>
                <w:szCs w:val="24"/>
              </w:rPr>
              <w:t xml:space="preserve">      Floor Insulation</w:t>
            </w:r>
          </w:p>
        </w:tc>
        <w:tc>
          <w:tcPr>
            <w:tcW w:w="1530" w:type="dxa"/>
            <w:tcBorders>
              <w:top w:val="single" w:sz="4" w:space="0" w:color="auto"/>
              <w:left w:val="single" w:sz="4" w:space="0" w:color="auto"/>
              <w:bottom w:val="single" w:sz="4" w:space="0" w:color="auto"/>
              <w:right w:val="single" w:sz="4" w:space="0" w:color="auto"/>
            </w:tcBorders>
          </w:tcPr>
          <w:p w14:paraId="2451CDCA" w14:textId="77777777" w:rsidR="00091BE1" w:rsidRPr="00986EBF" w:rsidRDefault="00091BE1" w:rsidP="00CB1948">
            <w:pPr>
              <w:jc w:val="right"/>
              <w:rPr>
                <w:rFonts w:cs="Times New Roman"/>
                <w:sz w:val="20"/>
                <w:szCs w:val="24"/>
              </w:rPr>
            </w:pPr>
            <w:r w:rsidRPr="00986EBF">
              <w:rPr>
                <w:rFonts w:cs="Times New Roman"/>
                <w:sz w:val="20"/>
                <w:szCs w:val="24"/>
              </w:rPr>
              <w:t>85</w:t>
            </w:r>
          </w:p>
        </w:tc>
      </w:tr>
      <w:tr w:rsidR="00091BE1" w:rsidRPr="00986EBF" w14:paraId="2451CDCE"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CC" w14:textId="77777777" w:rsidR="00091BE1" w:rsidRPr="00986EBF" w:rsidRDefault="00091BE1" w:rsidP="00CB1948">
            <w:pPr>
              <w:rPr>
                <w:rFonts w:cs="Times New Roman"/>
                <w:sz w:val="20"/>
                <w:szCs w:val="24"/>
              </w:rPr>
            </w:pPr>
            <w:r w:rsidRPr="00986EBF">
              <w:rPr>
                <w:rFonts w:cs="Times New Roman"/>
                <w:sz w:val="20"/>
                <w:szCs w:val="24"/>
              </w:rPr>
              <w:t xml:space="preserve">      Fluorescent Light Fixture</w:t>
            </w:r>
          </w:p>
        </w:tc>
        <w:tc>
          <w:tcPr>
            <w:tcW w:w="1530" w:type="dxa"/>
            <w:tcBorders>
              <w:top w:val="single" w:sz="4" w:space="0" w:color="auto"/>
              <w:left w:val="single" w:sz="4" w:space="0" w:color="auto"/>
              <w:bottom w:val="single" w:sz="4" w:space="0" w:color="auto"/>
              <w:right w:val="single" w:sz="4" w:space="0" w:color="auto"/>
            </w:tcBorders>
          </w:tcPr>
          <w:p w14:paraId="2451CDCD" w14:textId="77777777" w:rsidR="00091BE1" w:rsidRPr="00986EBF" w:rsidRDefault="00091BE1" w:rsidP="00CB1948">
            <w:pPr>
              <w:jc w:val="right"/>
              <w:rPr>
                <w:rFonts w:cs="Times New Roman"/>
                <w:sz w:val="20"/>
                <w:szCs w:val="24"/>
              </w:rPr>
            </w:pPr>
            <w:r w:rsidRPr="00986EBF">
              <w:rPr>
                <w:rFonts w:cs="Times New Roman"/>
                <w:sz w:val="20"/>
                <w:szCs w:val="24"/>
              </w:rPr>
              <w:t>16</w:t>
            </w:r>
          </w:p>
        </w:tc>
      </w:tr>
      <w:tr w:rsidR="00091BE1" w:rsidRPr="00986EBF" w14:paraId="2451CDD1"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CF" w14:textId="77777777" w:rsidR="00091BE1" w:rsidRPr="00986EBF" w:rsidRDefault="00091BE1" w:rsidP="00CB1948">
            <w:pPr>
              <w:rPr>
                <w:rFonts w:cs="Times New Roman"/>
                <w:sz w:val="20"/>
                <w:szCs w:val="24"/>
              </w:rPr>
            </w:pPr>
            <w:r w:rsidRPr="00986EBF">
              <w:rPr>
                <w:rFonts w:cs="Times New Roman"/>
                <w:sz w:val="20"/>
                <w:szCs w:val="24"/>
              </w:rPr>
              <w:t xml:space="preserve">      Ground Cover</w:t>
            </w:r>
          </w:p>
        </w:tc>
        <w:tc>
          <w:tcPr>
            <w:tcW w:w="1530" w:type="dxa"/>
            <w:tcBorders>
              <w:top w:val="single" w:sz="4" w:space="0" w:color="auto"/>
              <w:left w:val="single" w:sz="4" w:space="0" w:color="auto"/>
              <w:bottom w:val="single" w:sz="4" w:space="0" w:color="auto"/>
              <w:right w:val="single" w:sz="4" w:space="0" w:color="auto"/>
            </w:tcBorders>
          </w:tcPr>
          <w:p w14:paraId="2451CDD0" w14:textId="77777777" w:rsidR="00091BE1" w:rsidRPr="00986EBF" w:rsidRDefault="00091BE1" w:rsidP="00CB1948">
            <w:pPr>
              <w:jc w:val="right"/>
              <w:rPr>
                <w:rFonts w:cs="Times New Roman"/>
                <w:sz w:val="20"/>
                <w:szCs w:val="24"/>
              </w:rPr>
            </w:pPr>
            <w:r w:rsidRPr="00986EBF">
              <w:rPr>
                <w:rFonts w:cs="Times New Roman"/>
                <w:sz w:val="20"/>
                <w:szCs w:val="24"/>
              </w:rPr>
              <w:t>71</w:t>
            </w:r>
          </w:p>
        </w:tc>
      </w:tr>
      <w:tr w:rsidR="00091BE1" w:rsidRPr="00986EBF" w14:paraId="2451CDD4"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D2" w14:textId="77777777" w:rsidR="00091BE1" w:rsidRPr="00986EBF" w:rsidRDefault="00091BE1" w:rsidP="00CB1948">
            <w:pPr>
              <w:rPr>
                <w:rFonts w:cs="Times New Roman"/>
                <w:sz w:val="20"/>
                <w:szCs w:val="24"/>
              </w:rPr>
            </w:pPr>
            <w:r w:rsidRPr="00986EBF">
              <w:rPr>
                <w:rFonts w:cs="Times New Roman"/>
                <w:sz w:val="20"/>
                <w:szCs w:val="24"/>
              </w:rPr>
              <w:t xml:space="preserve">      Infiltration</w:t>
            </w:r>
          </w:p>
        </w:tc>
        <w:tc>
          <w:tcPr>
            <w:tcW w:w="1530" w:type="dxa"/>
            <w:tcBorders>
              <w:top w:val="single" w:sz="4" w:space="0" w:color="auto"/>
              <w:left w:val="single" w:sz="4" w:space="0" w:color="auto"/>
              <w:bottom w:val="single" w:sz="4" w:space="0" w:color="auto"/>
              <w:right w:val="single" w:sz="4" w:space="0" w:color="auto"/>
            </w:tcBorders>
          </w:tcPr>
          <w:p w14:paraId="2451CDD3" w14:textId="77777777" w:rsidR="00091BE1" w:rsidRPr="00986EBF" w:rsidRDefault="00091BE1" w:rsidP="00CB1948">
            <w:pPr>
              <w:jc w:val="right"/>
              <w:rPr>
                <w:rFonts w:cs="Times New Roman"/>
                <w:sz w:val="20"/>
                <w:szCs w:val="24"/>
              </w:rPr>
            </w:pPr>
            <w:r w:rsidRPr="00986EBF">
              <w:rPr>
                <w:rFonts w:cs="Times New Roman"/>
                <w:sz w:val="20"/>
                <w:szCs w:val="24"/>
              </w:rPr>
              <w:t>95</w:t>
            </w:r>
          </w:p>
        </w:tc>
      </w:tr>
      <w:tr w:rsidR="00091BE1" w:rsidRPr="00986EBF" w14:paraId="2451CDD7" w14:textId="77777777" w:rsidTr="00CB1948">
        <w:trPr>
          <w:trHeight w:val="134"/>
          <w:jc w:val="center"/>
        </w:trPr>
        <w:tc>
          <w:tcPr>
            <w:tcW w:w="4590" w:type="dxa"/>
            <w:tcBorders>
              <w:top w:val="single" w:sz="4" w:space="0" w:color="auto"/>
              <w:left w:val="single" w:sz="4" w:space="0" w:color="auto"/>
              <w:bottom w:val="single" w:sz="4" w:space="0" w:color="auto"/>
              <w:right w:val="single" w:sz="4" w:space="0" w:color="auto"/>
            </w:tcBorders>
            <w:hideMark/>
          </w:tcPr>
          <w:p w14:paraId="2451CDD5" w14:textId="77777777" w:rsidR="00091BE1" w:rsidRPr="00986EBF" w:rsidRDefault="00091BE1" w:rsidP="00CB1948">
            <w:pPr>
              <w:rPr>
                <w:rFonts w:cs="Times New Roman"/>
                <w:sz w:val="20"/>
                <w:szCs w:val="24"/>
              </w:rPr>
            </w:pPr>
            <w:r w:rsidRPr="00986EBF">
              <w:rPr>
                <w:rFonts w:cs="Times New Roman"/>
                <w:sz w:val="20"/>
                <w:szCs w:val="24"/>
              </w:rPr>
              <w:t xml:space="preserve">      Repairs</w:t>
            </w:r>
          </w:p>
        </w:tc>
        <w:tc>
          <w:tcPr>
            <w:tcW w:w="1530" w:type="dxa"/>
            <w:tcBorders>
              <w:top w:val="single" w:sz="4" w:space="0" w:color="auto"/>
              <w:left w:val="single" w:sz="4" w:space="0" w:color="auto"/>
              <w:bottom w:val="single" w:sz="4" w:space="0" w:color="auto"/>
              <w:right w:val="single" w:sz="4" w:space="0" w:color="auto"/>
            </w:tcBorders>
          </w:tcPr>
          <w:p w14:paraId="2451CDD6" w14:textId="77777777" w:rsidR="00091BE1" w:rsidRPr="00986EBF" w:rsidRDefault="00091BE1" w:rsidP="00CB1948">
            <w:pPr>
              <w:jc w:val="right"/>
              <w:rPr>
                <w:rFonts w:cs="Times New Roman"/>
                <w:sz w:val="20"/>
                <w:szCs w:val="24"/>
              </w:rPr>
            </w:pPr>
            <w:r w:rsidRPr="00986EBF">
              <w:rPr>
                <w:rFonts w:cs="Times New Roman"/>
                <w:sz w:val="20"/>
                <w:szCs w:val="24"/>
              </w:rPr>
              <w:t>34</w:t>
            </w:r>
          </w:p>
        </w:tc>
      </w:tr>
      <w:tr w:rsidR="00091BE1" w:rsidRPr="00986EBF" w14:paraId="2451CDDA"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D8" w14:textId="77777777" w:rsidR="00091BE1" w:rsidRPr="00986EBF" w:rsidRDefault="00091BE1" w:rsidP="00CB1948">
            <w:pPr>
              <w:rPr>
                <w:rFonts w:cs="Times New Roman"/>
                <w:sz w:val="20"/>
                <w:szCs w:val="24"/>
              </w:rPr>
            </w:pPr>
            <w:r w:rsidRPr="00986EBF">
              <w:rPr>
                <w:rFonts w:cs="Times New Roman"/>
                <w:sz w:val="20"/>
                <w:szCs w:val="24"/>
              </w:rPr>
              <w:t xml:space="preserve">      Replacement Refrigerators</w:t>
            </w:r>
          </w:p>
        </w:tc>
        <w:tc>
          <w:tcPr>
            <w:tcW w:w="1530" w:type="dxa"/>
            <w:tcBorders>
              <w:top w:val="single" w:sz="4" w:space="0" w:color="auto"/>
              <w:left w:val="single" w:sz="4" w:space="0" w:color="auto"/>
              <w:bottom w:val="single" w:sz="4" w:space="0" w:color="auto"/>
              <w:right w:val="single" w:sz="4" w:space="0" w:color="auto"/>
            </w:tcBorders>
          </w:tcPr>
          <w:p w14:paraId="2451CDD9" w14:textId="77777777" w:rsidR="00091BE1" w:rsidRPr="00986EBF" w:rsidRDefault="00091BE1" w:rsidP="00CB1948">
            <w:pPr>
              <w:jc w:val="right"/>
              <w:rPr>
                <w:rFonts w:cs="Times New Roman"/>
                <w:sz w:val="20"/>
                <w:szCs w:val="24"/>
              </w:rPr>
            </w:pPr>
            <w:r w:rsidRPr="00986EBF">
              <w:rPr>
                <w:rFonts w:cs="Times New Roman"/>
                <w:sz w:val="20"/>
                <w:szCs w:val="24"/>
              </w:rPr>
              <w:t>5</w:t>
            </w:r>
          </w:p>
        </w:tc>
      </w:tr>
      <w:tr w:rsidR="00091BE1" w:rsidRPr="00986EBF" w14:paraId="2451CDDD"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DB" w14:textId="77777777" w:rsidR="00091BE1" w:rsidRPr="00986EBF" w:rsidRDefault="00091BE1" w:rsidP="00CB1948">
            <w:pPr>
              <w:rPr>
                <w:rFonts w:cs="Times New Roman"/>
                <w:sz w:val="20"/>
                <w:szCs w:val="24"/>
              </w:rPr>
            </w:pPr>
            <w:r w:rsidRPr="00986EBF">
              <w:rPr>
                <w:rFonts w:cs="Times New Roman"/>
                <w:sz w:val="20"/>
                <w:szCs w:val="24"/>
              </w:rPr>
              <w:t xml:space="preserve">      Showerheads</w:t>
            </w:r>
          </w:p>
        </w:tc>
        <w:tc>
          <w:tcPr>
            <w:tcW w:w="1530" w:type="dxa"/>
            <w:tcBorders>
              <w:top w:val="single" w:sz="4" w:space="0" w:color="auto"/>
              <w:left w:val="single" w:sz="4" w:space="0" w:color="auto"/>
              <w:bottom w:val="single" w:sz="4" w:space="0" w:color="auto"/>
              <w:right w:val="single" w:sz="4" w:space="0" w:color="auto"/>
            </w:tcBorders>
          </w:tcPr>
          <w:p w14:paraId="2451CDDC" w14:textId="77777777" w:rsidR="00091BE1" w:rsidRPr="00986EBF" w:rsidRDefault="00091BE1" w:rsidP="00CB1948">
            <w:pPr>
              <w:jc w:val="right"/>
              <w:rPr>
                <w:rFonts w:cs="Times New Roman"/>
                <w:sz w:val="20"/>
                <w:szCs w:val="24"/>
              </w:rPr>
            </w:pPr>
            <w:r w:rsidRPr="00986EBF">
              <w:rPr>
                <w:rFonts w:cs="Times New Roman"/>
                <w:sz w:val="20"/>
                <w:szCs w:val="24"/>
              </w:rPr>
              <w:t>55</w:t>
            </w:r>
          </w:p>
        </w:tc>
      </w:tr>
      <w:tr w:rsidR="00091BE1" w:rsidRPr="00986EBF" w14:paraId="2451CDE0"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tcPr>
          <w:p w14:paraId="2451CDDE" w14:textId="77777777" w:rsidR="00091BE1" w:rsidRPr="00986EBF" w:rsidRDefault="00091BE1" w:rsidP="00CB1948">
            <w:pPr>
              <w:rPr>
                <w:rFonts w:cs="Times New Roman"/>
                <w:sz w:val="20"/>
                <w:szCs w:val="24"/>
              </w:rPr>
            </w:pPr>
            <w:r w:rsidRPr="00986EBF">
              <w:rPr>
                <w:rFonts w:cs="Times New Roman"/>
                <w:sz w:val="20"/>
                <w:szCs w:val="24"/>
              </w:rPr>
              <w:t>Thermal Doors</w:t>
            </w:r>
          </w:p>
        </w:tc>
        <w:tc>
          <w:tcPr>
            <w:tcW w:w="1530" w:type="dxa"/>
            <w:tcBorders>
              <w:top w:val="single" w:sz="4" w:space="0" w:color="auto"/>
              <w:left w:val="single" w:sz="4" w:space="0" w:color="auto"/>
              <w:bottom w:val="single" w:sz="4" w:space="0" w:color="auto"/>
              <w:right w:val="single" w:sz="4" w:space="0" w:color="auto"/>
            </w:tcBorders>
          </w:tcPr>
          <w:p w14:paraId="2451CDDF" w14:textId="77777777" w:rsidR="00091BE1" w:rsidRPr="00986EBF" w:rsidRDefault="002005D1" w:rsidP="00CB1948">
            <w:pPr>
              <w:jc w:val="right"/>
              <w:rPr>
                <w:rFonts w:cs="Times New Roman"/>
                <w:sz w:val="20"/>
                <w:szCs w:val="24"/>
              </w:rPr>
            </w:pPr>
            <w:r w:rsidRPr="00986EBF">
              <w:rPr>
                <w:rFonts w:cs="Times New Roman"/>
                <w:sz w:val="20"/>
                <w:szCs w:val="24"/>
              </w:rPr>
              <w:t>1</w:t>
            </w:r>
          </w:p>
        </w:tc>
      </w:tr>
      <w:tr w:rsidR="00091BE1" w:rsidRPr="00986EBF" w14:paraId="2451CDE3"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E1" w14:textId="77777777" w:rsidR="00091BE1" w:rsidRPr="00986EBF" w:rsidRDefault="00091BE1" w:rsidP="00CB1948">
            <w:pPr>
              <w:rPr>
                <w:rFonts w:cs="Times New Roman"/>
                <w:sz w:val="20"/>
                <w:szCs w:val="24"/>
              </w:rPr>
            </w:pPr>
            <w:r w:rsidRPr="00986EBF">
              <w:rPr>
                <w:rFonts w:cs="Times New Roman"/>
                <w:sz w:val="20"/>
                <w:szCs w:val="24"/>
              </w:rPr>
              <w:t xml:space="preserve">      Timed Thermostat</w:t>
            </w:r>
          </w:p>
        </w:tc>
        <w:tc>
          <w:tcPr>
            <w:tcW w:w="1530" w:type="dxa"/>
            <w:tcBorders>
              <w:top w:val="single" w:sz="4" w:space="0" w:color="auto"/>
              <w:left w:val="single" w:sz="4" w:space="0" w:color="auto"/>
              <w:bottom w:val="single" w:sz="4" w:space="0" w:color="auto"/>
              <w:right w:val="single" w:sz="4" w:space="0" w:color="auto"/>
            </w:tcBorders>
          </w:tcPr>
          <w:p w14:paraId="2451CDE2" w14:textId="77777777" w:rsidR="00091BE1" w:rsidRPr="00986EBF" w:rsidRDefault="00091BE1" w:rsidP="00CB1948">
            <w:pPr>
              <w:jc w:val="right"/>
              <w:rPr>
                <w:rFonts w:cs="Times New Roman"/>
                <w:sz w:val="20"/>
                <w:szCs w:val="24"/>
              </w:rPr>
            </w:pPr>
            <w:r w:rsidRPr="00986EBF">
              <w:rPr>
                <w:rFonts w:cs="Times New Roman"/>
                <w:sz w:val="20"/>
                <w:szCs w:val="24"/>
              </w:rPr>
              <w:t>14</w:t>
            </w:r>
          </w:p>
        </w:tc>
      </w:tr>
      <w:tr w:rsidR="00091BE1" w:rsidRPr="00986EBF" w14:paraId="2451CDE6"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E4" w14:textId="77777777" w:rsidR="00091BE1" w:rsidRPr="00986EBF" w:rsidRDefault="00091BE1" w:rsidP="00CB1948">
            <w:pPr>
              <w:rPr>
                <w:rFonts w:cs="Times New Roman"/>
                <w:sz w:val="20"/>
                <w:szCs w:val="24"/>
              </w:rPr>
            </w:pPr>
            <w:r w:rsidRPr="00986EBF">
              <w:rPr>
                <w:rFonts w:cs="Times New Roman"/>
                <w:sz w:val="20"/>
                <w:szCs w:val="24"/>
              </w:rPr>
              <w:t xml:space="preserve">      Wall Insulation</w:t>
            </w:r>
          </w:p>
        </w:tc>
        <w:tc>
          <w:tcPr>
            <w:tcW w:w="1530" w:type="dxa"/>
            <w:tcBorders>
              <w:top w:val="single" w:sz="4" w:space="0" w:color="auto"/>
              <w:left w:val="single" w:sz="4" w:space="0" w:color="auto"/>
              <w:bottom w:val="single" w:sz="4" w:space="0" w:color="auto"/>
              <w:right w:val="single" w:sz="4" w:space="0" w:color="auto"/>
            </w:tcBorders>
          </w:tcPr>
          <w:p w14:paraId="2451CDE5" w14:textId="77777777" w:rsidR="00091BE1" w:rsidRPr="00986EBF" w:rsidRDefault="00091BE1" w:rsidP="00CB1948">
            <w:pPr>
              <w:jc w:val="right"/>
              <w:rPr>
                <w:rFonts w:cs="Times New Roman"/>
                <w:sz w:val="20"/>
                <w:szCs w:val="24"/>
              </w:rPr>
            </w:pPr>
            <w:r w:rsidRPr="00986EBF">
              <w:rPr>
                <w:rFonts w:cs="Times New Roman"/>
                <w:sz w:val="20"/>
                <w:szCs w:val="24"/>
              </w:rPr>
              <w:t>15</w:t>
            </w:r>
          </w:p>
        </w:tc>
      </w:tr>
      <w:tr w:rsidR="00091BE1" w:rsidRPr="00986EBF" w14:paraId="2451CDE9"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E7" w14:textId="77777777" w:rsidR="00091BE1" w:rsidRPr="00986EBF" w:rsidRDefault="00091BE1" w:rsidP="00CB1948">
            <w:pPr>
              <w:rPr>
                <w:rFonts w:cs="Times New Roman"/>
                <w:sz w:val="20"/>
                <w:szCs w:val="24"/>
              </w:rPr>
            </w:pPr>
            <w:r w:rsidRPr="00986EBF">
              <w:rPr>
                <w:rFonts w:cs="Times New Roman"/>
                <w:sz w:val="20"/>
                <w:szCs w:val="24"/>
              </w:rPr>
              <w:t xml:space="preserve">      Water Heater Replacement</w:t>
            </w:r>
          </w:p>
        </w:tc>
        <w:tc>
          <w:tcPr>
            <w:tcW w:w="1530" w:type="dxa"/>
            <w:tcBorders>
              <w:top w:val="single" w:sz="4" w:space="0" w:color="auto"/>
              <w:left w:val="single" w:sz="4" w:space="0" w:color="auto"/>
              <w:bottom w:val="single" w:sz="4" w:space="0" w:color="auto"/>
              <w:right w:val="single" w:sz="4" w:space="0" w:color="auto"/>
            </w:tcBorders>
          </w:tcPr>
          <w:p w14:paraId="2451CDE8" w14:textId="77777777" w:rsidR="00091BE1" w:rsidRPr="00986EBF" w:rsidRDefault="00091BE1" w:rsidP="00CB1948">
            <w:pPr>
              <w:jc w:val="right"/>
              <w:rPr>
                <w:rFonts w:cs="Times New Roman"/>
                <w:sz w:val="20"/>
                <w:szCs w:val="24"/>
              </w:rPr>
            </w:pPr>
            <w:r w:rsidRPr="00986EBF">
              <w:rPr>
                <w:rFonts w:cs="Times New Roman"/>
                <w:sz w:val="20"/>
                <w:szCs w:val="24"/>
              </w:rPr>
              <w:t>4</w:t>
            </w:r>
          </w:p>
        </w:tc>
      </w:tr>
      <w:tr w:rsidR="00091BE1" w:rsidRPr="00986EBF" w14:paraId="2451CDEC" w14:textId="77777777" w:rsidTr="00CB1948">
        <w:trPr>
          <w:jc w:val="center"/>
        </w:trPr>
        <w:tc>
          <w:tcPr>
            <w:tcW w:w="4590" w:type="dxa"/>
            <w:tcBorders>
              <w:top w:val="single" w:sz="4" w:space="0" w:color="auto"/>
              <w:left w:val="single" w:sz="4" w:space="0" w:color="auto"/>
              <w:bottom w:val="single" w:sz="4" w:space="0" w:color="auto"/>
              <w:right w:val="single" w:sz="4" w:space="0" w:color="auto"/>
            </w:tcBorders>
            <w:hideMark/>
          </w:tcPr>
          <w:p w14:paraId="2451CDEA" w14:textId="77777777" w:rsidR="00091BE1" w:rsidRPr="00986EBF" w:rsidRDefault="00091BE1" w:rsidP="00CB1948">
            <w:pPr>
              <w:rPr>
                <w:rFonts w:cs="Times New Roman"/>
                <w:sz w:val="20"/>
                <w:szCs w:val="24"/>
              </w:rPr>
            </w:pPr>
            <w:r w:rsidRPr="00986EBF">
              <w:rPr>
                <w:rFonts w:cs="Times New Roman"/>
                <w:sz w:val="20"/>
                <w:szCs w:val="24"/>
              </w:rPr>
              <w:t xml:space="preserve">      Water Pipe Insulation and Sealing</w:t>
            </w:r>
          </w:p>
        </w:tc>
        <w:tc>
          <w:tcPr>
            <w:tcW w:w="1530" w:type="dxa"/>
            <w:tcBorders>
              <w:top w:val="single" w:sz="4" w:space="0" w:color="auto"/>
              <w:left w:val="single" w:sz="4" w:space="0" w:color="auto"/>
              <w:bottom w:val="single" w:sz="4" w:space="0" w:color="auto"/>
              <w:right w:val="single" w:sz="4" w:space="0" w:color="auto"/>
            </w:tcBorders>
          </w:tcPr>
          <w:p w14:paraId="2451CDEB" w14:textId="77777777" w:rsidR="00091BE1" w:rsidRPr="00986EBF" w:rsidRDefault="00091BE1" w:rsidP="00CB1948">
            <w:pPr>
              <w:jc w:val="right"/>
              <w:rPr>
                <w:rFonts w:cs="Times New Roman"/>
                <w:sz w:val="20"/>
                <w:szCs w:val="24"/>
              </w:rPr>
            </w:pPr>
            <w:r w:rsidRPr="00986EBF">
              <w:rPr>
                <w:rFonts w:cs="Times New Roman"/>
                <w:sz w:val="20"/>
                <w:szCs w:val="24"/>
              </w:rPr>
              <w:t>76</w:t>
            </w:r>
          </w:p>
        </w:tc>
      </w:tr>
    </w:tbl>
    <w:p w14:paraId="2451CDED" w14:textId="77777777" w:rsidR="00214AA5" w:rsidRDefault="00091BE1" w:rsidP="00214A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51CDEE" w14:textId="77777777" w:rsidR="00214AA5" w:rsidRPr="00B635A2" w:rsidRDefault="00214AA5" w:rsidP="00214AA5">
      <w:pPr>
        <w:pStyle w:val="Heading3"/>
        <w:rPr>
          <w:sz w:val="24"/>
          <w:szCs w:val="24"/>
        </w:rPr>
      </w:pPr>
      <w:bookmarkStart w:id="50" w:name="_Toc449356483"/>
      <w:bookmarkStart w:id="51" w:name="_Toc449510496"/>
      <w:r w:rsidRPr="00B635A2">
        <w:rPr>
          <w:sz w:val="24"/>
          <w:szCs w:val="24"/>
        </w:rPr>
        <w:t>Program Management</w:t>
      </w:r>
      <w:bookmarkEnd w:id="50"/>
      <w:bookmarkEnd w:id="51"/>
    </w:p>
    <w:p w14:paraId="2451CDEF" w14:textId="77777777" w:rsidR="00214AA5" w:rsidRPr="00817F34" w:rsidRDefault="00214AA5" w:rsidP="00214AA5">
      <w:pPr>
        <w:rPr>
          <w:rFonts w:ascii="Times New Roman" w:hAnsi="Times New Roman" w:cs="Times New Roman"/>
          <w:sz w:val="24"/>
          <w:szCs w:val="24"/>
        </w:rPr>
      </w:pPr>
    </w:p>
    <w:p w14:paraId="2451CDF0" w14:textId="77777777" w:rsidR="00214AA5" w:rsidRDefault="00214AA5" w:rsidP="00214AA5">
      <w:pPr>
        <w:jc w:val="both"/>
        <w:rPr>
          <w:rFonts w:ascii="Times New Roman" w:hAnsi="Times New Roman" w:cs="Times New Roman"/>
          <w:sz w:val="24"/>
          <w:szCs w:val="24"/>
        </w:rPr>
      </w:pPr>
      <w:r>
        <w:rPr>
          <w:rFonts w:ascii="Times New Roman" w:hAnsi="Times New Roman" w:cs="Times New Roman"/>
          <w:sz w:val="24"/>
          <w:szCs w:val="24"/>
        </w:rPr>
        <w:t xml:space="preserve">The program manager overseeing program activity in Washington is </w:t>
      </w:r>
      <w:r w:rsidR="000712D2">
        <w:rPr>
          <w:rFonts w:ascii="Times New Roman" w:hAnsi="Times New Roman" w:cs="Times New Roman"/>
          <w:sz w:val="24"/>
          <w:szCs w:val="24"/>
        </w:rPr>
        <w:t xml:space="preserve">also </w:t>
      </w:r>
      <w:r>
        <w:rPr>
          <w:rFonts w:ascii="Times New Roman" w:hAnsi="Times New Roman" w:cs="Times New Roman"/>
          <w:sz w:val="24"/>
          <w:szCs w:val="24"/>
        </w:rPr>
        <w:t xml:space="preserve">responsible for the </w:t>
      </w:r>
      <w:r>
        <w:rPr>
          <w:rFonts w:ascii="Times New Roman" w:hAnsi="Times New Roman" w:cs="Times New Roman"/>
          <w:i/>
          <w:sz w:val="24"/>
          <w:szCs w:val="24"/>
        </w:rPr>
        <w:t>Low Income Weatherization</w:t>
      </w:r>
      <w:r>
        <w:rPr>
          <w:rFonts w:ascii="Times New Roman" w:hAnsi="Times New Roman" w:cs="Times New Roman"/>
          <w:sz w:val="24"/>
          <w:szCs w:val="24"/>
        </w:rPr>
        <w:t xml:space="preserve"> programs in California, Idaho, Utah, and Wyoming; the bill discount programs in Washington, California, and Utah; and energy assistance programs in Washington, California, Idaho, Oregon, Utah, and Wyoming. For each program and in each state, the program manager is responsible for the cost effectiveness of the energy efficiency programs, partnerships, and agreements in place with local agencies that serve income eligible households, establishing and monitoring program performance and compliance, and recommending changes in the terms and conditions set out in the tariff.</w:t>
      </w:r>
    </w:p>
    <w:p w14:paraId="2451CDF1" w14:textId="77777777" w:rsidR="00214AA5" w:rsidRPr="00B635A2" w:rsidRDefault="00214AA5" w:rsidP="00214AA5">
      <w:pPr>
        <w:pStyle w:val="Heading3"/>
        <w:rPr>
          <w:sz w:val="24"/>
          <w:szCs w:val="24"/>
        </w:rPr>
      </w:pPr>
      <w:bookmarkStart w:id="52" w:name="_Toc449356484"/>
      <w:bookmarkStart w:id="53" w:name="_Toc449510497"/>
      <w:r w:rsidRPr="00B635A2">
        <w:rPr>
          <w:sz w:val="24"/>
          <w:szCs w:val="24"/>
        </w:rPr>
        <w:lastRenderedPageBreak/>
        <w:t>Program Administration</w:t>
      </w:r>
      <w:bookmarkEnd w:id="52"/>
      <w:bookmarkEnd w:id="53"/>
    </w:p>
    <w:p w14:paraId="2451CDF2" w14:textId="77777777" w:rsidR="00214AA5" w:rsidRPr="00817F34" w:rsidRDefault="00214AA5" w:rsidP="00214AA5">
      <w:pPr>
        <w:jc w:val="both"/>
        <w:rPr>
          <w:rFonts w:ascii="Times New Roman" w:hAnsi="Times New Roman" w:cs="Times New Roman"/>
          <w:sz w:val="24"/>
          <w:szCs w:val="24"/>
        </w:rPr>
      </w:pPr>
    </w:p>
    <w:p w14:paraId="2451CDF3" w14:textId="77777777" w:rsidR="002005D1" w:rsidRPr="006340B2" w:rsidRDefault="002005D1" w:rsidP="004B64E1">
      <w:pPr>
        <w:pStyle w:val="NormalWeb"/>
        <w:spacing w:before="0" w:beforeAutospacing="0" w:after="0" w:afterAutospacing="0"/>
        <w:jc w:val="both"/>
        <w:rPr>
          <w:rFonts w:ascii="Times New Roman" w:hAnsi="Times New Roman"/>
          <w:color w:val="auto"/>
          <w:sz w:val="24"/>
          <w:szCs w:val="24"/>
        </w:rPr>
      </w:pPr>
      <w:r w:rsidRPr="002B3655">
        <w:rPr>
          <w:rFonts w:ascii="Times New Roman" w:hAnsi="Times New Roman"/>
          <w:color w:val="auto"/>
          <w:sz w:val="24"/>
          <w:szCs w:val="24"/>
        </w:rPr>
        <w:t xml:space="preserve">The Company partners with three local non-profit agencies to provide weatherization services to income-qualifying households throughout its Washington service territory. These agencies include Blue Mountain Action Council located in Walla Walla, Northwest Community Action Center in Toppenish, and Opportunities Industrialization Center of Washington in Yakima. The leveraging of Company funding along with Washington Match Maker Program funds allows the agencies to provide these energy efficiency services to more households at no cost to participating customers. The Company provides rebates to partnering agencies for 50 percent of the cost of services while Match Maker funds are available, and will cover 100 percent of costs when these state funds are depleted. In 2015, 45 homes were funded at 50 percent and 53 at 100 percent. Participants qualify if they are homeowners or renters residing in single-family homes, manufactured homes, or apartments. Over 7,300 homes have been completed since the program’s inception in the mid-1980s. </w:t>
      </w:r>
      <w:r>
        <w:rPr>
          <w:rFonts w:ascii="Times New Roman" w:hAnsi="Times New Roman"/>
          <w:sz w:val="24"/>
          <w:szCs w:val="24"/>
        </w:rPr>
        <w:t> </w:t>
      </w:r>
    </w:p>
    <w:p w14:paraId="2451CDF4" w14:textId="77777777" w:rsidR="00214AA5" w:rsidRDefault="00214AA5" w:rsidP="00214AA5">
      <w:pPr>
        <w:pStyle w:val="NormalWeb"/>
        <w:jc w:val="both"/>
        <w:rPr>
          <w:rFonts w:ascii="Times New Roman" w:hAnsi="Times New Roman"/>
          <w:color w:val="auto"/>
          <w:sz w:val="24"/>
          <w:szCs w:val="24"/>
        </w:rPr>
      </w:pPr>
      <w:r>
        <w:rPr>
          <w:rFonts w:ascii="Times New Roman" w:hAnsi="Times New Roman"/>
          <w:color w:val="auto"/>
          <w:sz w:val="24"/>
          <w:szCs w:val="24"/>
        </w:rPr>
        <w:t>By contract with the Company, the agencies are responsible for the following:</w:t>
      </w:r>
    </w:p>
    <w:p w14:paraId="2451CDF5" w14:textId="77777777" w:rsidR="002005D1" w:rsidRPr="00645738" w:rsidRDefault="002005D1" w:rsidP="002005D1">
      <w:pPr>
        <w:pStyle w:val="NormalWeb"/>
        <w:numPr>
          <w:ilvl w:val="0"/>
          <w:numId w:val="5"/>
        </w:numPr>
        <w:jc w:val="both"/>
        <w:rPr>
          <w:rFonts w:ascii="Times New Roman" w:hAnsi="Times New Roman"/>
          <w:color w:val="auto"/>
          <w:sz w:val="24"/>
          <w:szCs w:val="24"/>
        </w:rPr>
      </w:pPr>
      <w:r>
        <w:rPr>
          <w:rFonts w:ascii="Times New Roman" w:hAnsi="Times New Roman"/>
          <w:color w:val="auto"/>
          <w:sz w:val="24"/>
          <w:szCs w:val="24"/>
        </w:rPr>
        <w:t>Income Verification – Agencies determine participants are income eligible based on Washington Department of Commerce guidelines. Households interested in obtaining weatherization services apply through the agencies. The 2015 income guidelines can be viewed</w:t>
      </w:r>
      <w:r w:rsidR="004B64E1">
        <w:rPr>
          <w:rFonts w:ascii="Times New Roman" w:hAnsi="Times New Roman"/>
          <w:color w:val="auto"/>
          <w:sz w:val="24"/>
          <w:szCs w:val="24"/>
        </w:rPr>
        <w:t xml:space="preserve"> on the Washington Department of Commerce website</w:t>
      </w:r>
      <w:r w:rsidR="004B64E1">
        <w:rPr>
          <w:rStyle w:val="FootnoteReference"/>
          <w:rFonts w:ascii="Times New Roman" w:hAnsi="Times New Roman"/>
          <w:color w:val="auto"/>
          <w:sz w:val="24"/>
          <w:szCs w:val="24"/>
        </w:rPr>
        <w:footnoteReference w:id="22"/>
      </w:r>
      <w:r w:rsidR="004B64E1">
        <w:rPr>
          <w:rFonts w:ascii="Times New Roman" w:hAnsi="Times New Roman"/>
          <w:color w:val="auto"/>
          <w:sz w:val="24"/>
          <w:szCs w:val="24"/>
        </w:rPr>
        <w:t>.</w:t>
      </w:r>
      <w:r>
        <w:rPr>
          <w:rFonts w:ascii="Times New Roman" w:hAnsi="Times New Roman"/>
          <w:color w:val="auto"/>
          <w:sz w:val="24"/>
          <w:szCs w:val="24"/>
        </w:rPr>
        <w:t xml:space="preserve">  </w:t>
      </w:r>
    </w:p>
    <w:p w14:paraId="2451CDF6" w14:textId="77777777" w:rsidR="002005D1" w:rsidRDefault="002005D1" w:rsidP="002005D1">
      <w:pPr>
        <w:pStyle w:val="NormalWeb"/>
        <w:numPr>
          <w:ilvl w:val="0"/>
          <w:numId w:val="5"/>
        </w:numPr>
        <w:jc w:val="both"/>
        <w:rPr>
          <w:rFonts w:ascii="Times New Roman" w:hAnsi="Times New Roman"/>
          <w:color w:val="auto"/>
          <w:sz w:val="24"/>
          <w:szCs w:val="24"/>
        </w:rPr>
      </w:pPr>
      <w:r>
        <w:rPr>
          <w:rFonts w:ascii="Times New Roman" w:hAnsi="Times New Roman"/>
          <w:color w:val="auto"/>
          <w:sz w:val="24"/>
          <w:szCs w:val="24"/>
        </w:rPr>
        <w:t>Energy Audit – Agencies use a U.S. Department of Energy approved audit tool or priority list to determine the cost effective measures to install in the participant’s homes (audit results must indicate a savings to investment ratio of 1.0 or greater).</w:t>
      </w:r>
    </w:p>
    <w:p w14:paraId="2451CDF7" w14:textId="77777777" w:rsidR="002005D1" w:rsidRDefault="002005D1" w:rsidP="002005D1">
      <w:pPr>
        <w:pStyle w:val="NormalWeb"/>
        <w:numPr>
          <w:ilvl w:val="0"/>
          <w:numId w:val="5"/>
        </w:numPr>
        <w:jc w:val="both"/>
        <w:rPr>
          <w:rFonts w:ascii="Times New Roman" w:hAnsi="Times New Roman"/>
          <w:color w:val="auto"/>
          <w:sz w:val="24"/>
          <w:szCs w:val="24"/>
        </w:rPr>
      </w:pPr>
      <w:r>
        <w:rPr>
          <w:rFonts w:ascii="Times New Roman" w:hAnsi="Times New Roman"/>
          <w:color w:val="auto"/>
          <w:sz w:val="24"/>
          <w:szCs w:val="24"/>
        </w:rPr>
        <w:t>Installation of Measures – Agencies install the energy efficiency measures.</w:t>
      </w:r>
    </w:p>
    <w:p w14:paraId="2451CDF8" w14:textId="77777777" w:rsidR="002005D1" w:rsidRDefault="002005D1" w:rsidP="002005D1">
      <w:pPr>
        <w:pStyle w:val="NormalWeb"/>
        <w:numPr>
          <w:ilvl w:val="0"/>
          <w:numId w:val="5"/>
        </w:numPr>
        <w:jc w:val="both"/>
        <w:rPr>
          <w:rFonts w:ascii="Times New Roman" w:hAnsi="Times New Roman"/>
          <w:i/>
          <w:iCs/>
          <w:color w:val="auto"/>
          <w:sz w:val="24"/>
          <w:szCs w:val="24"/>
        </w:rPr>
      </w:pPr>
      <w:r>
        <w:rPr>
          <w:rFonts w:ascii="Times New Roman" w:hAnsi="Times New Roman"/>
          <w:color w:val="auto"/>
          <w:sz w:val="24"/>
          <w:szCs w:val="24"/>
        </w:rPr>
        <w:t xml:space="preserve">Post Inspections – Agencies inspect 100 percent of completed homes.  A sample of 5 -10 percent are inspected by a Pacific Power inspector. See Appendix </w:t>
      </w:r>
      <w:r w:rsidR="00EE016E">
        <w:rPr>
          <w:rFonts w:ascii="Times New Roman" w:hAnsi="Times New Roman"/>
          <w:color w:val="auto"/>
          <w:sz w:val="24"/>
          <w:szCs w:val="24"/>
        </w:rPr>
        <w:t>2</w:t>
      </w:r>
      <w:r>
        <w:rPr>
          <w:rFonts w:ascii="Times New Roman" w:hAnsi="Times New Roman"/>
          <w:color w:val="auto"/>
          <w:sz w:val="24"/>
          <w:szCs w:val="24"/>
        </w:rPr>
        <w:t xml:space="preserve"> for verification summary.</w:t>
      </w:r>
    </w:p>
    <w:p w14:paraId="2451CDF9" w14:textId="77777777" w:rsidR="002005D1" w:rsidRPr="00450C82" w:rsidRDefault="002005D1" w:rsidP="002005D1">
      <w:pPr>
        <w:pStyle w:val="NormalWeb"/>
        <w:numPr>
          <w:ilvl w:val="0"/>
          <w:numId w:val="5"/>
        </w:numPr>
        <w:jc w:val="both"/>
        <w:rPr>
          <w:rFonts w:ascii="Times New Roman" w:hAnsi="Times New Roman"/>
          <w:i/>
          <w:iCs/>
          <w:color w:val="auto"/>
          <w:sz w:val="24"/>
          <w:szCs w:val="24"/>
        </w:rPr>
      </w:pPr>
      <w:r>
        <w:rPr>
          <w:rFonts w:ascii="Times New Roman" w:hAnsi="Times New Roman"/>
          <w:color w:val="auto"/>
          <w:sz w:val="24"/>
          <w:szCs w:val="24"/>
        </w:rPr>
        <w:t xml:space="preserve">Billing Notification – </w:t>
      </w:r>
      <w:r w:rsidRPr="00450C82">
        <w:rPr>
          <w:rFonts w:ascii="Times New Roman" w:hAnsi="Times New Roman"/>
          <w:color w:val="auto"/>
          <w:sz w:val="24"/>
          <w:szCs w:val="24"/>
        </w:rPr>
        <w:t xml:space="preserve">Agencies are required to submit a billing to Company within 90 days after job completion. A homeowner agreement and invoice form indicating the measures installed and associated cost is submitted on each completed home. </w:t>
      </w:r>
    </w:p>
    <w:p w14:paraId="2451CDFA" w14:textId="77777777" w:rsidR="00214AA5" w:rsidRPr="00B635A2" w:rsidRDefault="00214AA5" w:rsidP="00214AA5">
      <w:pPr>
        <w:pStyle w:val="Heading3"/>
        <w:rPr>
          <w:sz w:val="24"/>
          <w:szCs w:val="24"/>
        </w:rPr>
      </w:pPr>
      <w:bookmarkStart w:id="54" w:name="_Toc449356485"/>
      <w:bookmarkStart w:id="55" w:name="_Toc449510498"/>
      <w:r w:rsidRPr="00B635A2">
        <w:rPr>
          <w:sz w:val="24"/>
          <w:szCs w:val="24"/>
        </w:rPr>
        <w:t>Evaluation</w:t>
      </w:r>
      <w:bookmarkEnd w:id="54"/>
      <w:bookmarkEnd w:id="55"/>
    </w:p>
    <w:p w14:paraId="2451CDFB" w14:textId="77777777" w:rsidR="0080697B" w:rsidRDefault="004B64E1" w:rsidP="00F33971">
      <w:pPr>
        <w:jc w:val="both"/>
        <w:rPr>
          <w:rFonts w:ascii="Times New Roman" w:hAnsi="Times New Roman" w:cs="Times New Roman"/>
          <w:sz w:val="24"/>
          <w:szCs w:val="24"/>
        </w:rPr>
      </w:pPr>
      <w:r>
        <w:rPr>
          <w:rFonts w:ascii="Times New Roman" w:hAnsi="Times New Roman" w:cs="Times New Roman"/>
          <w:sz w:val="24"/>
          <w:szCs w:val="24"/>
        </w:rPr>
        <w:t>A</w:t>
      </w:r>
      <w:r w:rsidR="0080697B" w:rsidRPr="00282247">
        <w:rPr>
          <w:rFonts w:ascii="Times New Roman" w:hAnsi="Times New Roman" w:cs="Times New Roman"/>
          <w:sz w:val="24"/>
          <w:szCs w:val="24"/>
        </w:rPr>
        <w:t xml:space="preserve"> process and impact evaluation was </w:t>
      </w:r>
      <w:r>
        <w:rPr>
          <w:rFonts w:ascii="Times New Roman" w:hAnsi="Times New Roman" w:cs="Times New Roman"/>
          <w:sz w:val="24"/>
          <w:szCs w:val="24"/>
        </w:rPr>
        <w:t>completed</w:t>
      </w:r>
      <w:r w:rsidR="0080697B">
        <w:rPr>
          <w:rFonts w:ascii="Times New Roman" w:hAnsi="Times New Roman" w:cs="Times New Roman"/>
          <w:sz w:val="24"/>
          <w:szCs w:val="24"/>
        </w:rPr>
        <w:t xml:space="preserve"> </w:t>
      </w:r>
      <w:r w:rsidR="0080697B" w:rsidRPr="00282247">
        <w:rPr>
          <w:rFonts w:ascii="Times New Roman" w:hAnsi="Times New Roman" w:cs="Times New Roman"/>
          <w:sz w:val="24"/>
          <w:szCs w:val="24"/>
        </w:rPr>
        <w:t>by a third party evaluator for program years 20</w:t>
      </w:r>
      <w:r>
        <w:rPr>
          <w:rFonts w:ascii="Times New Roman" w:hAnsi="Times New Roman" w:cs="Times New Roman"/>
          <w:sz w:val="24"/>
          <w:szCs w:val="24"/>
        </w:rPr>
        <w:t>11</w:t>
      </w:r>
      <w:r w:rsidR="0080697B" w:rsidRPr="00282247">
        <w:rPr>
          <w:rFonts w:ascii="Times New Roman" w:hAnsi="Times New Roman" w:cs="Times New Roman"/>
          <w:sz w:val="24"/>
          <w:szCs w:val="24"/>
        </w:rPr>
        <w:t>-201</w:t>
      </w:r>
      <w:r>
        <w:rPr>
          <w:rFonts w:ascii="Times New Roman" w:hAnsi="Times New Roman" w:cs="Times New Roman"/>
          <w:sz w:val="24"/>
          <w:szCs w:val="24"/>
        </w:rPr>
        <w:t>2 and can be found on the Company’s website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Several key findings from this evaluation include:</w:t>
      </w:r>
    </w:p>
    <w:p w14:paraId="2451CDFC" w14:textId="77777777" w:rsidR="004B64E1" w:rsidRDefault="004B64E1" w:rsidP="00F33971">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The program is operating as planned.</w:t>
      </w:r>
    </w:p>
    <w:p w14:paraId="2451CDFD" w14:textId="77777777" w:rsidR="004B64E1" w:rsidRDefault="004B64E1" w:rsidP="00F33971">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The program exemplifies a utility best practice in that it is coordinated with United States Department of Energy, United States Department of Health and Human Services and </w:t>
      </w:r>
      <w:r w:rsidR="00B844D8">
        <w:rPr>
          <w:rFonts w:ascii="Times New Roman" w:hAnsi="Times New Roman" w:cs="Times New Roman"/>
          <w:sz w:val="24"/>
          <w:szCs w:val="24"/>
        </w:rPr>
        <w:t>Washington Department of Commerce</w:t>
      </w:r>
      <w:r>
        <w:rPr>
          <w:rFonts w:ascii="Times New Roman" w:hAnsi="Times New Roman" w:cs="Times New Roman"/>
          <w:sz w:val="24"/>
          <w:szCs w:val="24"/>
        </w:rPr>
        <w:t>. The partnership leverages each utility dollar to serve low income customers.</w:t>
      </w:r>
    </w:p>
    <w:p w14:paraId="2451CDFE" w14:textId="77777777" w:rsidR="004B64E1" w:rsidRDefault="004B64E1" w:rsidP="004B64E1">
      <w:pPr>
        <w:pStyle w:val="ListParagraph"/>
        <w:numPr>
          <w:ilvl w:val="0"/>
          <w:numId w:val="43"/>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partnership between Low Income H</w:t>
      </w:r>
      <w:r w:rsidR="00F33971">
        <w:rPr>
          <w:rFonts w:ascii="Times New Roman" w:hAnsi="Times New Roman" w:cs="Times New Roman"/>
          <w:sz w:val="24"/>
          <w:szCs w:val="24"/>
        </w:rPr>
        <w:t>ome Energy Assistance</w:t>
      </w:r>
      <w:r>
        <w:rPr>
          <w:rFonts w:ascii="Times New Roman" w:hAnsi="Times New Roman" w:cs="Times New Roman"/>
          <w:sz w:val="24"/>
          <w:szCs w:val="24"/>
        </w:rPr>
        <w:t xml:space="preserve"> and Weatherization Assistance Program is beneficial to both programs.</w:t>
      </w:r>
    </w:p>
    <w:p w14:paraId="2451CDFF" w14:textId="77777777" w:rsidR="0068342B" w:rsidRPr="00BA2B86" w:rsidRDefault="00F33971" w:rsidP="0068342B">
      <w:pPr>
        <w:pStyle w:val="Heading2"/>
        <w:rPr>
          <w:szCs w:val="24"/>
        </w:rPr>
      </w:pPr>
      <w:bookmarkStart w:id="56" w:name="_Toc449510499"/>
      <w:r>
        <w:rPr>
          <w:szCs w:val="24"/>
        </w:rPr>
        <w:lastRenderedPageBreak/>
        <w:t>N</w:t>
      </w:r>
      <w:r w:rsidR="0068342B" w:rsidRPr="00BA2B86">
        <w:rPr>
          <w:szCs w:val="24"/>
        </w:rPr>
        <w:t>orthwest Energy Efficiency Alliance</w:t>
      </w:r>
      <w:bookmarkEnd w:id="56"/>
    </w:p>
    <w:p w14:paraId="2451CE00" w14:textId="77777777" w:rsidR="0068342B" w:rsidRPr="00B635A2" w:rsidRDefault="0068342B" w:rsidP="0068342B">
      <w:pPr>
        <w:rPr>
          <w:sz w:val="24"/>
          <w:szCs w:val="24"/>
        </w:rPr>
      </w:pPr>
    </w:p>
    <w:p w14:paraId="2451CE01" w14:textId="77777777" w:rsidR="0090617D" w:rsidRDefault="0090617D" w:rsidP="0090617D">
      <w:pPr>
        <w:spacing w:after="100" w:afterAutospacing="1"/>
        <w:jc w:val="both"/>
        <w:rPr>
          <w:rFonts w:ascii="Times New Roman" w:hAnsi="Times New Roman" w:cs="Times New Roman"/>
          <w:sz w:val="24"/>
          <w:szCs w:val="24"/>
        </w:rPr>
      </w:pPr>
      <w:r w:rsidRPr="005E3EDA">
        <w:rPr>
          <w:rFonts w:ascii="Times New Roman" w:hAnsi="Times New Roman"/>
          <w:sz w:val="24"/>
          <w:szCs w:val="24"/>
        </w:rPr>
        <w:t xml:space="preserve">The </w:t>
      </w:r>
      <w:r w:rsidRPr="005E3EDA">
        <w:rPr>
          <w:rFonts w:ascii="Times New Roman" w:hAnsi="Times New Roman"/>
          <w:i/>
          <w:sz w:val="24"/>
          <w:szCs w:val="24"/>
        </w:rPr>
        <w:t>Northwest Energy Efficiency</w:t>
      </w:r>
      <w:r w:rsidRPr="00BA2B86">
        <w:rPr>
          <w:rFonts w:ascii="Times New Roman" w:hAnsi="Times New Roman"/>
          <w:sz w:val="24"/>
          <w:szCs w:val="24"/>
        </w:rPr>
        <w:t xml:space="preserve"> Alliance </w:t>
      </w:r>
      <w:r w:rsidR="006F432A">
        <w:rPr>
          <w:rFonts w:ascii="Times New Roman" w:hAnsi="Times New Roman"/>
          <w:sz w:val="24"/>
          <w:szCs w:val="24"/>
        </w:rPr>
        <w:t>(</w:t>
      </w:r>
      <w:r w:rsidRPr="00BA2B86">
        <w:rPr>
          <w:rFonts w:ascii="Times New Roman" w:hAnsi="Times New Roman"/>
          <w:sz w:val="24"/>
          <w:szCs w:val="24"/>
        </w:rPr>
        <w:t>NEEA</w:t>
      </w:r>
      <w:r w:rsidR="006F432A">
        <w:rPr>
          <w:rFonts w:ascii="Times New Roman" w:hAnsi="Times New Roman"/>
          <w:sz w:val="24"/>
          <w:szCs w:val="24"/>
        </w:rPr>
        <w:t>)</w:t>
      </w:r>
      <w:r w:rsidRPr="00BA2B86">
        <w:rPr>
          <w:rFonts w:ascii="Times New Roman" w:hAnsi="Times New Roman"/>
          <w:sz w:val="24"/>
          <w:szCs w:val="24"/>
        </w:rPr>
        <w:t xml:space="preserve"> is a non</w:t>
      </w:r>
      <w:r w:rsidRPr="00111D82">
        <w:rPr>
          <w:rFonts w:ascii="Times New Roman" w:hAnsi="Times New Roman"/>
          <w:sz w:val="24"/>
          <w:szCs w:val="24"/>
        </w:rPr>
        <w:t>-profit corporation</w:t>
      </w:r>
      <w:r>
        <w:rPr>
          <w:rFonts w:ascii="Times New Roman" w:hAnsi="Times New Roman"/>
          <w:sz w:val="24"/>
          <w:szCs w:val="24"/>
        </w:rPr>
        <w:t xml:space="preserve"> that </w:t>
      </w:r>
      <w:r w:rsidRPr="00111D82">
        <w:rPr>
          <w:rFonts w:ascii="Times New Roman" w:hAnsi="Times New Roman"/>
          <w:sz w:val="24"/>
          <w:szCs w:val="24"/>
        </w:rPr>
        <w:t>works</w:t>
      </w:r>
      <w:r>
        <w:rPr>
          <w:rFonts w:ascii="Times New Roman" w:hAnsi="Times New Roman"/>
          <w:sz w:val="24"/>
          <w:szCs w:val="24"/>
        </w:rPr>
        <w:t xml:space="preserve"> collaboratively </w:t>
      </w:r>
      <w:r w:rsidRPr="00111D82">
        <w:rPr>
          <w:rFonts w:ascii="Times New Roman" w:hAnsi="Times New Roman"/>
          <w:sz w:val="24"/>
          <w:szCs w:val="24"/>
        </w:rPr>
        <w:t>with its funders and other strategic market partners to accelerate the innovation and adoption of energy-efficient products, services, and practices</w:t>
      </w:r>
      <w:r>
        <w:rPr>
          <w:rFonts w:ascii="Times New Roman" w:hAnsi="Times New Roman"/>
          <w:sz w:val="24"/>
          <w:szCs w:val="24"/>
        </w:rPr>
        <w:t>. NEEA is supported by</w:t>
      </w:r>
      <w:r w:rsidRPr="00111D82">
        <w:rPr>
          <w:rFonts w:ascii="Times New Roman" w:hAnsi="Times New Roman"/>
          <w:sz w:val="24"/>
          <w:szCs w:val="24"/>
        </w:rPr>
        <w:t xml:space="preserve"> the Bonneville Power Administration, Energy Trust of Oregon</w:t>
      </w:r>
      <w:r>
        <w:rPr>
          <w:rFonts w:ascii="Times New Roman" w:hAnsi="Times New Roman"/>
          <w:sz w:val="24"/>
          <w:szCs w:val="24"/>
        </w:rPr>
        <w:t>,</w:t>
      </w:r>
      <w:r w:rsidRPr="00111D82">
        <w:rPr>
          <w:rFonts w:ascii="Times New Roman" w:hAnsi="Times New Roman"/>
          <w:sz w:val="24"/>
          <w:szCs w:val="24"/>
        </w:rPr>
        <w:t xml:space="preserve"> and more than 100 Northwest utilities</w:t>
      </w:r>
      <w:r>
        <w:rPr>
          <w:rFonts w:ascii="Times New Roman" w:hAnsi="Times New Roman"/>
          <w:sz w:val="24"/>
          <w:szCs w:val="24"/>
        </w:rPr>
        <w:t xml:space="preserve">, </w:t>
      </w:r>
      <w:r w:rsidRPr="00111D82">
        <w:rPr>
          <w:rFonts w:ascii="Times New Roman" w:hAnsi="Times New Roman"/>
          <w:sz w:val="24"/>
          <w:szCs w:val="24"/>
        </w:rPr>
        <w:t xml:space="preserve">including </w:t>
      </w:r>
      <w:r>
        <w:rPr>
          <w:rFonts w:ascii="Times New Roman" w:hAnsi="Times New Roman"/>
          <w:sz w:val="24"/>
          <w:szCs w:val="24"/>
        </w:rPr>
        <w:t>Pacific Power</w:t>
      </w:r>
      <w:r w:rsidRPr="00111D82">
        <w:rPr>
          <w:rFonts w:ascii="Times New Roman" w:hAnsi="Times New Roman"/>
          <w:sz w:val="24"/>
          <w:szCs w:val="24"/>
        </w:rPr>
        <w:t>.</w:t>
      </w:r>
      <w:r>
        <w:rPr>
          <w:rFonts w:ascii="Times New Roman" w:hAnsi="Times New Roman"/>
          <w:sz w:val="24"/>
          <w:szCs w:val="24"/>
        </w:rPr>
        <w:t xml:space="preserve"> </w:t>
      </w:r>
      <w:r w:rsidRPr="00111D82">
        <w:rPr>
          <w:rFonts w:ascii="Times New Roman" w:hAnsi="Times New Roman"/>
          <w:sz w:val="24"/>
          <w:szCs w:val="24"/>
        </w:rPr>
        <w:t xml:space="preserve">For the </w:t>
      </w:r>
      <w:r>
        <w:rPr>
          <w:rFonts w:ascii="Times New Roman" w:hAnsi="Times New Roman"/>
          <w:sz w:val="24"/>
          <w:szCs w:val="24"/>
        </w:rPr>
        <w:t>2015-2019</w:t>
      </w:r>
      <w:r w:rsidRPr="00111D82">
        <w:rPr>
          <w:rFonts w:ascii="Times New Roman" w:hAnsi="Times New Roman"/>
          <w:sz w:val="24"/>
          <w:szCs w:val="24"/>
        </w:rPr>
        <w:t xml:space="preserve"> funding cycle, NEEA </w:t>
      </w:r>
      <w:r>
        <w:rPr>
          <w:rFonts w:ascii="Times New Roman" w:hAnsi="Times New Roman"/>
          <w:sz w:val="24"/>
          <w:szCs w:val="24"/>
        </w:rPr>
        <w:t>forecasts the region will</w:t>
      </w:r>
      <w:r w:rsidRPr="00111D82">
        <w:rPr>
          <w:rFonts w:ascii="Times New Roman" w:hAnsi="Times New Roman"/>
          <w:sz w:val="24"/>
          <w:szCs w:val="24"/>
        </w:rPr>
        <w:t xml:space="preserve"> achieve </w:t>
      </w:r>
      <w:r>
        <w:rPr>
          <w:rFonts w:ascii="Times New Roman" w:hAnsi="Times New Roman"/>
          <w:sz w:val="24"/>
          <w:szCs w:val="24"/>
        </w:rPr>
        <w:t>145</w:t>
      </w:r>
      <w:r w:rsidRPr="00111D82">
        <w:rPr>
          <w:rFonts w:ascii="Times New Roman" w:hAnsi="Times New Roman"/>
          <w:sz w:val="24"/>
          <w:szCs w:val="24"/>
        </w:rPr>
        <w:t xml:space="preserve"> aMW</w:t>
      </w:r>
      <w:r>
        <w:rPr>
          <w:rStyle w:val="FootnoteReference"/>
          <w:rFonts w:ascii="Times New Roman" w:hAnsi="Times New Roman"/>
          <w:sz w:val="24"/>
          <w:szCs w:val="24"/>
        </w:rPr>
        <w:footnoteReference w:id="24"/>
      </w:r>
      <w:r w:rsidRPr="00111D82">
        <w:rPr>
          <w:rFonts w:ascii="Times New Roman" w:hAnsi="Times New Roman"/>
          <w:sz w:val="24"/>
          <w:szCs w:val="24"/>
        </w:rPr>
        <w:t xml:space="preserve"> of total regional savings.</w:t>
      </w:r>
    </w:p>
    <w:p w14:paraId="2451CE02" w14:textId="77777777" w:rsidR="008F3266" w:rsidRDefault="008F3266" w:rsidP="004F546C">
      <w:pPr>
        <w:jc w:val="both"/>
        <w:rPr>
          <w:rFonts w:ascii="Times New Roman" w:hAnsi="Times New Roman" w:cs="Times New Roman"/>
          <w:sz w:val="24"/>
          <w:szCs w:val="24"/>
        </w:rPr>
      </w:pPr>
      <w:r>
        <w:rPr>
          <w:rFonts w:ascii="Times New Roman" w:hAnsi="Times New Roman" w:cs="Times New Roman"/>
          <w:sz w:val="24"/>
          <w:szCs w:val="24"/>
        </w:rPr>
        <w:t>Program performance for 2015 is being reported based on NEEA’s preliminary results for Pacific Power of 3,063 MWh (at site)</w:t>
      </w:r>
      <w:r w:rsidRPr="00DC0516">
        <w:rPr>
          <w:rFonts w:ascii="Times New Roman" w:hAnsi="Times New Roman" w:cs="Times New Roman"/>
          <w:sz w:val="24"/>
          <w:szCs w:val="24"/>
        </w:rPr>
        <w:t xml:space="preserve"> for</w:t>
      </w:r>
      <w:r>
        <w:rPr>
          <w:rFonts w:ascii="Times New Roman" w:hAnsi="Times New Roman" w:cs="Times New Roman"/>
          <w:sz w:val="24"/>
          <w:szCs w:val="24"/>
        </w:rPr>
        <w:t xml:space="preserve"> the Company’s funding investment of </w:t>
      </w:r>
      <w:r w:rsidRPr="00790E5C">
        <w:rPr>
          <w:rFonts w:ascii="Times New Roman" w:hAnsi="Times New Roman" w:cs="Times New Roman"/>
          <w:sz w:val="24"/>
          <w:szCs w:val="24"/>
        </w:rPr>
        <w:t>$884,208</w:t>
      </w:r>
      <w:r>
        <w:rPr>
          <w:rFonts w:ascii="Times New Roman" w:hAnsi="Times New Roman" w:cs="Times New Roman"/>
          <w:sz w:val="24"/>
          <w:szCs w:val="24"/>
        </w:rPr>
        <w:t xml:space="preserve">. Consistent with the reporting convention approved in Docket UE-132047, the savings represent Pacific Power’s portion of Total Regional Savings less the Company’s local program savings (adjustment to total movement in the market baseline for measures impacted by NEEA’s efforts to account for savings already captured and reported through Pacific Power’s Washington programs). </w:t>
      </w:r>
    </w:p>
    <w:p w14:paraId="2451CE03" w14:textId="77777777" w:rsidR="0008467A" w:rsidRDefault="0008467A" w:rsidP="004F546C">
      <w:pPr>
        <w:jc w:val="both"/>
        <w:rPr>
          <w:rFonts w:ascii="Times New Roman" w:hAnsi="Times New Roman" w:cs="Times New Roman"/>
          <w:sz w:val="24"/>
          <w:szCs w:val="24"/>
        </w:rPr>
      </w:pPr>
    </w:p>
    <w:p w14:paraId="2451CE04" w14:textId="77777777" w:rsidR="0008467A" w:rsidRPr="0000761C" w:rsidRDefault="0008467A" w:rsidP="004F546C">
      <w:pPr>
        <w:pStyle w:val="Heading3"/>
        <w:spacing w:before="0"/>
        <w:rPr>
          <w:sz w:val="24"/>
          <w:szCs w:val="24"/>
        </w:rPr>
      </w:pPr>
      <w:bookmarkStart w:id="57" w:name="_Toc449356487"/>
      <w:bookmarkStart w:id="58" w:name="_Toc449510500"/>
      <w:r w:rsidRPr="0000761C">
        <w:rPr>
          <w:sz w:val="24"/>
          <w:szCs w:val="24"/>
        </w:rPr>
        <w:t>Program Administration</w:t>
      </w:r>
      <w:bookmarkEnd w:id="57"/>
      <w:bookmarkEnd w:id="58"/>
    </w:p>
    <w:p w14:paraId="2451CE05" w14:textId="77777777" w:rsidR="0008467A" w:rsidRDefault="0008467A" w:rsidP="0008467A">
      <w:pPr>
        <w:rPr>
          <w:rFonts w:ascii="Times New Roman" w:hAnsi="Times New Roman" w:cs="Times New Roman"/>
          <w:sz w:val="24"/>
          <w:szCs w:val="24"/>
        </w:rPr>
      </w:pPr>
    </w:p>
    <w:p w14:paraId="2451CE06" w14:textId="77777777" w:rsidR="00EB7445" w:rsidRDefault="0008467A" w:rsidP="002E4E9B">
      <w:pPr>
        <w:jc w:val="both"/>
        <w:rPr>
          <w:rFonts w:ascii="Times New Roman" w:hAnsi="Times New Roman" w:cs="Times New Roman"/>
          <w:sz w:val="24"/>
          <w:szCs w:val="24"/>
        </w:rPr>
      </w:pPr>
      <w:r>
        <w:rPr>
          <w:rFonts w:ascii="Times New Roman" w:hAnsi="Times New Roman" w:cs="Times New Roman"/>
          <w:sz w:val="24"/>
          <w:szCs w:val="24"/>
        </w:rPr>
        <w:t xml:space="preserve">The Company has a </w:t>
      </w:r>
      <w:r w:rsidR="001A3A4D">
        <w:rPr>
          <w:rFonts w:ascii="Times New Roman" w:hAnsi="Times New Roman" w:cs="Times New Roman"/>
          <w:sz w:val="24"/>
          <w:szCs w:val="24"/>
        </w:rPr>
        <w:t>representative</w:t>
      </w:r>
      <w:r>
        <w:rPr>
          <w:rFonts w:ascii="Times New Roman" w:hAnsi="Times New Roman" w:cs="Times New Roman"/>
          <w:sz w:val="24"/>
          <w:szCs w:val="24"/>
        </w:rPr>
        <w:t xml:space="preserve"> on the NEEA board of directors as well as representatives on each of the sector advisory </w:t>
      </w:r>
      <w:r w:rsidR="00A42112">
        <w:rPr>
          <w:rFonts w:ascii="Times New Roman" w:hAnsi="Times New Roman" w:cs="Times New Roman"/>
          <w:sz w:val="24"/>
          <w:szCs w:val="24"/>
        </w:rPr>
        <w:t>committees</w:t>
      </w:r>
      <w:r>
        <w:rPr>
          <w:rFonts w:ascii="Times New Roman" w:hAnsi="Times New Roman" w:cs="Times New Roman"/>
          <w:sz w:val="24"/>
          <w:szCs w:val="24"/>
        </w:rPr>
        <w:t xml:space="preserve">, residential, commercial and industrial. The Company also has representation on NEEA’s broader Regional Portfolio </w:t>
      </w:r>
      <w:r w:rsidR="001A3A4D">
        <w:rPr>
          <w:rFonts w:ascii="Times New Roman" w:hAnsi="Times New Roman" w:cs="Times New Roman"/>
          <w:sz w:val="24"/>
          <w:szCs w:val="24"/>
        </w:rPr>
        <w:t xml:space="preserve">Advisory </w:t>
      </w:r>
      <w:r>
        <w:rPr>
          <w:rFonts w:ascii="Times New Roman" w:hAnsi="Times New Roman" w:cs="Times New Roman"/>
          <w:sz w:val="24"/>
          <w:szCs w:val="24"/>
        </w:rPr>
        <w:t xml:space="preserve">Committee and participants in the regional Northwest Research Group. Collectively the representatives work collaboratively with the other funders, advisory group members, and NEEA to direct the efforts of NEEA in the best interest of the region in the achievement of the region’s market transformation objectives.    </w:t>
      </w:r>
      <w:r w:rsidR="00BE3D85">
        <w:rPr>
          <w:rFonts w:ascii="Times New Roman" w:hAnsi="Times New Roman" w:cs="Times New Roman"/>
          <w:sz w:val="24"/>
          <w:szCs w:val="24"/>
        </w:rPr>
        <w:t xml:space="preserve"> </w:t>
      </w:r>
    </w:p>
    <w:p w14:paraId="2451CE07" w14:textId="77777777" w:rsidR="00361B58" w:rsidRDefault="00361B58">
      <w:pPr>
        <w:rPr>
          <w:rFonts w:ascii="Times New Roman" w:hAnsi="Times New Roman" w:cs="Times New Roman"/>
          <w:sz w:val="24"/>
          <w:szCs w:val="24"/>
        </w:rPr>
        <w:sectPr w:rsidR="00361B58" w:rsidSect="00EB7445">
          <w:pgSz w:w="12240" w:h="15840"/>
          <w:pgMar w:top="1440" w:right="1440" w:bottom="1440" w:left="1440" w:header="720" w:footer="720" w:gutter="0"/>
          <w:cols w:space="720"/>
          <w:titlePg/>
          <w:docGrid w:linePitch="360"/>
        </w:sectPr>
      </w:pPr>
    </w:p>
    <w:p w14:paraId="2451CE08" w14:textId="77777777" w:rsidR="000712D2" w:rsidRPr="007716B1" w:rsidRDefault="000712D2" w:rsidP="000712D2">
      <w:pPr>
        <w:pStyle w:val="Heading1"/>
        <w:rPr>
          <w:b w:val="0"/>
          <w:sz w:val="24"/>
        </w:rPr>
      </w:pPr>
      <w:bookmarkStart w:id="59" w:name="_Toc387242425"/>
      <w:bookmarkStart w:id="60" w:name="_Toc449510501"/>
      <w:r>
        <w:lastRenderedPageBreak/>
        <w:t>Non-Resid</w:t>
      </w:r>
      <w:r w:rsidRPr="00483C06">
        <w:t>e</w:t>
      </w:r>
      <w:r>
        <w:t>n</w:t>
      </w:r>
      <w:r w:rsidRPr="00483C06">
        <w:t>tial Energy Effi</w:t>
      </w:r>
      <w:r>
        <w:t>ciency</w:t>
      </w:r>
      <w:bookmarkEnd w:id="59"/>
      <w:bookmarkEnd w:id="60"/>
    </w:p>
    <w:p w14:paraId="2451CE09" w14:textId="77777777" w:rsidR="000712D2" w:rsidRPr="007716B1" w:rsidRDefault="000712D2" w:rsidP="000712D2">
      <w:pPr>
        <w:rPr>
          <w:rFonts w:ascii="Times New Roman" w:hAnsi="Times New Roman" w:cs="Times New Roman"/>
          <w:smallCaps/>
          <w:color w:val="548DD4" w:themeColor="text2" w:themeTint="99"/>
          <w:sz w:val="24"/>
          <w:szCs w:val="24"/>
        </w:rPr>
      </w:pPr>
    </w:p>
    <w:p w14:paraId="2451CE0A" w14:textId="77777777" w:rsidR="002005D1" w:rsidRDefault="002005D1" w:rsidP="002005D1">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Non-Residential Energy Efficiency</w:t>
      </w:r>
      <w:r>
        <w:rPr>
          <w:rFonts w:ascii="Times New Roman" w:hAnsi="Times New Roman" w:cs="Times New Roman"/>
          <w:sz w:val="24"/>
          <w:szCs w:val="24"/>
        </w:rPr>
        <w:t xml:space="preserve"> program is promoted to the Company’s commercial, industrial and agricultural customers as </w:t>
      </w:r>
      <w:r w:rsidRPr="00730B09">
        <w:rPr>
          <w:rFonts w:ascii="Times New Roman" w:hAnsi="Times New Roman" w:cs="Times New Roman"/>
          <w:i/>
          <w:sz w:val="24"/>
          <w:szCs w:val="24"/>
        </w:rPr>
        <w:t>watt</w:t>
      </w:r>
      <w:r w:rsidRPr="00730B09">
        <w:rPr>
          <w:rFonts w:ascii="Times New Roman" w:hAnsi="Times New Roman" w:cs="Times New Roman"/>
          <w:sz w:val="24"/>
          <w:szCs w:val="24"/>
        </w:rPr>
        <w:t>s</w:t>
      </w:r>
      <w:r>
        <w:rPr>
          <w:rFonts w:ascii="Times New Roman" w:hAnsi="Times New Roman" w:cs="Times New Roman"/>
          <w:sz w:val="24"/>
          <w:szCs w:val="24"/>
        </w:rPr>
        <w:t>mart Business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p>
    <w:p w14:paraId="2451CE0B" w14:textId="77777777" w:rsidR="00034BCB" w:rsidRDefault="00034BCB" w:rsidP="000712D2">
      <w:pPr>
        <w:jc w:val="both"/>
        <w:rPr>
          <w:rFonts w:ascii="Times New Roman" w:hAnsi="Times New Roman" w:cs="Times New Roman"/>
          <w:sz w:val="24"/>
          <w:szCs w:val="24"/>
        </w:rPr>
      </w:pPr>
    </w:p>
    <w:p w14:paraId="2451CE0C" w14:textId="77777777" w:rsidR="00B844D8" w:rsidRDefault="00B844D8" w:rsidP="00B844D8">
      <w:pPr>
        <w:jc w:val="both"/>
        <w:rPr>
          <w:rFonts w:ascii="Times New Roman" w:hAnsi="Times New Roman" w:cs="Times New Roman"/>
          <w:sz w:val="24"/>
          <w:szCs w:val="24"/>
        </w:rPr>
      </w:pPr>
      <w:r w:rsidRPr="005328F9">
        <w:rPr>
          <w:rFonts w:ascii="Times New Roman" w:hAnsi="Times New Roman" w:cs="Times New Roman"/>
          <w:sz w:val="24"/>
          <w:szCs w:val="24"/>
        </w:rPr>
        <w:t>The</w:t>
      </w:r>
      <w:r w:rsidRPr="0058647A">
        <w:rPr>
          <w:rFonts w:ascii="Times New Roman" w:hAnsi="Times New Roman" w:cs="Times New Roman"/>
          <w:b/>
          <w:sz w:val="24"/>
          <w:szCs w:val="24"/>
        </w:rPr>
        <w:t xml:space="preserve"> </w:t>
      </w:r>
      <w:r w:rsidRPr="001B406D">
        <w:rPr>
          <w:rFonts w:ascii="Times New Roman" w:hAnsi="Times New Roman" w:cs="Times New Roman"/>
          <w:bCs/>
          <w:i/>
          <w:iCs/>
          <w:sz w:val="24"/>
          <w:szCs w:val="24"/>
        </w:rPr>
        <w:t>watt</w:t>
      </w:r>
      <w:r w:rsidRPr="001B406D">
        <w:rPr>
          <w:rFonts w:ascii="Times New Roman" w:hAnsi="Times New Roman" w:cs="Times New Roman"/>
          <w:sz w:val="24"/>
          <w:szCs w:val="24"/>
        </w:rPr>
        <w:t>s</w:t>
      </w:r>
      <w:r w:rsidRPr="005C6BD0">
        <w:rPr>
          <w:rFonts w:ascii="Times New Roman" w:hAnsi="Times New Roman" w:cs="Times New Roman"/>
          <w:sz w:val="24"/>
          <w:szCs w:val="24"/>
        </w:rPr>
        <w:t>mart</w:t>
      </w:r>
      <w:r w:rsidRPr="0058647A">
        <w:rPr>
          <w:rFonts w:ascii="Times New Roman" w:hAnsi="Times New Roman" w:cs="Times New Roman"/>
          <w:b/>
          <w:sz w:val="24"/>
          <w:szCs w:val="24"/>
        </w:rPr>
        <w:t xml:space="preserve"> </w:t>
      </w:r>
      <w:r w:rsidRPr="003759A2">
        <w:rPr>
          <w:rFonts w:ascii="Times New Roman" w:hAnsi="Times New Roman" w:cs="Times New Roman"/>
          <w:sz w:val="24"/>
          <w:szCs w:val="24"/>
        </w:rPr>
        <w:t>Business</w:t>
      </w:r>
      <w:r w:rsidRPr="0058647A">
        <w:rPr>
          <w:rFonts w:ascii="Times New Roman" w:hAnsi="Times New Roman" w:cs="Times New Roman"/>
          <w:b/>
          <w:sz w:val="24"/>
          <w:szCs w:val="24"/>
        </w:rPr>
        <w:t xml:space="preserve"> </w:t>
      </w:r>
      <w:r w:rsidRPr="003759A2">
        <w:rPr>
          <w:rFonts w:ascii="Times New Roman" w:hAnsi="Times New Roman" w:cs="Times New Roman"/>
          <w:sz w:val="24"/>
          <w:szCs w:val="24"/>
        </w:rPr>
        <w:t>pr</w:t>
      </w:r>
      <w:r w:rsidRPr="00CA4A03">
        <w:rPr>
          <w:rFonts w:ascii="Times New Roman" w:hAnsi="Times New Roman" w:cs="Times New Roman"/>
          <w:sz w:val="24"/>
          <w:szCs w:val="24"/>
        </w:rPr>
        <w:t>ogram is</w:t>
      </w:r>
      <w:r>
        <w:rPr>
          <w:rFonts w:ascii="Times New Roman" w:hAnsi="Times New Roman" w:cs="Times New Roman"/>
          <w:sz w:val="24"/>
          <w:szCs w:val="24"/>
        </w:rPr>
        <w:t xml:space="preserve"> intended to maximize the efficient utilization of electricity for new and existing non-residential customers through the installation of energy efficiency measures and energy management protocols. Qualifying measures are any measures which, when implemented in an eligible facility, result in verifiable electric energy efficiency improvements. </w:t>
      </w:r>
    </w:p>
    <w:p w14:paraId="2451CE0D" w14:textId="77777777" w:rsidR="00B844D8" w:rsidRDefault="00B844D8" w:rsidP="00B844D8">
      <w:pPr>
        <w:jc w:val="both"/>
        <w:rPr>
          <w:rFonts w:ascii="Times New Roman" w:hAnsi="Times New Roman" w:cs="Times New Roman"/>
          <w:sz w:val="24"/>
          <w:szCs w:val="24"/>
        </w:rPr>
      </w:pPr>
    </w:p>
    <w:p w14:paraId="2451CE0E" w14:textId="77777777" w:rsidR="00B844D8" w:rsidRPr="007716B1" w:rsidRDefault="00B844D8" w:rsidP="00B844D8">
      <w:pPr>
        <w:jc w:val="both"/>
        <w:rPr>
          <w:rFonts w:ascii="Times New Roman" w:hAnsi="Times New Roman" w:cs="Times New Roman"/>
          <w:sz w:val="24"/>
          <w:szCs w:val="24"/>
        </w:rPr>
      </w:pPr>
      <w:r>
        <w:rPr>
          <w:rFonts w:ascii="Times New Roman" w:hAnsi="Times New Roman" w:cs="Times New Roman"/>
          <w:sz w:val="24"/>
          <w:szCs w:val="24"/>
        </w:rPr>
        <w:t>The program was cost effective in 2015 as shown</w:t>
      </w:r>
      <w:r w:rsidRPr="00CA4A03">
        <w:rPr>
          <w:rFonts w:ascii="Times New Roman" w:hAnsi="Times New Roman" w:cs="Times New Roman"/>
          <w:sz w:val="24"/>
          <w:szCs w:val="24"/>
        </w:rPr>
        <w:t xml:space="preserve"> in </w:t>
      </w:r>
      <w:r>
        <w:rPr>
          <w:rFonts w:ascii="Times New Roman" w:hAnsi="Times New Roman" w:cs="Times New Roman"/>
          <w:sz w:val="24"/>
          <w:szCs w:val="24"/>
        </w:rPr>
        <w:t>T</w:t>
      </w:r>
      <w:r w:rsidRPr="00CA4A03">
        <w:rPr>
          <w:rFonts w:ascii="Times New Roman" w:hAnsi="Times New Roman" w:cs="Times New Roman"/>
          <w:sz w:val="24"/>
          <w:szCs w:val="24"/>
        </w:rPr>
        <w:t xml:space="preserve">able </w:t>
      </w:r>
      <w:r>
        <w:rPr>
          <w:rFonts w:ascii="Times New Roman" w:hAnsi="Times New Roman" w:cs="Times New Roman"/>
          <w:sz w:val="24"/>
          <w:szCs w:val="24"/>
        </w:rPr>
        <w:t>1</w:t>
      </w:r>
      <w:r w:rsidR="00FB2AAE">
        <w:rPr>
          <w:rFonts w:ascii="Times New Roman" w:hAnsi="Times New Roman" w:cs="Times New Roman"/>
          <w:sz w:val="24"/>
          <w:szCs w:val="24"/>
        </w:rPr>
        <w:t>6</w:t>
      </w:r>
      <w:r w:rsidRPr="00CA4A03">
        <w:rPr>
          <w:rFonts w:ascii="Times New Roman" w:hAnsi="Times New Roman" w:cs="Times New Roman"/>
          <w:sz w:val="24"/>
          <w:szCs w:val="24"/>
        </w:rPr>
        <w:t xml:space="preserve"> below.</w:t>
      </w:r>
    </w:p>
    <w:p w14:paraId="2451CE0F" w14:textId="77777777" w:rsidR="00B844D8" w:rsidRPr="007716B1" w:rsidRDefault="00B844D8" w:rsidP="00B844D8">
      <w:pPr>
        <w:jc w:val="both"/>
        <w:rPr>
          <w:rFonts w:ascii="Times New Roman" w:hAnsi="Times New Roman" w:cs="Times New Roman"/>
          <w:sz w:val="24"/>
          <w:szCs w:val="24"/>
        </w:rPr>
      </w:pPr>
    </w:p>
    <w:p w14:paraId="2451CE10" w14:textId="77777777" w:rsidR="00B844D8" w:rsidRPr="007716B1" w:rsidRDefault="00B844D8" w:rsidP="00B844D8">
      <w:pPr>
        <w:jc w:val="center"/>
        <w:rPr>
          <w:rFonts w:ascii="Times New Roman" w:hAnsi="Times New Roman" w:cs="Times New Roman"/>
          <w:color w:val="548DD4" w:themeColor="text2" w:themeTint="99"/>
          <w:sz w:val="24"/>
          <w:szCs w:val="24"/>
        </w:rPr>
      </w:pPr>
      <w:r w:rsidRPr="00CA4A03">
        <w:rPr>
          <w:rFonts w:ascii="Times New Roman" w:hAnsi="Times New Roman" w:cs="Times New Roman"/>
          <w:color w:val="548DD4" w:themeColor="text2" w:themeTint="99"/>
          <w:sz w:val="24"/>
          <w:szCs w:val="24"/>
        </w:rPr>
        <w:t xml:space="preserve">Table </w:t>
      </w:r>
      <w:r>
        <w:rPr>
          <w:rFonts w:ascii="Times New Roman" w:hAnsi="Times New Roman" w:cs="Times New Roman"/>
          <w:color w:val="548DD4" w:themeColor="text2" w:themeTint="99"/>
          <w:sz w:val="24"/>
          <w:szCs w:val="24"/>
        </w:rPr>
        <w:t>1</w:t>
      </w:r>
      <w:r w:rsidR="00FB2AAE">
        <w:rPr>
          <w:rFonts w:ascii="Times New Roman" w:hAnsi="Times New Roman" w:cs="Times New Roman"/>
          <w:color w:val="548DD4" w:themeColor="text2" w:themeTint="99"/>
          <w:sz w:val="24"/>
          <w:szCs w:val="24"/>
        </w:rPr>
        <w:t>6</w:t>
      </w:r>
    </w:p>
    <w:p w14:paraId="2451CE11" w14:textId="77777777" w:rsidR="00B844D8" w:rsidRPr="00B844D8" w:rsidRDefault="00B844D8" w:rsidP="00B844D8">
      <w:pPr>
        <w:jc w:val="center"/>
        <w:rPr>
          <w:rFonts w:ascii="Times New Roman" w:hAnsi="Times New Roman" w:cs="Times New Roman"/>
          <w:color w:val="548DD4" w:themeColor="text2" w:themeTint="99"/>
          <w:sz w:val="24"/>
          <w:szCs w:val="24"/>
        </w:rPr>
      </w:pPr>
      <w:r w:rsidRPr="00CA4A03">
        <w:rPr>
          <w:rFonts w:ascii="Times New Roman" w:hAnsi="Times New Roman" w:cs="Times New Roman"/>
          <w:color w:val="548DD4" w:themeColor="text2" w:themeTint="99"/>
          <w:sz w:val="24"/>
          <w:szCs w:val="24"/>
        </w:rPr>
        <w:t>Cost</w:t>
      </w:r>
      <w:r>
        <w:rPr>
          <w:rFonts w:ascii="Times New Roman" w:hAnsi="Times New Roman" w:cs="Times New Roman"/>
          <w:color w:val="548DD4" w:themeColor="text2" w:themeTint="99"/>
          <w:sz w:val="24"/>
          <w:szCs w:val="24"/>
        </w:rPr>
        <w:t xml:space="preserve"> E</w:t>
      </w:r>
      <w:r w:rsidRPr="00CA4A03">
        <w:rPr>
          <w:rFonts w:ascii="Times New Roman" w:hAnsi="Times New Roman" w:cs="Times New Roman"/>
          <w:color w:val="548DD4" w:themeColor="text2" w:themeTint="99"/>
          <w:sz w:val="24"/>
          <w:szCs w:val="24"/>
        </w:rPr>
        <w:t xml:space="preserve">ffectiveness for </w:t>
      </w:r>
      <w:r>
        <w:rPr>
          <w:rFonts w:ascii="Times New Roman" w:hAnsi="Times New Roman" w:cs="Times New Roman"/>
          <w:i/>
          <w:color w:val="548DD4" w:themeColor="text2" w:themeTint="99"/>
          <w:sz w:val="24"/>
          <w:szCs w:val="24"/>
        </w:rPr>
        <w:t>watt</w:t>
      </w:r>
      <w:r>
        <w:rPr>
          <w:rFonts w:ascii="Times New Roman" w:hAnsi="Times New Roman" w:cs="Times New Roman"/>
          <w:color w:val="548DD4" w:themeColor="text2" w:themeTint="99"/>
          <w:sz w:val="24"/>
          <w:szCs w:val="24"/>
        </w:rPr>
        <w:t>smart Business</w:t>
      </w:r>
    </w:p>
    <w:p w14:paraId="2451CE12" w14:textId="77777777" w:rsidR="00B844D8" w:rsidRPr="007716B1" w:rsidRDefault="00B844D8" w:rsidP="00B844D8">
      <w:pPr>
        <w:jc w:val="center"/>
        <w:rPr>
          <w:rFonts w:ascii="Times New Roman" w:hAnsi="Times New Roman" w:cs="Times New Roman"/>
          <w:sz w:val="24"/>
          <w:szCs w:val="24"/>
        </w:rPr>
      </w:pPr>
    </w:p>
    <w:tbl>
      <w:tblPr>
        <w:tblW w:w="5313"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046"/>
        <w:gridCol w:w="1267"/>
      </w:tblGrid>
      <w:tr w:rsidR="00B844D8" w:rsidRPr="007716B1" w14:paraId="2451CE15" w14:textId="77777777" w:rsidTr="008465BE">
        <w:trPr>
          <w:trHeight w:val="557"/>
          <w:jc w:val="center"/>
        </w:trPr>
        <w:tc>
          <w:tcPr>
            <w:tcW w:w="4047" w:type="dxa"/>
            <w:shd w:val="clear" w:color="auto" w:fill="C6D9F1" w:themeFill="text2" w:themeFillTint="33"/>
          </w:tcPr>
          <w:p w14:paraId="2451CE13" w14:textId="77777777" w:rsidR="00B844D8" w:rsidRPr="00E06B0E" w:rsidRDefault="00B844D8" w:rsidP="008465BE">
            <w:pPr>
              <w:rPr>
                <w:rFonts w:cs="Times New Roman"/>
                <w:b/>
                <w:sz w:val="20"/>
                <w:szCs w:val="24"/>
              </w:rPr>
            </w:pPr>
          </w:p>
        </w:tc>
        <w:tc>
          <w:tcPr>
            <w:tcW w:w="1266" w:type="dxa"/>
            <w:shd w:val="clear" w:color="auto" w:fill="C6D9F1" w:themeFill="text2" w:themeFillTint="33"/>
            <w:vAlign w:val="center"/>
          </w:tcPr>
          <w:p w14:paraId="2451CE14" w14:textId="77777777" w:rsidR="00B844D8" w:rsidRPr="00E06B0E" w:rsidRDefault="00B844D8" w:rsidP="008465BE">
            <w:pPr>
              <w:jc w:val="center"/>
              <w:rPr>
                <w:rFonts w:cs="Times New Roman"/>
                <w:b/>
                <w:sz w:val="20"/>
                <w:szCs w:val="24"/>
              </w:rPr>
            </w:pPr>
            <w:r w:rsidRPr="00E06B0E">
              <w:rPr>
                <w:rFonts w:cs="Times New Roman"/>
                <w:b/>
                <w:sz w:val="20"/>
                <w:szCs w:val="24"/>
              </w:rPr>
              <w:t>Benefit/Cost Ratio</w:t>
            </w:r>
          </w:p>
        </w:tc>
      </w:tr>
      <w:tr w:rsidR="00B844D8" w:rsidRPr="007716B1" w14:paraId="2451CE18" w14:textId="77777777" w:rsidTr="008465BE">
        <w:trPr>
          <w:jc w:val="center"/>
        </w:trPr>
        <w:tc>
          <w:tcPr>
            <w:tcW w:w="4047" w:type="dxa"/>
          </w:tcPr>
          <w:p w14:paraId="2451CE16" w14:textId="77777777" w:rsidR="00B844D8" w:rsidRPr="00986EBF" w:rsidRDefault="00B844D8" w:rsidP="008465BE">
            <w:pPr>
              <w:rPr>
                <w:rFonts w:cs="Times New Roman"/>
                <w:sz w:val="20"/>
                <w:szCs w:val="24"/>
              </w:rPr>
            </w:pPr>
            <w:r>
              <w:rPr>
                <w:rFonts w:cs="Times New Roman"/>
                <w:sz w:val="20"/>
                <w:szCs w:val="24"/>
              </w:rPr>
              <w:t xml:space="preserve">PacifiCorp </w:t>
            </w:r>
            <w:r w:rsidRPr="00986EBF">
              <w:rPr>
                <w:rFonts w:cs="Times New Roman"/>
                <w:sz w:val="20"/>
                <w:szCs w:val="24"/>
              </w:rPr>
              <w:t xml:space="preserve">Total Resource Test plus 10 percent </w:t>
            </w:r>
          </w:p>
        </w:tc>
        <w:tc>
          <w:tcPr>
            <w:tcW w:w="1266" w:type="dxa"/>
            <w:vAlign w:val="center"/>
          </w:tcPr>
          <w:p w14:paraId="2451CE17" w14:textId="77777777" w:rsidR="00B844D8" w:rsidRPr="00986EBF" w:rsidRDefault="00B844D8" w:rsidP="008465BE">
            <w:pPr>
              <w:jc w:val="center"/>
              <w:rPr>
                <w:rFonts w:cs="Times New Roman"/>
                <w:sz w:val="20"/>
                <w:szCs w:val="24"/>
              </w:rPr>
            </w:pPr>
            <w:r>
              <w:rPr>
                <w:rFonts w:cs="Times New Roman"/>
                <w:sz w:val="20"/>
                <w:szCs w:val="24"/>
              </w:rPr>
              <w:t>1.61</w:t>
            </w:r>
          </w:p>
        </w:tc>
      </w:tr>
      <w:tr w:rsidR="00B844D8" w:rsidRPr="007716B1" w14:paraId="2451CE1B" w14:textId="77777777" w:rsidTr="008465BE">
        <w:trPr>
          <w:jc w:val="center"/>
        </w:trPr>
        <w:tc>
          <w:tcPr>
            <w:tcW w:w="4047" w:type="dxa"/>
          </w:tcPr>
          <w:p w14:paraId="2451CE19" w14:textId="77777777" w:rsidR="00B844D8" w:rsidRPr="00986EBF" w:rsidRDefault="00B844D8" w:rsidP="008465BE">
            <w:pPr>
              <w:rPr>
                <w:rFonts w:cs="Times New Roman"/>
                <w:sz w:val="20"/>
                <w:szCs w:val="24"/>
              </w:rPr>
            </w:pPr>
            <w:r w:rsidRPr="00986EBF">
              <w:rPr>
                <w:rFonts w:cs="Times New Roman"/>
                <w:sz w:val="20"/>
                <w:szCs w:val="24"/>
              </w:rPr>
              <w:t xml:space="preserve">Total Resource Cost Test </w:t>
            </w:r>
          </w:p>
        </w:tc>
        <w:tc>
          <w:tcPr>
            <w:tcW w:w="1266" w:type="dxa"/>
            <w:vAlign w:val="center"/>
          </w:tcPr>
          <w:p w14:paraId="2451CE1A" w14:textId="77777777" w:rsidR="00B844D8" w:rsidRPr="00986EBF" w:rsidRDefault="00B844D8" w:rsidP="008465BE">
            <w:pPr>
              <w:jc w:val="center"/>
              <w:rPr>
                <w:rFonts w:cs="Times New Roman"/>
                <w:sz w:val="20"/>
                <w:szCs w:val="24"/>
              </w:rPr>
            </w:pPr>
            <w:r>
              <w:rPr>
                <w:rFonts w:cs="Times New Roman"/>
                <w:sz w:val="20"/>
                <w:szCs w:val="24"/>
              </w:rPr>
              <w:t>1.47</w:t>
            </w:r>
          </w:p>
        </w:tc>
      </w:tr>
      <w:tr w:rsidR="00B844D8" w:rsidRPr="007716B1" w14:paraId="2451CE1E" w14:textId="77777777" w:rsidTr="008465BE">
        <w:trPr>
          <w:jc w:val="center"/>
        </w:trPr>
        <w:tc>
          <w:tcPr>
            <w:tcW w:w="4047" w:type="dxa"/>
          </w:tcPr>
          <w:p w14:paraId="2451CE1C" w14:textId="77777777" w:rsidR="00B844D8" w:rsidRPr="00986EBF" w:rsidRDefault="00B844D8" w:rsidP="008465BE">
            <w:pPr>
              <w:rPr>
                <w:rFonts w:cs="Times New Roman"/>
                <w:sz w:val="20"/>
                <w:szCs w:val="24"/>
              </w:rPr>
            </w:pPr>
            <w:r w:rsidRPr="00986EBF">
              <w:rPr>
                <w:rFonts w:cs="Times New Roman"/>
                <w:sz w:val="20"/>
                <w:szCs w:val="24"/>
              </w:rPr>
              <w:t xml:space="preserve">Utility Cost Test </w:t>
            </w:r>
          </w:p>
        </w:tc>
        <w:tc>
          <w:tcPr>
            <w:tcW w:w="1266" w:type="dxa"/>
            <w:vAlign w:val="center"/>
          </w:tcPr>
          <w:p w14:paraId="2451CE1D" w14:textId="77777777" w:rsidR="00B844D8" w:rsidRPr="00986EBF" w:rsidRDefault="00B844D8" w:rsidP="008465BE">
            <w:pPr>
              <w:jc w:val="center"/>
              <w:rPr>
                <w:rFonts w:cs="Times New Roman"/>
                <w:sz w:val="20"/>
                <w:szCs w:val="24"/>
              </w:rPr>
            </w:pPr>
            <w:r>
              <w:rPr>
                <w:rFonts w:cs="Times New Roman"/>
                <w:sz w:val="20"/>
                <w:szCs w:val="24"/>
              </w:rPr>
              <w:t>2.42</w:t>
            </w:r>
          </w:p>
        </w:tc>
      </w:tr>
      <w:tr w:rsidR="00B844D8" w:rsidRPr="007716B1" w14:paraId="2451CE21" w14:textId="77777777" w:rsidTr="008465BE">
        <w:trPr>
          <w:jc w:val="center"/>
        </w:trPr>
        <w:tc>
          <w:tcPr>
            <w:tcW w:w="4047" w:type="dxa"/>
          </w:tcPr>
          <w:p w14:paraId="2451CE1F" w14:textId="77777777" w:rsidR="00B844D8" w:rsidRPr="00986EBF" w:rsidRDefault="00B844D8" w:rsidP="008465BE">
            <w:pPr>
              <w:rPr>
                <w:rFonts w:cs="Times New Roman"/>
                <w:sz w:val="20"/>
                <w:szCs w:val="24"/>
              </w:rPr>
            </w:pPr>
            <w:r w:rsidRPr="00986EBF">
              <w:rPr>
                <w:rFonts w:cs="Times New Roman"/>
                <w:sz w:val="20"/>
                <w:szCs w:val="24"/>
              </w:rPr>
              <w:t xml:space="preserve">Participant Cost Test </w:t>
            </w:r>
          </w:p>
        </w:tc>
        <w:tc>
          <w:tcPr>
            <w:tcW w:w="1266" w:type="dxa"/>
            <w:vAlign w:val="center"/>
          </w:tcPr>
          <w:p w14:paraId="2451CE20" w14:textId="77777777" w:rsidR="00B844D8" w:rsidRPr="00986EBF" w:rsidRDefault="00B844D8" w:rsidP="008465BE">
            <w:pPr>
              <w:jc w:val="center"/>
              <w:rPr>
                <w:rFonts w:cs="Times New Roman"/>
                <w:sz w:val="20"/>
                <w:szCs w:val="24"/>
              </w:rPr>
            </w:pPr>
            <w:r>
              <w:rPr>
                <w:rFonts w:cs="Times New Roman"/>
                <w:sz w:val="20"/>
                <w:szCs w:val="24"/>
              </w:rPr>
              <w:t>2.93</w:t>
            </w:r>
          </w:p>
        </w:tc>
      </w:tr>
      <w:tr w:rsidR="00B844D8" w:rsidRPr="007716B1" w14:paraId="2451CE24" w14:textId="77777777" w:rsidTr="008465BE">
        <w:trPr>
          <w:jc w:val="center"/>
        </w:trPr>
        <w:tc>
          <w:tcPr>
            <w:tcW w:w="4047" w:type="dxa"/>
          </w:tcPr>
          <w:p w14:paraId="2451CE22" w14:textId="77777777" w:rsidR="00B844D8" w:rsidRPr="00986EBF" w:rsidRDefault="00B844D8" w:rsidP="008465BE">
            <w:pPr>
              <w:rPr>
                <w:rFonts w:cs="Times New Roman"/>
                <w:sz w:val="20"/>
                <w:szCs w:val="24"/>
              </w:rPr>
            </w:pPr>
            <w:r w:rsidRPr="00986EBF">
              <w:rPr>
                <w:rFonts w:cs="Times New Roman"/>
                <w:sz w:val="20"/>
                <w:szCs w:val="24"/>
              </w:rPr>
              <w:t xml:space="preserve">Rate Payer Impact </w:t>
            </w:r>
            <w:r>
              <w:rPr>
                <w:rFonts w:cs="Times New Roman"/>
                <w:sz w:val="20"/>
                <w:szCs w:val="24"/>
              </w:rPr>
              <w:t>Test</w:t>
            </w:r>
          </w:p>
        </w:tc>
        <w:tc>
          <w:tcPr>
            <w:tcW w:w="1266" w:type="dxa"/>
            <w:vAlign w:val="center"/>
          </w:tcPr>
          <w:p w14:paraId="2451CE23" w14:textId="77777777" w:rsidR="00B844D8" w:rsidRPr="00986EBF" w:rsidRDefault="00B844D8" w:rsidP="008465BE">
            <w:pPr>
              <w:jc w:val="center"/>
              <w:rPr>
                <w:rFonts w:cs="Times New Roman"/>
                <w:sz w:val="20"/>
                <w:szCs w:val="24"/>
              </w:rPr>
            </w:pPr>
            <w:r>
              <w:rPr>
                <w:rFonts w:cs="Times New Roman"/>
                <w:sz w:val="20"/>
                <w:szCs w:val="24"/>
              </w:rPr>
              <w:t>0.61</w:t>
            </w:r>
          </w:p>
        </w:tc>
      </w:tr>
    </w:tbl>
    <w:p w14:paraId="2451CE25" w14:textId="77777777" w:rsidR="00B844D8" w:rsidRDefault="00B844D8" w:rsidP="00B844D8">
      <w:pPr>
        <w:jc w:val="both"/>
        <w:rPr>
          <w:rFonts w:ascii="Times New Roman" w:hAnsi="Times New Roman" w:cs="Times New Roman"/>
          <w:sz w:val="24"/>
          <w:szCs w:val="24"/>
        </w:rPr>
      </w:pPr>
    </w:p>
    <w:p w14:paraId="2451CE26" w14:textId="77777777" w:rsidR="00B844D8" w:rsidRDefault="00B844D8" w:rsidP="000712D2">
      <w:pPr>
        <w:jc w:val="both"/>
        <w:rPr>
          <w:rFonts w:ascii="Times New Roman" w:hAnsi="Times New Roman" w:cs="Times New Roman"/>
          <w:sz w:val="24"/>
          <w:szCs w:val="24"/>
        </w:rPr>
      </w:pPr>
    </w:p>
    <w:p w14:paraId="2451CE27" w14:textId="77777777" w:rsidR="00034BCB" w:rsidRPr="007716B1" w:rsidRDefault="00034BCB" w:rsidP="00034BCB">
      <w:pPr>
        <w:rPr>
          <w:rFonts w:ascii="Times New Roman" w:hAnsi="Times New Roman" w:cs="Times New Roman"/>
          <w:sz w:val="24"/>
          <w:szCs w:val="24"/>
        </w:rPr>
      </w:pPr>
      <w:r w:rsidRPr="00CA4A03">
        <w:rPr>
          <w:rFonts w:ascii="Times New Roman" w:hAnsi="Times New Roman" w:cs="Times New Roman"/>
          <w:sz w:val="24"/>
          <w:szCs w:val="24"/>
        </w:rPr>
        <w:t>Projects completed in the</w:t>
      </w:r>
      <w:r>
        <w:rPr>
          <w:rFonts w:ascii="Times New Roman" w:hAnsi="Times New Roman" w:cs="Times New Roman"/>
          <w:sz w:val="24"/>
          <w:szCs w:val="24"/>
        </w:rPr>
        <w:t xml:space="preserve"> current period</w:t>
      </w:r>
      <w:r w:rsidRPr="00CA4A03">
        <w:rPr>
          <w:rFonts w:ascii="Times New Roman" w:hAnsi="Times New Roman" w:cs="Times New Roman"/>
          <w:sz w:val="24"/>
          <w:szCs w:val="24"/>
        </w:rPr>
        <w:t xml:space="preserve"> </w:t>
      </w:r>
      <w:r>
        <w:rPr>
          <w:rFonts w:ascii="Times New Roman" w:hAnsi="Times New Roman" w:cs="Times New Roman"/>
          <w:sz w:val="24"/>
          <w:szCs w:val="24"/>
        </w:rPr>
        <w:t xml:space="preserve">by customer sector </w:t>
      </w:r>
      <w:r w:rsidRPr="00CA4A03">
        <w:rPr>
          <w:rFonts w:ascii="Times New Roman" w:hAnsi="Times New Roman" w:cs="Times New Roman"/>
          <w:sz w:val="24"/>
          <w:szCs w:val="24"/>
        </w:rPr>
        <w:t xml:space="preserve">are provided in </w:t>
      </w:r>
      <w:r>
        <w:rPr>
          <w:rFonts w:ascii="Times New Roman" w:hAnsi="Times New Roman" w:cs="Times New Roman"/>
          <w:sz w:val="24"/>
          <w:szCs w:val="24"/>
        </w:rPr>
        <w:t>T</w:t>
      </w:r>
      <w:r w:rsidRPr="00CA4A03">
        <w:rPr>
          <w:rFonts w:ascii="Times New Roman" w:hAnsi="Times New Roman" w:cs="Times New Roman"/>
          <w:sz w:val="24"/>
          <w:szCs w:val="24"/>
        </w:rPr>
        <w:t xml:space="preserve">able </w:t>
      </w:r>
      <w:r w:rsidR="00B24613">
        <w:rPr>
          <w:rFonts w:ascii="Times New Roman" w:hAnsi="Times New Roman" w:cs="Times New Roman"/>
          <w:sz w:val="24"/>
          <w:szCs w:val="24"/>
        </w:rPr>
        <w:t>1</w:t>
      </w:r>
      <w:r w:rsidR="00FB2AAE">
        <w:rPr>
          <w:rFonts w:ascii="Times New Roman" w:hAnsi="Times New Roman" w:cs="Times New Roman"/>
          <w:sz w:val="24"/>
          <w:szCs w:val="24"/>
        </w:rPr>
        <w:t>7</w:t>
      </w:r>
      <w:r w:rsidRPr="00CA4A03">
        <w:rPr>
          <w:rFonts w:ascii="Times New Roman" w:hAnsi="Times New Roman" w:cs="Times New Roman"/>
          <w:sz w:val="24"/>
          <w:szCs w:val="24"/>
        </w:rPr>
        <w:t>.</w:t>
      </w:r>
    </w:p>
    <w:p w14:paraId="2451CE28" w14:textId="77777777" w:rsidR="00034BCB" w:rsidRPr="007716B1" w:rsidRDefault="00034BCB" w:rsidP="00034BCB">
      <w:pPr>
        <w:jc w:val="center"/>
        <w:rPr>
          <w:rFonts w:ascii="Times New Roman" w:hAnsi="Times New Roman" w:cs="Times New Roman"/>
          <w:color w:val="548DD4" w:themeColor="text2" w:themeTint="99"/>
          <w:sz w:val="24"/>
          <w:szCs w:val="24"/>
        </w:rPr>
      </w:pPr>
    </w:p>
    <w:p w14:paraId="2451CE29" w14:textId="77777777" w:rsidR="00034BCB" w:rsidRPr="007716B1" w:rsidRDefault="00034BCB" w:rsidP="00034BCB">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w:t>
      </w:r>
      <w:r w:rsidR="00B24613">
        <w:rPr>
          <w:rFonts w:ascii="Times New Roman" w:hAnsi="Times New Roman" w:cs="Times New Roman"/>
          <w:color w:val="548DD4" w:themeColor="text2" w:themeTint="99"/>
          <w:sz w:val="24"/>
          <w:szCs w:val="24"/>
        </w:rPr>
        <w:t>e 1</w:t>
      </w:r>
      <w:r w:rsidR="00FB2AAE">
        <w:rPr>
          <w:rFonts w:ascii="Times New Roman" w:hAnsi="Times New Roman" w:cs="Times New Roman"/>
          <w:color w:val="548DD4" w:themeColor="text2" w:themeTint="99"/>
          <w:sz w:val="24"/>
          <w:szCs w:val="24"/>
        </w:rPr>
        <w:t>7</w:t>
      </w:r>
    </w:p>
    <w:p w14:paraId="2451CE2A" w14:textId="77777777" w:rsidR="00034BCB" w:rsidRPr="007716B1" w:rsidRDefault="00034BCB" w:rsidP="00034BCB">
      <w:pPr>
        <w:jc w:val="center"/>
        <w:rPr>
          <w:rFonts w:ascii="Times New Roman" w:hAnsi="Times New Roman" w:cs="Times New Roman"/>
          <w:color w:val="548DD4" w:themeColor="text2" w:themeTint="99"/>
          <w:sz w:val="24"/>
          <w:szCs w:val="24"/>
        </w:rPr>
      </w:pPr>
      <w:r w:rsidRPr="00CA4A03">
        <w:rPr>
          <w:rFonts w:ascii="Times New Roman" w:hAnsi="Times New Roman" w:cs="Times New Roman"/>
          <w:color w:val="548DD4" w:themeColor="text2" w:themeTint="99"/>
          <w:sz w:val="24"/>
          <w:szCs w:val="24"/>
        </w:rPr>
        <w:t>Projects Completed</w:t>
      </w:r>
    </w:p>
    <w:p w14:paraId="2451CE2B" w14:textId="77777777" w:rsidR="00034BCB" w:rsidRPr="007716B1" w:rsidRDefault="00034BCB" w:rsidP="00034BCB">
      <w:pPr>
        <w:rPr>
          <w:rFonts w:ascii="Times New Roman" w:hAnsi="Times New Roman" w:cs="Times New Roman"/>
          <w:color w:val="548DD4" w:themeColor="text2" w:themeTint="99"/>
          <w:sz w:val="24"/>
          <w:szCs w:val="24"/>
        </w:rPr>
      </w:pPr>
    </w:p>
    <w:tbl>
      <w:tblPr>
        <w:tblStyle w:val="TableGrid"/>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769"/>
        <w:gridCol w:w="1439"/>
        <w:gridCol w:w="1502"/>
        <w:gridCol w:w="1131"/>
        <w:gridCol w:w="1077"/>
      </w:tblGrid>
      <w:tr w:rsidR="00E06B0E" w:rsidRPr="007716B1" w14:paraId="2451CE31" w14:textId="77777777" w:rsidTr="00730B09">
        <w:trPr>
          <w:jc w:val="center"/>
        </w:trPr>
        <w:tc>
          <w:tcPr>
            <w:tcW w:w="1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451CE2C" w14:textId="77777777" w:rsidR="00E06B0E" w:rsidRPr="00E06B0E" w:rsidRDefault="00E06B0E" w:rsidP="00034BCB">
            <w:pPr>
              <w:jc w:val="center"/>
              <w:rPr>
                <w:rFonts w:cs="Times New Roman"/>
                <w:b/>
                <w:sz w:val="20"/>
                <w:szCs w:val="24"/>
              </w:rPr>
            </w:pPr>
            <w:r w:rsidRPr="00E06B0E">
              <w:rPr>
                <w:rFonts w:cs="Times New Roman"/>
                <w:b/>
                <w:sz w:val="20"/>
                <w:szCs w:val="24"/>
              </w:rPr>
              <w:t>Sector</w:t>
            </w: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451CE2D" w14:textId="77777777" w:rsidR="00E06B0E" w:rsidRPr="00E06B0E" w:rsidRDefault="00E06B0E" w:rsidP="00E06B0E">
            <w:pPr>
              <w:jc w:val="center"/>
              <w:rPr>
                <w:rFonts w:cs="Times New Roman"/>
                <w:b/>
                <w:sz w:val="20"/>
                <w:szCs w:val="24"/>
              </w:rPr>
            </w:pPr>
            <w:r w:rsidRPr="00E06B0E">
              <w:rPr>
                <w:rFonts w:cs="Times New Roman"/>
                <w:b/>
                <w:sz w:val="20"/>
                <w:szCs w:val="24"/>
              </w:rPr>
              <w:t xml:space="preserve">Total kWh/Yr Savings </w:t>
            </w:r>
            <w:r w:rsidR="00730B09">
              <w:rPr>
                <w:rFonts w:cs="Times New Roman"/>
                <w:b/>
                <w:sz w:val="20"/>
                <w:szCs w:val="24"/>
              </w:rPr>
              <w:t>@ S</w:t>
            </w:r>
            <w:r w:rsidRPr="00E06B0E">
              <w:rPr>
                <w:rFonts w:cs="Times New Roman"/>
                <w:b/>
                <w:sz w:val="20"/>
                <w:szCs w:val="24"/>
              </w:rPr>
              <w:t>ite</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451CE2E" w14:textId="77777777" w:rsidR="00E06B0E" w:rsidRPr="00E06B0E" w:rsidRDefault="00E06B0E" w:rsidP="00E06B0E">
            <w:pPr>
              <w:jc w:val="center"/>
              <w:rPr>
                <w:rFonts w:cs="Times New Roman"/>
                <w:b/>
                <w:sz w:val="20"/>
                <w:szCs w:val="24"/>
              </w:rPr>
            </w:pPr>
            <w:r w:rsidRPr="00E06B0E">
              <w:rPr>
                <w:rFonts w:cs="Times New Roman"/>
                <w:b/>
                <w:sz w:val="20"/>
                <w:szCs w:val="24"/>
              </w:rPr>
              <w:t>Total kW Savings @ Site</w:t>
            </w:r>
          </w:p>
        </w:tc>
        <w:tc>
          <w:tcPr>
            <w:tcW w:w="11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451CE2F" w14:textId="77777777" w:rsidR="00E06B0E" w:rsidRPr="00E06B0E" w:rsidRDefault="00E06B0E" w:rsidP="00E06B0E">
            <w:pPr>
              <w:jc w:val="center"/>
              <w:rPr>
                <w:rFonts w:cs="Times New Roman"/>
                <w:b/>
                <w:sz w:val="20"/>
                <w:szCs w:val="24"/>
              </w:rPr>
            </w:pPr>
            <w:r w:rsidRPr="00E06B0E">
              <w:rPr>
                <w:rFonts w:cs="Times New Roman"/>
                <w:b/>
                <w:sz w:val="20"/>
                <w:szCs w:val="24"/>
              </w:rPr>
              <w:t>Total Incentive</w:t>
            </w:r>
          </w:p>
        </w:tc>
        <w:tc>
          <w:tcPr>
            <w:tcW w:w="1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451CE30" w14:textId="77777777" w:rsidR="00E06B0E" w:rsidRPr="00E06B0E" w:rsidRDefault="00E06B0E" w:rsidP="00E06B0E">
            <w:pPr>
              <w:jc w:val="center"/>
              <w:rPr>
                <w:rFonts w:cs="Times New Roman"/>
                <w:b/>
                <w:sz w:val="20"/>
                <w:szCs w:val="24"/>
              </w:rPr>
            </w:pPr>
            <w:r w:rsidRPr="00E06B0E">
              <w:rPr>
                <w:rFonts w:cs="Times New Roman"/>
                <w:b/>
                <w:sz w:val="20"/>
                <w:szCs w:val="24"/>
              </w:rPr>
              <w:t>Total Projects</w:t>
            </w:r>
          </w:p>
        </w:tc>
      </w:tr>
      <w:tr w:rsidR="00E06B0E" w:rsidRPr="007716B1" w14:paraId="2451CE37" w14:textId="77777777" w:rsidTr="00730B09">
        <w:trPr>
          <w:jc w:val="center"/>
        </w:trPr>
        <w:tc>
          <w:tcPr>
            <w:tcW w:w="1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2" w14:textId="77777777" w:rsidR="00E06B0E" w:rsidRPr="00986EBF" w:rsidRDefault="00E06B0E" w:rsidP="00034BCB">
            <w:pPr>
              <w:rPr>
                <w:rFonts w:cs="Times New Roman"/>
                <w:sz w:val="20"/>
                <w:szCs w:val="24"/>
              </w:rPr>
            </w:pPr>
            <w:r w:rsidRPr="00986EBF">
              <w:rPr>
                <w:rFonts w:cs="Times New Roman"/>
                <w:sz w:val="20"/>
                <w:szCs w:val="24"/>
              </w:rPr>
              <w:t>Agricultural</w:t>
            </w: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3" w14:textId="77777777" w:rsidR="00E06B0E" w:rsidRPr="00986EBF" w:rsidRDefault="00E06B0E" w:rsidP="00034BCB">
            <w:pPr>
              <w:jc w:val="center"/>
              <w:rPr>
                <w:rFonts w:cs="Times New Roman"/>
                <w:sz w:val="20"/>
                <w:szCs w:val="24"/>
              </w:rPr>
            </w:pPr>
            <w:r w:rsidRPr="00E06B0E">
              <w:rPr>
                <w:rFonts w:cs="Times New Roman"/>
                <w:sz w:val="20"/>
                <w:szCs w:val="24"/>
              </w:rPr>
              <w:t>1,246,917</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4" w14:textId="77777777" w:rsidR="00E06B0E" w:rsidRPr="00986EBF" w:rsidRDefault="00E06B0E" w:rsidP="00034BCB">
            <w:pPr>
              <w:jc w:val="center"/>
              <w:rPr>
                <w:rFonts w:cs="Times New Roman"/>
                <w:sz w:val="20"/>
                <w:szCs w:val="24"/>
              </w:rPr>
            </w:pPr>
            <w:r>
              <w:rPr>
                <w:rFonts w:cs="Times New Roman"/>
                <w:sz w:val="20"/>
                <w:szCs w:val="24"/>
              </w:rPr>
              <w:t>354</w:t>
            </w:r>
          </w:p>
        </w:tc>
        <w:tc>
          <w:tcPr>
            <w:tcW w:w="11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5" w14:textId="77777777" w:rsidR="00E06B0E" w:rsidRPr="00986EBF" w:rsidRDefault="00E06B0E" w:rsidP="00034BCB">
            <w:pPr>
              <w:jc w:val="center"/>
              <w:rPr>
                <w:rFonts w:cs="Times New Roman"/>
                <w:sz w:val="20"/>
                <w:szCs w:val="24"/>
              </w:rPr>
            </w:pPr>
            <w:r w:rsidRPr="00E06B0E">
              <w:rPr>
                <w:rFonts w:cs="Times New Roman"/>
                <w:sz w:val="20"/>
                <w:szCs w:val="24"/>
              </w:rPr>
              <w:t>$107,568</w:t>
            </w:r>
          </w:p>
        </w:tc>
        <w:tc>
          <w:tcPr>
            <w:tcW w:w="1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6" w14:textId="77777777" w:rsidR="00E06B0E" w:rsidRPr="00986EBF" w:rsidRDefault="00E06B0E" w:rsidP="00034BCB">
            <w:pPr>
              <w:jc w:val="center"/>
              <w:rPr>
                <w:rFonts w:cs="Times New Roman"/>
                <w:sz w:val="20"/>
                <w:szCs w:val="24"/>
              </w:rPr>
            </w:pPr>
            <w:r>
              <w:rPr>
                <w:rFonts w:cs="Times New Roman"/>
                <w:sz w:val="20"/>
                <w:szCs w:val="24"/>
              </w:rPr>
              <w:t>34</w:t>
            </w:r>
          </w:p>
        </w:tc>
      </w:tr>
      <w:tr w:rsidR="00E06B0E" w:rsidRPr="007716B1" w14:paraId="2451CE3D" w14:textId="77777777" w:rsidTr="00730B09">
        <w:trPr>
          <w:jc w:val="center"/>
        </w:trPr>
        <w:tc>
          <w:tcPr>
            <w:tcW w:w="1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8" w14:textId="77777777" w:rsidR="00E06B0E" w:rsidRPr="00986EBF" w:rsidRDefault="00E06B0E" w:rsidP="00034BCB">
            <w:pPr>
              <w:rPr>
                <w:rFonts w:cs="Times New Roman"/>
                <w:sz w:val="20"/>
                <w:szCs w:val="24"/>
              </w:rPr>
            </w:pPr>
            <w:r w:rsidRPr="00986EBF">
              <w:rPr>
                <w:rFonts w:cs="Times New Roman"/>
                <w:sz w:val="20"/>
                <w:szCs w:val="24"/>
              </w:rPr>
              <w:t>Commercial</w:t>
            </w: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9" w14:textId="77777777" w:rsidR="00E06B0E" w:rsidRPr="00986EBF" w:rsidRDefault="00E06B0E" w:rsidP="00034BCB">
            <w:pPr>
              <w:jc w:val="center"/>
              <w:rPr>
                <w:rFonts w:cs="Times New Roman"/>
                <w:sz w:val="20"/>
                <w:szCs w:val="24"/>
              </w:rPr>
            </w:pPr>
            <w:r w:rsidRPr="00E06B0E">
              <w:rPr>
                <w:rFonts w:cs="Times New Roman"/>
                <w:sz w:val="20"/>
                <w:szCs w:val="24"/>
              </w:rPr>
              <w:t>12,977,707</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A" w14:textId="77777777" w:rsidR="00E06B0E" w:rsidRPr="00986EBF" w:rsidRDefault="00E06B0E" w:rsidP="00034BCB">
            <w:pPr>
              <w:jc w:val="center"/>
              <w:rPr>
                <w:rFonts w:cs="Times New Roman"/>
                <w:sz w:val="20"/>
                <w:szCs w:val="24"/>
              </w:rPr>
            </w:pPr>
            <w:r>
              <w:rPr>
                <w:rFonts w:cs="Times New Roman"/>
                <w:sz w:val="20"/>
                <w:szCs w:val="24"/>
              </w:rPr>
              <w:t>1,560</w:t>
            </w:r>
          </w:p>
        </w:tc>
        <w:tc>
          <w:tcPr>
            <w:tcW w:w="11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B" w14:textId="77777777" w:rsidR="00E06B0E" w:rsidRPr="00986EBF" w:rsidRDefault="00E06B0E" w:rsidP="00034BCB">
            <w:pPr>
              <w:jc w:val="center"/>
              <w:rPr>
                <w:rFonts w:cs="Times New Roman"/>
                <w:sz w:val="20"/>
                <w:szCs w:val="24"/>
              </w:rPr>
            </w:pPr>
            <w:r w:rsidRPr="00E06B0E">
              <w:rPr>
                <w:rFonts w:cs="Times New Roman"/>
                <w:sz w:val="20"/>
                <w:szCs w:val="24"/>
              </w:rPr>
              <w:t>$2,088,878</w:t>
            </w:r>
          </w:p>
        </w:tc>
        <w:tc>
          <w:tcPr>
            <w:tcW w:w="1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C" w14:textId="77777777" w:rsidR="00E06B0E" w:rsidRPr="00986EBF" w:rsidRDefault="00E06B0E" w:rsidP="00034BCB">
            <w:pPr>
              <w:jc w:val="center"/>
              <w:rPr>
                <w:rFonts w:cs="Times New Roman"/>
                <w:sz w:val="20"/>
                <w:szCs w:val="24"/>
              </w:rPr>
            </w:pPr>
            <w:r>
              <w:rPr>
                <w:rFonts w:cs="Times New Roman"/>
                <w:sz w:val="20"/>
                <w:szCs w:val="24"/>
              </w:rPr>
              <w:t>381</w:t>
            </w:r>
          </w:p>
        </w:tc>
      </w:tr>
      <w:tr w:rsidR="00E06B0E" w:rsidRPr="007716B1" w14:paraId="2451CE43" w14:textId="77777777" w:rsidTr="00730B09">
        <w:trPr>
          <w:jc w:val="center"/>
        </w:trPr>
        <w:tc>
          <w:tcPr>
            <w:tcW w:w="1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E3E" w14:textId="77777777" w:rsidR="00E06B0E" w:rsidRPr="00986EBF" w:rsidRDefault="00E06B0E" w:rsidP="00034BCB">
            <w:pPr>
              <w:rPr>
                <w:rFonts w:cs="Times New Roman"/>
                <w:sz w:val="20"/>
                <w:szCs w:val="24"/>
              </w:rPr>
            </w:pPr>
            <w:r w:rsidRPr="00986EBF">
              <w:rPr>
                <w:rFonts w:cs="Times New Roman"/>
                <w:sz w:val="20"/>
                <w:szCs w:val="24"/>
              </w:rPr>
              <w:t>Industrial</w:t>
            </w: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3F" w14:textId="77777777" w:rsidR="00E06B0E" w:rsidRPr="00986EBF" w:rsidRDefault="00E06B0E" w:rsidP="00034BCB">
            <w:pPr>
              <w:jc w:val="center"/>
              <w:rPr>
                <w:rFonts w:cs="Times New Roman"/>
                <w:sz w:val="20"/>
                <w:szCs w:val="24"/>
              </w:rPr>
            </w:pPr>
            <w:r w:rsidRPr="00E06B0E">
              <w:rPr>
                <w:rFonts w:cs="Times New Roman"/>
                <w:sz w:val="20"/>
                <w:szCs w:val="24"/>
              </w:rPr>
              <w:t>9,434,502</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40" w14:textId="77777777" w:rsidR="00E06B0E" w:rsidRPr="00986EBF" w:rsidRDefault="00E06B0E" w:rsidP="00034BCB">
            <w:pPr>
              <w:jc w:val="center"/>
              <w:rPr>
                <w:rFonts w:cs="Times New Roman"/>
                <w:sz w:val="20"/>
                <w:szCs w:val="24"/>
              </w:rPr>
            </w:pPr>
            <w:r>
              <w:rPr>
                <w:rFonts w:cs="Times New Roman"/>
                <w:sz w:val="20"/>
                <w:szCs w:val="24"/>
              </w:rPr>
              <w:t>518</w:t>
            </w:r>
          </w:p>
        </w:tc>
        <w:tc>
          <w:tcPr>
            <w:tcW w:w="11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41" w14:textId="77777777" w:rsidR="00E06B0E" w:rsidRPr="00986EBF" w:rsidRDefault="00E06B0E" w:rsidP="00034BCB">
            <w:pPr>
              <w:jc w:val="center"/>
              <w:rPr>
                <w:rFonts w:cs="Times New Roman"/>
                <w:sz w:val="20"/>
                <w:szCs w:val="24"/>
              </w:rPr>
            </w:pPr>
            <w:r w:rsidRPr="00E06B0E">
              <w:rPr>
                <w:rFonts w:cs="Times New Roman"/>
                <w:sz w:val="20"/>
                <w:szCs w:val="24"/>
              </w:rPr>
              <w:t>$970,771</w:t>
            </w:r>
          </w:p>
        </w:tc>
        <w:tc>
          <w:tcPr>
            <w:tcW w:w="1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E42" w14:textId="77777777" w:rsidR="00E06B0E" w:rsidRPr="00986EBF" w:rsidRDefault="00E06B0E" w:rsidP="00034BCB">
            <w:pPr>
              <w:jc w:val="center"/>
              <w:rPr>
                <w:rFonts w:cs="Times New Roman"/>
                <w:sz w:val="20"/>
                <w:szCs w:val="24"/>
              </w:rPr>
            </w:pPr>
            <w:r>
              <w:rPr>
                <w:rFonts w:cs="Times New Roman"/>
                <w:sz w:val="20"/>
                <w:szCs w:val="24"/>
              </w:rPr>
              <w:t>45</w:t>
            </w:r>
          </w:p>
        </w:tc>
      </w:tr>
      <w:tr w:rsidR="00E06B0E" w:rsidRPr="007716B1" w14:paraId="2451CE49" w14:textId="77777777" w:rsidTr="00730B09">
        <w:trPr>
          <w:jc w:val="center"/>
        </w:trPr>
        <w:tc>
          <w:tcPr>
            <w:tcW w:w="17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E44" w14:textId="77777777" w:rsidR="00E06B0E" w:rsidRPr="00E06B0E" w:rsidRDefault="00E06B0E" w:rsidP="00E06B0E">
            <w:pPr>
              <w:rPr>
                <w:rFonts w:cs="Times New Roman"/>
                <w:b/>
                <w:sz w:val="20"/>
                <w:szCs w:val="24"/>
              </w:rPr>
            </w:pPr>
            <w:r w:rsidRPr="00E06B0E">
              <w:rPr>
                <w:rFonts w:cs="Times New Roman"/>
                <w:b/>
                <w:sz w:val="20"/>
                <w:szCs w:val="24"/>
              </w:rPr>
              <w:t>Total</w:t>
            </w:r>
          </w:p>
        </w:tc>
        <w:tc>
          <w:tcPr>
            <w:tcW w:w="14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45" w14:textId="77777777" w:rsidR="00E06B0E" w:rsidRPr="00E06B0E" w:rsidRDefault="00E06B0E" w:rsidP="00034BCB">
            <w:pPr>
              <w:jc w:val="center"/>
              <w:rPr>
                <w:rFonts w:cs="Times New Roman"/>
                <w:b/>
                <w:sz w:val="20"/>
                <w:szCs w:val="24"/>
              </w:rPr>
            </w:pPr>
            <w:r w:rsidRPr="00E06B0E">
              <w:rPr>
                <w:rFonts w:cs="Times New Roman"/>
                <w:b/>
                <w:sz w:val="20"/>
                <w:szCs w:val="24"/>
              </w:rPr>
              <w:t>23,659,126</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46" w14:textId="77777777" w:rsidR="00E06B0E" w:rsidRPr="00E06B0E" w:rsidRDefault="00E06B0E" w:rsidP="00034BCB">
            <w:pPr>
              <w:jc w:val="center"/>
              <w:rPr>
                <w:rFonts w:cs="Times New Roman"/>
                <w:b/>
                <w:sz w:val="20"/>
                <w:szCs w:val="24"/>
              </w:rPr>
            </w:pPr>
            <w:r w:rsidRPr="00E06B0E">
              <w:rPr>
                <w:rFonts w:cs="Times New Roman"/>
                <w:b/>
                <w:sz w:val="20"/>
                <w:szCs w:val="24"/>
              </w:rPr>
              <w:t>2,431</w:t>
            </w:r>
          </w:p>
        </w:tc>
        <w:tc>
          <w:tcPr>
            <w:tcW w:w="11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51CE47" w14:textId="77777777" w:rsidR="00E06B0E" w:rsidRPr="00E06B0E" w:rsidRDefault="00E06B0E" w:rsidP="00034BCB">
            <w:pPr>
              <w:jc w:val="center"/>
              <w:rPr>
                <w:rFonts w:cs="Times New Roman"/>
                <w:b/>
                <w:sz w:val="20"/>
                <w:szCs w:val="24"/>
              </w:rPr>
            </w:pPr>
            <w:r w:rsidRPr="00E06B0E">
              <w:rPr>
                <w:rFonts w:cs="Times New Roman"/>
                <w:b/>
                <w:sz w:val="20"/>
                <w:szCs w:val="24"/>
              </w:rPr>
              <w:t>$3,167,218</w:t>
            </w:r>
          </w:p>
        </w:tc>
        <w:tc>
          <w:tcPr>
            <w:tcW w:w="1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E48" w14:textId="77777777" w:rsidR="00E06B0E" w:rsidRPr="00E06B0E" w:rsidRDefault="00E06B0E" w:rsidP="00034BCB">
            <w:pPr>
              <w:jc w:val="center"/>
              <w:rPr>
                <w:rFonts w:cs="Times New Roman"/>
                <w:b/>
                <w:sz w:val="20"/>
                <w:szCs w:val="24"/>
              </w:rPr>
            </w:pPr>
            <w:r w:rsidRPr="00E06B0E">
              <w:rPr>
                <w:rFonts w:cs="Times New Roman"/>
                <w:b/>
                <w:sz w:val="20"/>
                <w:szCs w:val="24"/>
              </w:rPr>
              <w:t>460</w:t>
            </w:r>
          </w:p>
        </w:tc>
      </w:tr>
    </w:tbl>
    <w:p w14:paraId="2451CE4A" w14:textId="77777777" w:rsidR="00034BCB" w:rsidRDefault="00034BCB" w:rsidP="00034BCB">
      <w:pPr>
        <w:rPr>
          <w:rFonts w:ascii="Times New Roman" w:hAnsi="Times New Roman" w:cs="Times New Roman"/>
          <w:sz w:val="24"/>
          <w:szCs w:val="24"/>
        </w:rPr>
      </w:pPr>
    </w:p>
    <w:p w14:paraId="2451CE4B" w14:textId="77777777" w:rsidR="00034BCB" w:rsidRDefault="00034BCB" w:rsidP="00034BCB">
      <w:pPr>
        <w:rPr>
          <w:rFonts w:ascii="Times New Roman" w:hAnsi="Times New Roman" w:cs="Times New Roman"/>
          <w:sz w:val="24"/>
          <w:szCs w:val="24"/>
        </w:rPr>
      </w:pPr>
    </w:p>
    <w:p w14:paraId="2451CE4C" w14:textId="77777777" w:rsidR="00034BCB" w:rsidRPr="007716B1" w:rsidRDefault="00034BCB" w:rsidP="00034BCB">
      <w:pPr>
        <w:rPr>
          <w:rFonts w:ascii="Times New Roman" w:hAnsi="Times New Roman" w:cs="Times New Roman"/>
          <w:sz w:val="24"/>
          <w:szCs w:val="24"/>
        </w:rPr>
      </w:pPr>
      <w:r w:rsidRPr="007716B1">
        <w:rPr>
          <w:rFonts w:ascii="Times New Roman" w:hAnsi="Times New Roman" w:cs="Times New Roman"/>
          <w:sz w:val="24"/>
          <w:szCs w:val="24"/>
        </w:rPr>
        <w:lastRenderedPageBreak/>
        <w:t xml:space="preserve">Program </w:t>
      </w:r>
      <w:r w:rsidR="00730B09">
        <w:rPr>
          <w:rFonts w:ascii="Times New Roman" w:hAnsi="Times New Roman" w:cs="Times New Roman"/>
          <w:sz w:val="24"/>
          <w:szCs w:val="24"/>
        </w:rPr>
        <w:t xml:space="preserve">performance </w:t>
      </w:r>
      <w:r w:rsidR="00E06B0E">
        <w:rPr>
          <w:rFonts w:ascii="Times New Roman" w:hAnsi="Times New Roman" w:cs="Times New Roman"/>
          <w:sz w:val="24"/>
          <w:szCs w:val="24"/>
        </w:rPr>
        <w:t>by measure category</w:t>
      </w:r>
      <w:r w:rsidRPr="007716B1">
        <w:rPr>
          <w:rFonts w:ascii="Times New Roman" w:hAnsi="Times New Roman" w:cs="Times New Roman"/>
          <w:sz w:val="24"/>
          <w:szCs w:val="24"/>
        </w:rPr>
        <w:t xml:space="preserve"> is provided in </w:t>
      </w:r>
      <w:r w:rsidR="00B24613">
        <w:rPr>
          <w:rFonts w:ascii="Times New Roman" w:hAnsi="Times New Roman" w:cs="Times New Roman"/>
          <w:sz w:val="24"/>
          <w:szCs w:val="24"/>
        </w:rPr>
        <w:t>Table 1</w:t>
      </w:r>
      <w:r w:rsidR="00FB2AAE">
        <w:rPr>
          <w:rFonts w:ascii="Times New Roman" w:hAnsi="Times New Roman" w:cs="Times New Roman"/>
          <w:sz w:val="24"/>
          <w:szCs w:val="24"/>
        </w:rPr>
        <w:t>8</w:t>
      </w:r>
      <w:r w:rsidRPr="007716B1">
        <w:rPr>
          <w:rFonts w:ascii="Times New Roman" w:hAnsi="Times New Roman" w:cs="Times New Roman"/>
          <w:sz w:val="24"/>
          <w:szCs w:val="24"/>
        </w:rPr>
        <w:t>.</w:t>
      </w:r>
    </w:p>
    <w:p w14:paraId="2451CE4D" w14:textId="77777777" w:rsidR="00034BCB" w:rsidRPr="007716B1" w:rsidRDefault="00034BCB" w:rsidP="00034BCB">
      <w:pPr>
        <w:rPr>
          <w:rFonts w:ascii="Times New Roman" w:hAnsi="Times New Roman" w:cs="Times New Roman"/>
          <w:sz w:val="24"/>
          <w:szCs w:val="24"/>
        </w:rPr>
      </w:pPr>
    </w:p>
    <w:p w14:paraId="2451CE4E" w14:textId="77777777" w:rsidR="00034BCB" w:rsidRPr="007716B1" w:rsidRDefault="00B24613" w:rsidP="00034BCB">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1</w:t>
      </w:r>
      <w:r w:rsidR="00FB2AAE">
        <w:rPr>
          <w:rFonts w:ascii="Times New Roman" w:hAnsi="Times New Roman" w:cs="Times New Roman"/>
          <w:color w:val="548DD4" w:themeColor="text2" w:themeTint="99"/>
          <w:sz w:val="24"/>
          <w:szCs w:val="24"/>
        </w:rPr>
        <w:t>8</w:t>
      </w:r>
    </w:p>
    <w:p w14:paraId="2451CE4F" w14:textId="77777777" w:rsidR="00034BCB" w:rsidRDefault="00730B09" w:rsidP="00034BCB">
      <w:pPr>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Program Performance by Measure Category</w:t>
      </w:r>
      <w:r w:rsidR="00C700D3">
        <w:rPr>
          <w:rStyle w:val="FootnoteReference"/>
          <w:rFonts w:ascii="Times New Roman" w:hAnsi="Times New Roman" w:cs="Times New Roman"/>
          <w:color w:val="548DD4" w:themeColor="text2" w:themeTint="99"/>
          <w:sz w:val="24"/>
          <w:szCs w:val="24"/>
        </w:rPr>
        <w:footnoteReference w:id="26"/>
      </w:r>
    </w:p>
    <w:p w14:paraId="2451CE50" w14:textId="77777777" w:rsidR="00730B09" w:rsidRPr="007716B1" w:rsidRDefault="00730B09" w:rsidP="00034BCB">
      <w:pPr>
        <w:jc w:val="center"/>
        <w:rPr>
          <w:rFonts w:ascii="Times New Roman" w:hAnsi="Times New Roman" w:cs="Times New Roman"/>
          <w:color w:val="548DD4" w:themeColor="text2" w:themeTint="99"/>
          <w:sz w:val="24"/>
          <w:szCs w:val="24"/>
        </w:rPr>
      </w:pPr>
    </w:p>
    <w:p w14:paraId="2451CE51" w14:textId="77777777" w:rsidR="00034BCB" w:rsidRPr="007716B1" w:rsidRDefault="00730B09" w:rsidP="00730B09">
      <w:pPr>
        <w:jc w:val="center"/>
        <w:rPr>
          <w:rFonts w:ascii="Times New Roman" w:hAnsi="Times New Roman" w:cs="Times New Roman"/>
          <w:sz w:val="24"/>
          <w:szCs w:val="24"/>
        </w:rPr>
      </w:pPr>
      <w:r w:rsidRPr="00730B09">
        <w:rPr>
          <w:noProof/>
        </w:rPr>
        <w:drawing>
          <wp:inline distT="0" distB="0" distL="0" distR="0" wp14:anchorId="2451CFE1" wp14:editId="2451CFE2">
            <wp:extent cx="4502989" cy="22559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7703" cy="2263289"/>
                    </a:xfrm>
                    <a:prstGeom prst="rect">
                      <a:avLst/>
                    </a:prstGeom>
                    <a:noFill/>
                    <a:ln>
                      <a:noFill/>
                    </a:ln>
                  </pic:spPr>
                </pic:pic>
              </a:graphicData>
            </a:graphic>
          </wp:inline>
        </w:drawing>
      </w:r>
    </w:p>
    <w:p w14:paraId="2451CE52" w14:textId="77777777" w:rsidR="00034BCB" w:rsidRDefault="00034BCB" w:rsidP="00E06B0E">
      <w:pPr>
        <w:jc w:val="center"/>
        <w:rPr>
          <w:rFonts w:ascii="Times New Roman" w:hAnsi="Times New Roman" w:cs="Times New Roman"/>
          <w:sz w:val="24"/>
          <w:szCs w:val="24"/>
        </w:rPr>
      </w:pPr>
    </w:p>
    <w:p w14:paraId="2451CE53" w14:textId="77777777" w:rsidR="000712D2" w:rsidRDefault="000712D2" w:rsidP="000712D2">
      <w:pPr>
        <w:jc w:val="both"/>
        <w:rPr>
          <w:rFonts w:ascii="Times New Roman" w:hAnsi="Times New Roman" w:cs="Times New Roman"/>
          <w:sz w:val="24"/>
          <w:szCs w:val="24"/>
        </w:rPr>
      </w:pPr>
    </w:p>
    <w:p w14:paraId="2451CE54" w14:textId="77777777" w:rsidR="002005D1" w:rsidRDefault="002005D1" w:rsidP="002005D1">
      <w:pPr>
        <w:jc w:val="both"/>
        <w:rPr>
          <w:rFonts w:ascii="Times New Roman" w:hAnsi="Times New Roman" w:cs="Times New Roman"/>
          <w:sz w:val="24"/>
          <w:szCs w:val="24"/>
        </w:rPr>
      </w:pPr>
      <w:r>
        <w:rPr>
          <w:rFonts w:ascii="Times New Roman" w:hAnsi="Times New Roman" w:cs="Times New Roman"/>
          <w:sz w:val="24"/>
          <w:szCs w:val="24"/>
        </w:rPr>
        <w:t xml:space="preserve">Services and incentives offered through the </w:t>
      </w:r>
      <w:r>
        <w:rPr>
          <w:rFonts w:ascii="Times New Roman" w:hAnsi="Times New Roman" w:cs="Times New Roman"/>
          <w:i/>
          <w:sz w:val="24"/>
          <w:szCs w:val="24"/>
        </w:rPr>
        <w:t>watt</w:t>
      </w:r>
      <w:r>
        <w:rPr>
          <w:rFonts w:ascii="Times New Roman" w:hAnsi="Times New Roman" w:cs="Times New Roman"/>
          <w:sz w:val="24"/>
          <w:szCs w:val="24"/>
        </w:rPr>
        <w:t>smart</w:t>
      </w:r>
      <w:r>
        <w:rPr>
          <w:rFonts w:ascii="Times New Roman" w:hAnsi="Times New Roman" w:cs="Times New Roman"/>
          <w:i/>
          <w:sz w:val="24"/>
          <w:szCs w:val="24"/>
        </w:rPr>
        <w:t xml:space="preserve"> </w:t>
      </w:r>
      <w:r>
        <w:rPr>
          <w:rFonts w:ascii="Times New Roman" w:hAnsi="Times New Roman" w:cs="Times New Roman"/>
          <w:sz w:val="24"/>
          <w:szCs w:val="24"/>
        </w:rPr>
        <w:t>Business program include:</w:t>
      </w:r>
    </w:p>
    <w:p w14:paraId="2451CE55" w14:textId="77777777" w:rsidR="002005D1" w:rsidRDefault="002005D1" w:rsidP="002005D1">
      <w:pPr>
        <w:jc w:val="both"/>
        <w:rPr>
          <w:rFonts w:ascii="Times New Roman" w:hAnsi="Times New Roman" w:cs="Times New Roman"/>
          <w:sz w:val="24"/>
          <w:szCs w:val="24"/>
        </w:rPr>
      </w:pPr>
    </w:p>
    <w:p w14:paraId="2451CE56" w14:textId="77777777" w:rsidR="002005D1" w:rsidRDefault="002005D1" w:rsidP="002005D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Typical Upgrades: Incentives for lighting, HVAC, compressed air and other equipment upgrades that increase electrical energy efficiency and exceed energy code requirements.</w:t>
      </w:r>
    </w:p>
    <w:p w14:paraId="2451CE57" w14:textId="77777777" w:rsidR="002005D1" w:rsidRDefault="002005D1" w:rsidP="002005D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Custom analysis: Offers energy analysis studies, services and incentives for more complex projects. </w:t>
      </w:r>
    </w:p>
    <w:p w14:paraId="2451CE58" w14:textId="77777777" w:rsidR="002005D1" w:rsidRDefault="002005D1" w:rsidP="002005D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Energy Management: Provides expert facility and process analysis and incentives to help lower energy costs by optimizing customer’s energy use. </w:t>
      </w:r>
    </w:p>
    <w:p w14:paraId="2451CE59" w14:textId="77777777" w:rsidR="002005D1" w:rsidRDefault="002005D1" w:rsidP="002005D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Energy Project Manager Co-funding: Available to customers who commit to an annual goal of completing energy projects resulting in at least 1,000,000 kWh/year in energy savings. </w:t>
      </w:r>
    </w:p>
    <w:p w14:paraId="2451CE5A" w14:textId="77777777" w:rsidR="002005D1" w:rsidRDefault="002005D1" w:rsidP="002005D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Enhanced incentives for small businesses: Provides enhanced incentives for lighting upgrades installed by an approved </w:t>
      </w:r>
      <w:r>
        <w:rPr>
          <w:rFonts w:ascii="Times New Roman" w:hAnsi="Times New Roman" w:cs="Times New Roman"/>
          <w:i/>
          <w:sz w:val="24"/>
          <w:szCs w:val="24"/>
        </w:rPr>
        <w:t>watt</w:t>
      </w:r>
      <w:r>
        <w:rPr>
          <w:rFonts w:ascii="Times New Roman" w:hAnsi="Times New Roman" w:cs="Times New Roman"/>
          <w:sz w:val="24"/>
          <w:szCs w:val="24"/>
        </w:rPr>
        <w:t xml:space="preserve">smart Small Business Contractor at an eligible existing small business customer facility. </w:t>
      </w:r>
    </w:p>
    <w:p w14:paraId="2451CE5B" w14:textId="77777777" w:rsidR="002005D1" w:rsidRDefault="002005D1" w:rsidP="002005D1">
      <w:pPr>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Midstream/LED Instant Incentive: Provides instant, point-of-purchase incentive for LED lamps and retrofit kits sold through qualifying participating distributors.  Customers purchasing lamps from non-participating suppliers can apply for incentives after purchase.  </w:t>
      </w:r>
    </w:p>
    <w:p w14:paraId="2451CE5C" w14:textId="77777777" w:rsidR="002005D1" w:rsidRDefault="002005D1" w:rsidP="002005D1">
      <w:pPr>
        <w:rPr>
          <w:rFonts w:ascii="Times New Roman" w:hAnsi="Times New Roman" w:cs="Times New Roman"/>
          <w:sz w:val="24"/>
          <w:szCs w:val="24"/>
        </w:rPr>
      </w:pPr>
    </w:p>
    <w:p w14:paraId="2451CE5D" w14:textId="77777777" w:rsidR="002005D1" w:rsidRDefault="002005D1" w:rsidP="002005D1">
      <w:pPr>
        <w:pStyle w:val="Heading3"/>
        <w:rPr>
          <w:sz w:val="24"/>
          <w:szCs w:val="24"/>
        </w:rPr>
      </w:pPr>
      <w:bookmarkStart w:id="61" w:name="_Toc449356489"/>
      <w:bookmarkStart w:id="62" w:name="_Toc449510502"/>
      <w:r>
        <w:rPr>
          <w:sz w:val="24"/>
          <w:szCs w:val="24"/>
        </w:rPr>
        <w:t>Program Management</w:t>
      </w:r>
      <w:bookmarkEnd w:id="61"/>
      <w:bookmarkEnd w:id="62"/>
    </w:p>
    <w:p w14:paraId="2451CE5E" w14:textId="77777777" w:rsidR="002005D1" w:rsidRDefault="002005D1" w:rsidP="002005D1">
      <w:pPr>
        <w:rPr>
          <w:rFonts w:ascii="Times New Roman" w:hAnsi="Times New Roman" w:cs="Times New Roman"/>
          <w:sz w:val="24"/>
          <w:szCs w:val="24"/>
        </w:rPr>
      </w:pPr>
    </w:p>
    <w:p w14:paraId="2451CE5F" w14:textId="77777777" w:rsidR="002005D1" w:rsidRDefault="002005D1" w:rsidP="002005D1">
      <w:pPr>
        <w:jc w:val="both"/>
        <w:rPr>
          <w:rFonts w:ascii="Times New Roman" w:hAnsi="Times New Roman" w:cs="Times New Roman"/>
          <w:sz w:val="24"/>
          <w:szCs w:val="24"/>
        </w:rPr>
      </w:pPr>
      <w:r>
        <w:rPr>
          <w:rFonts w:ascii="Times New Roman" w:hAnsi="Times New Roman" w:cs="Times New Roman"/>
          <w:sz w:val="24"/>
          <w:szCs w:val="24"/>
        </w:rPr>
        <w:t xml:space="preserve">The program manager overseeing program activity in Washington is also responsible for the business energy efficiency programs in California. For each state the program manager is </w:t>
      </w:r>
      <w:r>
        <w:rPr>
          <w:rFonts w:ascii="Times New Roman" w:hAnsi="Times New Roman" w:cs="Times New Roman"/>
          <w:sz w:val="24"/>
          <w:szCs w:val="24"/>
        </w:rPr>
        <w:lastRenderedPageBreak/>
        <w:t xml:space="preserve">responsible for the cost effectiveness of the program, identifying and contracting with the program administrators through a competitive bid process, program marketing, establishing and monitoring program performance and compliance, and recommending program changes. </w:t>
      </w:r>
    </w:p>
    <w:p w14:paraId="2451CE60" w14:textId="77777777" w:rsidR="002005D1" w:rsidRDefault="002005D1" w:rsidP="002005D1">
      <w:pPr>
        <w:jc w:val="both"/>
        <w:rPr>
          <w:rFonts w:ascii="Times New Roman" w:hAnsi="Times New Roman" w:cs="Times New Roman"/>
          <w:sz w:val="24"/>
          <w:szCs w:val="24"/>
        </w:rPr>
      </w:pPr>
    </w:p>
    <w:p w14:paraId="2451CE61" w14:textId="77777777" w:rsidR="002005D1" w:rsidRDefault="002005D1" w:rsidP="002005D1">
      <w:pPr>
        <w:pStyle w:val="Heading3"/>
        <w:rPr>
          <w:sz w:val="24"/>
          <w:szCs w:val="24"/>
        </w:rPr>
      </w:pPr>
      <w:bookmarkStart w:id="63" w:name="_Toc449356490"/>
      <w:bookmarkStart w:id="64" w:name="_Toc449510503"/>
      <w:r>
        <w:rPr>
          <w:sz w:val="24"/>
          <w:szCs w:val="24"/>
        </w:rPr>
        <w:t>Program Administration</w:t>
      </w:r>
      <w:bookmarkEnd w:id="63"/>
      <w:bookmarkEnd w:id="64"/>
    </w:p>
    <w:p w14:paraId="2451CE62" w14:textId="77777777" w:rsidR="002005D1" w:rsidRDefault="002005D1" w:rsidP="002005D1">
      <w:pPr>
        <w:jc w:val="both"/>
        <w:rPr>
          <w:rFonts w:ascii="Times New Roman" w:hAnsi="Times New Roman" w:cs="Times New Roman"/>
          <w:sz w:val="24"/>
          <w:szCs w:val="24"/>
        </w:rPr>
      </w:pPr>
    </w:p>
    <w:p w14:paraId="2451CE63" w14:textId="77777777" w:rsidR="002005D1" w:rsidRDefault="002005D1" w:rsidP="002005D1">
      <w:pPr>
        <w:jc w:val="both"/>
        <w:rPr>
          <w:rFonts w:ascii="Times New Roman" w:hAnsi="Times New Roman" w:cs="Times New Roman"/>
          <w:sz w:val="24"/>
          <w:szCs w:val="24"/>
        </w:rPr>
      </w:pPr>
      <w:r>
        <w:rPr>
          <w:rFonts w:ascii="Times New Roman" w:hAnsi="Times New Roman" w:cs="Times New Roman"/>
          <w:sz w:val="24"/>
          <w:szCs w:val="24"/>
        </w:rPr>
        <w:t xml:space="preserve">The program includes several delivery channels, including Trade Ally, Small Business Enhanced Incentive Offer, LED Instant Incentive and Project Manager delivery. </w:t>
      </w:r>
    </w:p>
    <w:p w14:paraId="2451CE64" w14:textId="77777777" w:rsidR="002005D1" w:rsidRDefault="002005D1" w:rsidP="002005D1">
      <w:pPr>
        <w:jc w:val="both"/>
        <w:rPr>
          <w:rFonts w:ascii="Times New Roman" w:hAnsi="Times New Roman" w:cs="Times New Roman"/>
          <w:sz w:val="24"/>
          <w:szCs w:val="24"/>
        </w:rPr>
      </w:pPr>
    </w:p>
    <w:p w14:paraId="2451CE65" w14:textId="77777777" w:rsidR="002005D1" w:rsidRDefault="002005D1" w:rsidP="002005D1">
      <w:pPr>
        <w:jc w:val="both"/>
        <w:rPr>
          <w:rFonts w:ascii="Times New Roman" w:hAnsi="Times New Roman" w:cs="Times New Roman"/>
          <w:i/>
          <w:sz w:val="24"/>
          <w:szCs w:val="24"/>
        </w:rPr>
      </w:pPr>
      <w:r>
        <w:rPr>
          <w:rFonts w:ascii="Times New Roman" w:hAnsi="Times New Roman" w:cs="Times New Roman"/>
          <w:i/>
          <w:sz w:val="24"/>
          <w:szCs w:val="24"/>
        </w:rPr>
        <w:t xml:space="preserve">Trade Ally </w:t>
      </w:r>
    </w:p>
    <w:p w14:paraId="2451CE66" w14:textId="77777777" w:rsidR="002005D1" w:rsidRDefault="002005D1" w:rsidP="002005D1">
      <w:pPr>
        <w:jc w:val="both"/>
        <w:rPr>
          <w:rFonts w:ascii="Times New Roman" w:hAnsi="Times New Roman"/>
          <w:sz w:val="24"/>
          <w:szCs w:val="24"/>
        </w:rPr>
      </w:pPr>
      <w:r>
        <w:rPr>
          <w:rFonts w:ascii="Times New Roman" w:hAnsi="Times New Roman" w:cs="Times New Roman"/>
          <w:sz w:val="24"/>
          <w:szCs w:val="24"/>
        </w:rPr>
        <w:t xml:space="preserve">In this channel, the program is primarily marketed through local trade allies who receive support from one of two program administrators. The Company contracts with Nexant, Inc. </w:t>
      </w:r>
      <w:r w:rsidR="006F432A">
        <w:rPr>
          <w:rFonts w:ascii="Times New Roman" w:hAnsi="Times New Roman" w:cs="Times New Roman"/>
          <w:sz w:val="24"/>
          <w:szCs w:val="24"/>
        </w:rPr>
        <w:t>(</w:t>
      </w:r>
      <w:r>
        <w:rPr>
          <w:rFonts w:ascii="Times New Roman" w:hAnsi="Times New Roman" w:cs="Times New Roman"/>
          <w:sz w:val="24"/>
          <w:szCs w:val="24"/>
        </w:rPr>
        <w:t>Nexant</w:t>
      </w:r>
      <w:r w:rsidR="006F432A">
        <w:rPr>
          <w:rFonts w:ascii="Times New Roman" w:hAnsi="Times New Roman" w:cs="Times New Roman"/>
          <w:sz w:val="24"/>
          <w:szCs w:val="24"/>
        </w:rPr>
        <w:t>)</w:t>
      </w:r>
      <w:r>
        <w:rPr>
          <w:rFonts w:ascii="Times New Roman" w:hAnsi="Times New Roman" w:cs="Times New Roman"/>
          <w:sz w:val="24"/>
          <w:szCs w:val="24"/>
        </w:rPr>
        <w:t xml:space="preserve"> and Cascade Energy </w:t>
      </w:r>
      <w:r w:rsidR="006F432A">
        <w:rPr>
          <w:rFonts w:ascii="Times New Roman" w:hAnsi="Times New Roman" w:cs="Times New Roman"/>
          <w:sz w:val="24"/>
          <w:szCs w:val="24"/>
        </w:rPr>
        <w:t>(</w:t>
      </w:r>
      <w:r>
        <w:rPr>
          <w:rFonts w:ascii="Times New Roman" w:hAnsi="Times New Roman" w:cs="Times New Roman"/>
          <w:sz w:val="24"/>
          <w:szCs w:val="24"/>
        </w:rPr>
        <w:t>Cascade</w:t>
      </w:r>
      <w:r w:rsidR="006F432A">
        <w:rPr>
          <w:rFonts w:ascii="Times New Roman" w:hAnsi="Times New Roman" w:cs="Times New Roman"/>
          <w:sz w:val="24"/>
          <w:szCs w:val="24"/>
        </w:rPr>
        <w:t>)</w:t>
      </w:r>
      <w:r>
        <w:rPr>
          <w:rFonts w:ascii="Times New Roman" w:hAnsi="Times New Roman" w:cs="Times New Roman"/>
          <w:sz w:val="24"/>
          <w:szCs w:val="24"/>
        </w:rPr>
        <w:t xml:space="preserve"> for trade ally coordination, training and application processing services for commercial measures and industrial/agricultural measures, respectively.</w:t>
      </w:r>
    </w:p>
    <w:p w14:paraId="2451CE67" w14:textId="77777777" w:rsidR="002005D1" w:rsidRDefault="002005D1" w:rsidP="002005D1">
      <w:pPr>
        <w:pStyle w:val="NormalWeb"/>
        <w:jc w:val="both"/>
        <w:rPr>
          <w:rFonts w:ascii="Times New Roman" w:hAnsi="Times New Roman"/>
          <w:color w:val="auto"/>
          <w:sz w:val="24"/>
          <w:szCs w:val="24"/>
        </w:rPr>
      </w:pPr>
      <w:r>
        <w:rPr>
          <w:rFonts w:ascii="Times New Roman" w:hAnsi="Times New Roman"/>
          <w:color w:val="auto"/>
          <w:sz w:val="24"/>
          <w:szCs w:val="24"/>
        </w:rPr>
        <w:t>Nexant and Cascade are responsible for the following:</w:t>
      </w:r>
    </w:p>
    <w:p w14:paraId="2451CE68"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Trade ally engagement – identify, recruit, train, support and assist trade allies to increase sales and installation of energy efficient equipment at qualifying business customer facilities.</w:t>
      </w:r>
    </w:p>
    <w:p w14:paraId="2451CE69"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Incentive processing and administrative support – handle incoming inquiries as assigned, process incentive applications, develop and maintain simplified analysis tools and provide program design services, evaluation and regulatory support upon request.</w:t>
      </w:r>
    </w:p>
    <w:p w14:paraId="2451CE6A" w14:textId="77777777" w:rsidR="002005D1" w:rsidRDefault="002005D1" w:rsidP="002005D1">
      <w:pPr>
        <w:pStyle w:val="NormalWeb"/>
        <w:numPr>
          <w:ilvl w:val="0"/>
          <w:numId w:val="42"/>
        </w:numPr>
        <w:jc w:val="both"/>
        <w:rPr>
          <w:rFonts w:ascii="Times New Roman" w:hAnsi="Times New Roman"/>
          <w:color w:val="auto"/>
          <w:sz w:val="24"/>
          <w:szCs w:val="24"/>
          <w:u w:val="single"/>
        </w:rPr>
      </w:pPr>
      <w:r>
        <w:rPr>
          <w:rFonts w:ascii="Times New Roman" w:hAnsi="Times New Roman"/>
          <w:color w:val="auto"/>
          <w:sz w:val="24"/>
          <w:szCs w:val="24"/>
        </w:rPr>
        <w:t>Direct customer outreach and project facilitation for smaller customer projects</w:t>
      </w:r>
    </w:p>
    <w:p w14:paraId="2451CE6B" w14:textId="77777777" w:rsidR="002005D1" w:rsidRDefault="002005D1" w:rsidP="002005D1">
      <w:pPr>
        <w:pStyle w:val="NormalWeb"/>
        <w:numPr>
          <w:ilvl w:val="0"/>
          <w:numId w:val="42"/>
        </w:numPr>
        <w:jc w:val="both"/>
        <w:rPr>
          <w:rFonts w:ascii="Times New Roman" w:hAnsi="Times New Roman"/>
          <w:color w:val="auto"/>
          <w:sz w:val="24"/>
          <w:szCs w:val="24"/>
          <w:u w:val="single"/>
        </w:rPr>
      </w:pPr>
      <w:r>
        <w:rPr>
          <w:rFonts w:ascii="Times New Roman" w:hAnsi="Times New Roman"/>
          <w:color w:val="auto"/>
          <w:sz w:val="24"/>
          <w:szCs w:val="24"/>
        </w:rPr>
        <w:t>Inspections – verify on an on-going basis the installation of measures</w:t>
      </w:r>
      <w:r>
        <w:rPr>
          <w:rStyle w:val="FootnoteReference"/>
          <w:rFonts w:ascii="Times New Roman" w:hAnsi="Times New Roman"/>
          <w:color w:val="auto"/>
          <w:sz w:val="24"/>
          <w:szCs w:val="24"/>
        </w:rPr>
        <w:footnoteReference w:id="27"/>
      </w:r>
      <w:r>
        <w:rPr>
          <w:rFonts w:ascii="Times New Roman" w:hAnsi="Times New Roman"/>
          <w:color w:val="auto"/>
          <w:sz w:val="24"/>
          <w:szCs w:val="24"/>
        </w:rPr>
        <w:t xml:space="preserve">. Summary of the inspection process is in Appendix </w:t>
      </w:r>
      <w:r w:rsidR="00EE016E">
        <w:rPr>
          <w:rFonts w:ascii="Times New Roman" w:hAnsi="Times New Roman"/>
          <w:color w:val="auto"/>
          <w:sz w:val="24"/>
          <w:szCs w:val="24"/>
        </w:rPr>
        <w:t>2</w:t>
      </w:r>
      <w:r>
        <w:rPr>
          <w:rFonts w:ascii="Times New Roman" w:hAnsi="Times New Roman"/>
          <w:color w:val="auto"/>
          <w:sz w:val="24"/>
          <w:szCs w:val="24"/>
        </w:rPr>
        <w:t>.</w:t>
      </w:r>
    </w:p>
    <w:p w14:paraId="2451CE6C" w14:textId="77777777" w:rsidR="002005D1" w:rsidRDefault="002005D1" w:rsidP="002005D1">
      <w:pPr>
        <w:jc w:val="both"/>
        <w:rPr>
          <w:rFonts w:ascii="Times New Roman" w:hAnsi="Times New Roman" w:cs="Times New Roman"/>
          <w:i/>
          <w:sz w:val="24"/>
          <w:szCs w:val="24"/>
        </w:rPr>
      </w:pPr>
      <w:r>
        <w:rPr>
          <w:rFonts w:ascii="Times New Roman" w:hAnsi="Times New Roman" w:cs="Times New Roman"/>
          <w:i/>
          <w:sz w:val="24"/>
          <w:szCs w:val="24"/>
        </w:rPr>
        <w:t>Small Business Enhanced Incentive Offer</w:t>
      </w:r>
    </w:p>
    <w:p w14:paraId="2451CE6D" w14:textId="77777777" w:rsidR="002005D1" w:rsidRDefault="002005D1" w:rsidP="002005D1">
      <w:pPr>
        <w:jc w:val="both"/>
        <w:rPr>
          <w:rFonts w:ascii="Times New Roman" w:hAnsi="Times New Roman"/>
          <w:sz w:val="24"/>
          <w:szCs w:val="24"/>
        </w:rPr>
      </w:pPr>
      <w:r>
        <w:rPr>
          <w:rFonts w:ascii="Times New Roman" w:hAnsi="Times New Roman" w:cs="Times New Roman"/>
          <w:sz w:val="24"/>
          <w:szCs w:val="24"/>
        </w:rPr>
        <w:t xml:space="preserve">In this channel, the program is primarily marketed through local contractors approved specifically for this offer who receive support from the program administrator, </w:t>
      </w:r>
      <w:r>
        <w:rPr>
          <w:rFonts w:ascii="Times New Roman" w:hAnsi="Times New Roman"/>
          <w:sz w:val="24"/>
          <w:szCs w:val="24"/>
        </w:rPr>
        <w:t>Nexant. Nexant is responsible for the following:</w:t>
      </w:r>
    </w:p>
    <w:p w14:paraId="2451CE6E"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 xml:space="preserve">Management of approved contractors – identify, recruit, contract with, train, support, and assist contractors to increase sales and installation of energy efficient lighting equipment at qualifying small business customer facilities.  </w:t>
      </w:r>
    </w:p>
    <w:p w14:paraId="2451CE6F"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Incentive processing and administrative support – handle incoming inquiries as assigned, process incentive applications, develop and maintain simplified analysis tool and provide program design services, evaluation and regulatory support upon request.</w:t>
      </w:r>
    </w:p>
    <w:p w14:paraId="2451CE70" w14:textId="77777777" w:rsidR="002005D1" w:rsidRDefault="002005D1" w:rsidP="002005D1">
      <w:pPr>
        <w:pStyle w:val="NormalWeb"/>
        <w:numPr>
          <w:ilvl w:val="0"/>
          <w:numId w:val="42"/>
        </w:numPr>
        <w:jc w:val="both"/>
        <w:rPr>
          <w:rFonts w:ascii="Times New Roman" w:hAnsi="Times New Roman"/>
          <w:color w:val="auto"/>
          <w:sz w:val="24"/>
          <w:szCs w:val="24"/>
          <w:u w:val="single"/>
        </w:rPr>
      </w:pPr>
      <w:r>
        <w:rPr>
          <w:rFonts w:ascii="Times New Roman" w:hAnsi="Times New Roman"/>
          <w:color w:val="auto"/>
          <w:sz w:val="24"/>
          <w:szCs w:val="24"/>
        </w:rPr>
        <w:t xml:space="preserve">Inspections – verify on an on-going basis the installation of measures. Summary of the inspection process is in Appendix </w:t>
      </w:r>
      <w:r w:rsidR="00EE016E">
        <w:rPr>
          <w:rFonts w:ascii="Times New Roman" w:hAnsi="Times New Roman"/>
          <w:color w:val="auto"/>
          <w:sz w:val="24"/>
          <w:szCs w:val="24"/>
        </w:rPr>
        <w:t>2</w:t>
      </w:r>
      <w:r>
        <w:rPr>
          <w:rFonts w:ascii="Times New Roman" w:hAnsi="Times New Roman"/>
          <w:color w:val="auto"/>
          <w:sz w:val="24"/>
          <w:szCs w:val="24"/>
        </w:rPr>
        <w:t xml:space="preserve"> to this report.</w:t>
      </w:r>
    </w:p>
    <w:p w14:paraId="2451CE71" w14:textId="77777777" w:rsidR="00FB2AAE" w:rsidRDefault="00FB2AAE" w:rsidP="002005D1">
      <w:pPr>
        <w:jc w:val="both"/>
        <w:rPr>
          <w:rFonts w:ascii="Times New Roman" w:hAnsi="Times New Roman" w:cs="Times New Roman"/>
          <w:i/>
          <w:sz w:val="24"/>
          <w:szCs w:val="24"/>
        </w:rPr>
      </w:pPr>
    </w:p>
    <w:p w14:paraId="2451CE72" w14:textId="77777777" w:rsidR="00FB2AAE" w:rsidRDefault="00FB2AAE" w:rsidP="002005D1">
      <w:pPr>
        <w:jc w:val="both"/>
        <w:rPr>
          <w:rFonts w:ascii="Times New Roman" w:hAnsi="Times New Roman" w:cs="Times New Roman"/>
          <w:i/>
          <w:sz w:val="24"/>
          <w:szCs w:val="24"/>
        </w:rPr>
      </w:pPr>
    </w:p>
    <w:p w14:paraId="2451CE73" w14:textId="77777777" w:rsidR="002005D1" w:rsidRDefault="002005D1" w:rsidP="002005D1">
      <w:pPr>
        <w:jc w:val="both"/>
        <w:rPr>
          <w:rFonts w:ascii="Times New Roman" w:hAnsi="Times New Roman" w:cs="Times New Roman"/>
          <w:i/>
          <w:sz w:val="24"/>
          <w:szCs w:val="24"/>
        </w:rPr>
      </w:pPr>
      <w:r>
        <w:rPr>
          <w:rFonts w:ascii="Times New Roman" w:hAnsi="Times New Roman" w:cs="Times New Roman"/>
          <w:i/>
          <w:sz w:val="24"/>
          <w:szCs w:val="24"/>
        </w:rPr>
        <w:lastRenderedPageBreak/>
        <w:t>Midstream/LED Instant Incentive Offer</w:t>
      </w:r>
    </w:p>
    <w:p w14:paraId="2451CE74" w14:textId="77777777" w:rsidR="002005D1" w:rsidRDefault="002005D1" w:rsidP="002005D1">
      <w:pPr>
        <w:jc w:val="both"/>
        <w:rPr>
          <w:rFonts w:ascii="Times New Roman" w:hAnsi="Times New Roman"/>
          <w:sz w:val="24"/>
          <w:szCs w:val="24"/>
        </w:rPr>
      </w:pPr>
      <w:r>
        <w:rPr>
          <w:rFonts w:ascii="Times New Roman" w:hAnsi="Times New Roman" w:cs="Times New Roman"/>
          <w:sz w:val="24"/>
          <w:szCs w:val="24"/>
        </w:rPr>
        <w:t xml:space="preserve">In this channel, the program is primarily marketed through distributors approved specifically for this offer who receive support from the program administrator, </w:t>
      </w:r>
      <w:r>
        <w:rPr>
          <w:rFonts w:ascii="Times New Roman" w:hAnsi="Times New Roman"/>
          <w:sz w:val="24"/>
          <w:szCs w:val="24"/>
        </w:rPr>
        <w:t>Nexant. Nexant is responsible for the following:</w:t>
      </w:r>
    </w:p>
    <w:p w14:paraId="2451CE75"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 xml:space="preserve">Management of approved distributors – identify, recruit, contract with, train, support, and assist distributors to increase sales of energy efficient lighting equipment at qualifying business customer facilities.  </w:t>
      </w:r>
    </w:p>
    <w:p w14:paraId="2451CE76" w14:textId="77777777" w:rsidR="002005D1" w:rsidRDefault="002005D1" w:rsidP="002005D1">
      <w:pPr>
        <w:pStyle w:val="NormalWeb"/>
        <w:numPr>
          <w:ilvl w:val="0"/>
          <w:numId w:val="42"/>
        </w:numPr>
        <w:jc w:val="both"/>
        <w:rPr>
          <w:rFonts w:ascii="Times New Roman" w:hAnsi="Times New Roman"/>
          <w:color w:val="auto"/>
          <w:sz w:val="24"/>
          <w:szCs w:val="24"/>
        </w:rPr>
      </w:pPr>
      <w:r>
        <w:rPr>
          <w:rFonts w:ascii="Times New Roman" w:hAnsi="Times New Roman"/>
          <w:color w:val="auto"/>
          <w:sz w:val="24"/>
          <w:szCs w:val="24"/>
        </w:rPr>
        <w:t>Incentive processing and administrative support – handle incoming inquiries as assigned, process incentive applications, and provide program design services, evaluation and regulatory support upon request.</w:t>
      </w:r>
    </w:p>
    <w:p w14:paraId="2451CE77" w14:textId="77777777" w:rsidR="002005D1" w:rsidRDefault="002005D1" w:rsidP="002005D1">
      <w:pPr>
        <w:pStyle w:val="NormalWeb"/>
        <w:numPr>
          <w:ilvl w:val="0"/>
          <w:numId w:val="42"/>
        </w:numPr>
        <w:jc w:val="both"/>
        <w:rPr>
          <w:rFonts w:ascii="Times New Roman" w:hAnsi="Times New Roman"/>
          <w:color w:val="auto"/>
          <w:sz w:val="24"/>
          <w:szCs w:val="24"/>
          <w:u w:val="single"/>
        </w:rPr>
      </w:pPr>
      <w:r>
        <w:rPr>
          <w:rFonts w:ascii="Times New Roman" w:hAnsi="Times New Roman"/>
          <w:color w:val="auto"/>
          <w:sz w:val="24"/>
          <w:szCs w:val="24"/>
        </w:rPr>
        <w:t xml:space="preserve">Inspections – verify on an on-going basis the installation of measures at eligible customer facilities. Summary of the inspection process is in Appendix </w:t>
      </w:r>
      <w:r w:rsidR="00EE016E">
        <w:rPr>
          <w:rFonts w:ascii="Times New Roman" w:hAnsi="Times New Roman"/>
          <w:color w:val="auto"/>
          <w:sz w:val="24"/>
          <w:szCs w:val="24"/>
        </w:rPr>
        <w:t>2</w:t>
      </w:r>
      <w:r>
        <w:rPr>
          <w:rFonts w:ascii="Times New Roman" w:hAnsi="Times New Roman"/>
          <w:color w:val="auto"/>
          <w:sz w:val="24"/>
          <w:szCs w:val="24"/>
        </w:rPr>
        <w:t xml:space="preserve"> to this report.</w:t>
      </w:r>
    </w:p>
    <w:p w14:paraId="2451CE78" w14:textId="77777777" w:rsidR="002005D1" w:rsidRDefault="002005D1" w:rsidP="002005D1">
      <w:pPr>
        <w:pStyle w:val="NormalWeb"/>
        <w:spacing w:before="0" w:beforeAutospacing="0" w:after="0" w:afterAutospacing="0"/>
        <w:jc w:val="both"/>
        <w:rPr>
          <w:rFonts w:ascii="Times New Roman" w:hAnsi="Times New Roman"/>
          <w:i/>
          <w:color w:val="auto"/>
          <w:sz w:val="24"/>
          <w:szCs w:val="24"/>
        </w:rPr>
      </w:pPr>
      <w:r>
        <w:rPr>
          <w:rFonts w:ascii="Times New Roman" w:hAnsi="Times New Roman"/>
          <w:i/>
          <w:color w:val="auto"/>
          <w:sz w:val="24"/>
          <w:szCs w:val="24"/>
        </w:rPr>
        <w:t>Project Manager</w:t>
      </w:r>
    </w:p>
    <w:p w14:paraId="2451CE79" w14:textId="77777777" w:rsidR="002005D1" w:rsidRDefault="002005D1" w:rsidP="008F3266">
      <w:pPr>
        <w:pStyle w:val="NormalWeb"/>
        <w:spacing w:before="0" w:beforeAutospacing="0" w:after="0" w:afterAutospacing="0"/>
        <w:contextualSpacing/>
        <w:jc w:val="both"/>
        <w:rPr>
          <w:rFonts w:ascii="Times New Roman" w:hAnsi="Times New Roman"/>
          <w:color w:val="auto"/>
          <w:sz w:val="24"/>
          <w:szCs w:val="24"/>
        </w:rPr>
      </w:pPr>
      <w:r>
        <w:rPr>
          <w:rFonts w:ascii="Times New Roman" w:hAnsi="Times New Roman"/>
          <w:color w:val="auto"/>
          <w:sz w:val="24"/>
          <w:szCs w:val="24"/>
        </w:rPr>
        <w:t>In this channel, the Company’s project manager manages a subset of more complex projects. The project manager</w:t>
      </w:r>
      <w:r>
        <w:rPr>
          <w:rFonts w:ascii="Times New Roman" w:hAnsi="Times New Roman"/>
          <w:color w:val="auto"/>
          <w:sz w:val="24"/>
        </w:rPr>
        <w:t xml:space="preserve"> works directly with the customer or through the Company’s regional business managers</w:t>
      </w:r>
      <w:r>
        <w:rPr>
          <w:rStyle w:val="FootnoteReference"/>
          <w:rFonts w:ascii="Times New Roman" w:hAnsi="Times New Roman"/>
          <w:color w:val="auto"/>
          <w:sz w:val="24"/>
        </w:rPr>
        <w:footnoteReference w:id="28"/>
      </w:r>
      <w:r>
        <w:rPr>
          <w:rFonts w:ascii="Times New Roman" w:hAnsi="Times New Roman"/>
          <w:color w:val="auto"/>
          <w:sz w:val="24"/>
          <w:szCs w:val="24"/>
        </w:rPr>
        <w:t>. The project manager provides customers with program services and incentives using a pre-contracted group of energy engineering consultants. A current list of these consultants is included in the Infrastructure section below.</w:t>
      </w:r>
    </w:p>
    <w:p w14:paraId="2451CE7A" w14:textId="77777777" w:rsidR="00730B09" w:rsidRDefault="002005D1" w:rsidP="008F3266">
      <w:pPr>
        <w:pStyle w:val="Heading3"/>
        <w:contextualSpacing/>
        <w:jc w:val="both"/>
        <w:rPr>
          <w:sz w:val="24"/>
          <w:szCs w:val="24"/>
          <w:u w:val="none"/>
        </w:rPr>
      </w:pPr>
      <w:bookmarkStart w:id="65" w:name="_Toc449356491"/>
      <w:bookmarkStart w:id="66" w:name="_Toc449510504"/>
      <w:r w:rsidRPr="00730B09">
        <w:rPr>
          <w:sz w:val="24"/>
          <w:szCs w:val="24"/>
          <w:u w:val="none"/>
        </w:rPr>
        <w:t xml:space="preserve">The </w:t>
      </w:r>
      <w:r w:rsidRPr="00730B09">
        <w:rPr>
          <w:i/>
          <w:sz w:val="24"/>
          <w:szCs w:val="24"/>
          <w:u w:val="none"/>
        </w:rPr>
        <w:t>watt</w:t>
      </w:r>
      <w:r w:rsidRPr="00730B09">
        <w:rPr>
          <w:sz w:val="24"/>
          <w:szCs w:val="24"/>
          <w:u w:val="none"/>
        </w:rPr>
        <w:t>smart Business program administration contracts expire in 2016 for all states. As a result, the Company initiated a request for proposal in 2015 and new contracts will be in place by mid-2016.</w:t>
      </w:r>
      <w:bookmarkEnd w:id="65"/>
      <w:bookmarkEnd w:id="66"/>
    </w:p>
    <w:p w14:paraId="2451CE7B" w14:textId="77777777" w:rsidR="002005D1" w:rsidRPr="00730B09" w:rsidRDefault="002005D1" w:rsidP="002005D1">
      <w:pPr>
        <w:pStyle w:val="Heading3"/>
        <w:rPr>
          <w:sz w:val="24"/>
          <w:szCs w:val="24"/>
        </w:rPr>
      </w:pPr>
      <w:bookmarkStart w:id="67" w:name="_Toc449356492"/>
      <w:bookmarkStart w:id="68" w:name="_Toc449510505"/>
      <w:r w:rsidRPr="00730B09">
        <w:rPr>
          <w:sz w:val="24"/>
          <w:szCs w:val="24"/>
        </w:rPr>
        <w:t>Infrastructure</w:t>
      </w:r>
      <w:bookmarkEnd w:id="67"/>
      <w:bookmarkEnd w:id="68"/>
    </w:p>
    <w:p w14:paraId="2451CE7C" w14:textId="77777777" w:rsidR="002005D1" w:rsidRDefault="002005D1" w:rsidP="002005D1">
      <w:pPr>
        <w:pStyle w:val="NormalWeb"/>
        <w:jc w:val="both"/>
        <w:rPr>
          <w:rFonts w:ascii="Times New Roman" w:hAnsi="Times New Roman"/>
          <w:color w:val="auto"/>
          <w:sz w:val="24"/>
          <w:szCs w:val="24"/>
        </w:rPr>
      </w:pPr>
      <w:r>
        <w:rPr>
          <w:rFonts w:ascii="Times New Roman" w:hAnsi="Times New Roman"/>
          <w:color w:val="auto"/>
          <w:sz w:val="24"/>
          <w:szCs w:val="24"/>
        </w:rPr>
        <w:t xml:space="preserve">To help increase and improve the supplier and installation contractor infrastructure for typical energy efficient equipment and services, the Company established and continues to develop and support trade ally networks for lighting, HVAC, motors/VFDs and irrigation. This work includes identifying and recruiting trade allies, providing program and technical training and providing sales support on an ongoing basis. The current lists of the trade allies who have applied and been approved as participating </w:t>
      </w:r>
      <w:r>
        <w:rPr>
          <w:rFonts w:ascii="Times New Roman" w:hAnsi="Times New Roman"/>
          <w:i/>
          <w:sz w:val="24"/>
          <w:szCs w:val="24"/>
        </w:rPr>
        <w:t>watt</w:t>
      </w:r>
      <w:r>
        <w:rPr>
          <w:rFonts w:ascii="Times New Roman" w:hAnsi="Times New Roman"/>
          <w:sz w:val="24"/>
          <w:szCs w:val="24"/>
        </w:rPr>
        <w:t>smart</w:t>
      </w:r>
      <w:r>
        <w:rPr>
          <w:rFonts w:ascii="Times New Roman" w:hAnsi="Times New Roman"/>
          <w:color w:val="auto"/>
          <w:sz w:val="24"/>
          <w:szCs w:val="24"/>
        </w:rPr>
        <w:t xml:space="preserve"> Business vendors are posted on the Company website</w:t>
      </w:r>
      <w:r>
        <w:rPr>
          <w:rStyle w:val="FootnoteReference"/>
          <w:rFonts w:ascii="Times New Roman" w:hAnsi="Times New Roman"/>
          <w:color w:val="auto"/>
          <w:sz w:val="24"/>
          <w:szCs w:val="24"/>
        </w:rPr>
        <w:footnoteReference w:id="29"/>
      </w:r>
      <w:r>
        <w:rPr>
          <w:rFonts w:ascii="Times New Roman" w:hAnsi="Times New Roman"/>
          <w:color w:val="auto"/>
          <w:sz w:val="24"/>
          <w:szCs w:val="24"/>
        </w:rPr>
        <w:t xml:space="preserve"> and is included as Appendix </w:t>
      </w:r>
      <w:r w:rsidR="003C6E46">
        <w:rPr>
          <w:rFonts w:ascii="Times New Roman" w:hAnsi="Times New Roman"/>
          <w:color w:val="auto"/>
          <w:sz w:val="24"/>
          <w:szCs w:val="24"/>
        </w:rPr>
        <w:t>5</w:t>
      </w:r>
      <w:r>
        <w:rPr>
          <w:rFonts w:ascii="Times New Roman" w:hAnsi="Times New Roman"/>
          <w:color w:val="auto"/>
          <w:sz w:val="24"/>
          <w:szCs w:val="24"/>
        </w:rPr>
        <w:t xml:space="preserve"> to this report. In most cases, customers are not required to select a vendor from these lists to receive an incentive</w:t>
      </w:r>
      <w:r>
        <w:rPr>
          <w:rStyle w:val="FootnoteReference"/>
          <w:rFonts w:ascii="Times New Roman" w:hAnsi="Times New Roman"/>
          <w:color w:val="auto"/>
          <w:sz w:val="24"/>
          <w:szCs w:val="24"/>
        </w:rPr>
        <w:footnoteReference w:id="30"/>
      </w:r>
      <w:r>
        <w:rPr>
          <w:rFonts w:ascii="Times New Roman" w:hAnsi="Times New Roman"/>
          <w:color w:val="auto"/>
          <w:sz w:val="24"/>
          <w:szCs w:val="24"/>
        </w:rPr>
        <w:t>.</w:t>
      </w:r>
    </w:p>
    <w:p w14:paraId="2451CE7D" w14:textId="77777777" w:rsidR="002005D1" w:rsidRDefault="002005D1" w:rsidP="002005D1">
      <w:pPr>
        <w:pStyle w:val="NormalWeb"/>
        <w:jc w:val="both"/>
        <w:rPr>
          <w:rFonts w:ascii="Times New Roman" w:hAnsi="Times New Roman"/>
          <w:color w:val="auto"/>
          <w:sz w:val="24"/>
          <w:szCs w:val="24"/>
        </w:rPr>
      </w:pPr>
      <w:r>
        <w:rPr>
          <w:rFonts w:ascii="Times New Roman" w:hAnsi="Times New Roman"/>
          <w:color w:val="auto"/>
          <w:sz w:val="24"/>
          <w:szCs w:val="24"/>
        </w:rPr>
        <w:t>The total number of participating trade allies is currently 80. The current counts of participating trade alli</w:t>
      </w:r>
      <w:r w:rsidR="00B24613">
        <w:rPr>
          <w:rFonts w:ascii="Times New Roman" w:hAnsi="Times New Roman"/>
          <w:color w:val="auto"/>
          <w:sz w:val="24"/>
          <w:szCs w:val="24"/>
        </w:rPr>
        <w:t xml:space="preserve">es by technology are in Table </w:t>
      </w:r>
      <w:r w:rsidR="006C3F6C">
        <w:rPr>
          <w:rFonts w:ascii="Times New Roman" w:hAnsi="Times New Roman"/>
          <w:color w:val="auto"/>
          <w:sz w:val="24"/>
          <w:szCs w:val="24"/>
        </w:rPr>
        <w:t>19</w:t>
      </w:r>
      <w:r>
        <w:rPr>
          <w:rFonts w:ascii="Times New Roman" w:hAnsi="Times New Roman"/>
          <w:color w:val="auto"/>
          <w:sz w:val="24"/>
          <w:szCs w:val="24"/>
        </w:rPr>
        <w:t>.</w:t>
      </w:r>
    </w:p>
    <w:p w14:paraId="2451CE7E" w14:textId="77777777" w:rsidR="004F546C" w:rsidRDefault="004F546C" w:rsidP="002005D1">
      <w:pPr>
        <w:pStyle w:val="NoSpacing"/>
        <w:ind w:left="274"/>
        <w:contextualSpacing/>
        <w:jc w:val="center"/>
        <w:rPr>
          <w:rFonts w:ascii="Times New Roman" w:hAnsi="Times New Roman" w:cs="Times New Roman"/>
          <w:color w:val="548DD4" w:themeColor="text2" w:themeTint="99"/>
          <w:sz w:val="24"/>
        </w:rPr>
      </w:pPr>
    </w:p>
    <w:p w14:paraId="2451CE7F" w14:textId="77777777" w:rsidR="002005D1" w:rsidRDefault="00B24613" w:rsidP="002005D1">
      <w:pPr>
        <w:pStyle w:val="NoSpacing"/>
        <w:ind w:left="274"/>
        <w:contextualSpacing/>
        <w:jc w:val="center"/>
        <w:rPr>
          <w:rFonts w:ascii="Times New Roman" w:hAnsi="Times New Roman" w:cs="Times New Roman"/>
          <w:color w:val="548DD4" w:themeColor="text2" w:themeTint="99"/>
          <w:sz w:val="24"/>
        </w:rPr>
      </w:pPr>
      <w:r>
        <w:rPr>
          <w:rFonts w:ascii="Times New Roman" w:hAnsi="Times New Roman" w:cs="Times New Roman"/>
          <w:color w:val="548DD4" w:themeColor="text2" w:themeTint="99"/>
          <w:sz w:val="24"/>
        </w:rPr>
        <w:lastRenderedPageBreak/>
        <w:t xml:space="preserve">Table </w:t>
      </w:r>
      <w:r w:rsidR="006C3F6C">
        <w:rPr>
          <w:rFonts w:ascii="Times New Roman" w:hAnsi="Times New Roman" w:cs="Times New Roman"/>
          <w:color w:val="548DD4" w:themeColor="text2" w:themeTint="99"/>
          <w:sz w:val="24"/>
        </w:rPr>
        <w:t>19</w:t>
      </w:r>
    </w:p>
    <w:p w14:paraId="2451CE80" w14:textId="77777777" w:rsidR="002005D1" w:rsidRDefault="002005D1" w:rsidP="002005D1">
      <w:pPr>
        <w:pStyle w:val="NoSpacing"/>
        <w:ind w:left="274"/>
        <w:contextualSpacing/>
        <w:jc w:val="center"/>
        <w:rPr>
          <w:rFonts w:ascii="Times New Roman" w:hAnsi="Times New Roman" w:cs="Times New Roman"/>
          <w:color w:val="548DD4" w:themeColor="text2" w:themeTint="99"/>
          <w:sz w:val="24"/>
        </w:rPr>
      </w:pPr>
      <w:r>
        <w:rPr>
          <w:rFonts w:ascii="Times New Roman" w:hAnsi="Times New Roman" w:cs="Times New Roman"/>
          <w:color w:val="548DD4" w:themeColor="text2" w:themeTint="99"/>
          <w:sz w:val="24"/>
        </w:rPr>
        <w:t>Participating Trade Allies</w:t>
      </w:r>
      <w:r>
        <w:rPr>
          <w:rStyle w:val="FootnoteReference"/>
          <w:rFonts w:ascii="Times New Roman" w:hAnsi="Times New Roman" w:cs="Times New Roman"/>
          <w:color w:val="548DD4" w:themeColor="text2" w:themeTint="99"/>
          <w:sz w:val="24"/>
        </w:rPr>
        <w:footnoteReference w:id="31"/>
      </w:r>
    </w:p>
    <w:p w14:paraId="2451CE81" w14:textId="77777777" w:rsidR="002005D1" w:rsidRDefault="002005D1" w:rsidP="002005D1">
      <w:pPr>
        <w:pStyle w:val="NoSpacing"/>
        <w:ind w:left="274"/>
        <w:contextualSpacing/>
        <w:jc w:val="center"/>
        <w:rPr>
          <w:rFonts w:ascii="Times New Roman" w:hAnsi="Times New Roman" w:cs="Times New Roman"/>
          <w:color w:val="548DD4" w:themeColor="text2" w:themeTint="99"/>
          <w:sz w:val="24"/>
        </w:rPr>
      </w:pP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32"/>
        <w:gridCol w:w="1080"/>
        <w:gridCol w:w="1080"/>
        <w:gridCol w:w="1170"/>
        <w:gridCol w:w="2160"/>
        <w:gridCol w:w="2382"/>
      </w:tblGrid>
      <w:tr w:rsidR="00986EBF" w14:paraId="2451CE88" w14:textId="77777777" w:rsidTr="00986EBF">
        <w:trPr>
          <w:jc w:val="center"/>
        </w:trPr>
        <w:tc>
          <w:tcPr>
            <w:tcW w:w="10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2"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 xml:space="preserve">Lighting </w:t>
            </w:r>
          </w:p>
        </w:tc>
        <w:tc>
          <w:tcPr>
            <w:tcW w:w="10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3"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 xml:space="preserve">HVAC </w:t>
            </w:r>
          </w:p>
        </w:tc>
        <w:tc>
          <w:tcPr>
            <w:tcW w:w="10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4"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 xml:space="preserve">Motors and VFD </w:t>
            </w:r>
          </w:p>
        </w:tc>
        <w:tc>
          <w:tcPr>
            <w:tcW w:w="11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5"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Irrigation</w:t>
            </w:r>
          </w:p>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6"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Small Business – approved contractors</w:t>
            </w:r>
          </w:p>
        </w:tc>
        <w:tc>
          <w:tcPr>
            <w:tcW w:w="2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2451CE87" w14:textId="77777777" w:rsidR="002005D1" w:rsidRPr="00986EBF" w:rsidRDefault="002005D1">
            <w:pPr>
              <w:pStyle w:val="NormalWeb"/>
              <w:spacing w:line="276" w:lineRule="auto"/>
              <w:jc w:val="center"/>
              <w:rPr>
                <w:rFonts w:asciiTheme="minorHAnsi" w:hAnsiTheme="minorHAnsi"/>
                <w:b/>
                <w:color w:val="auto"/>
                <w:sz w:val="20"/>
                <w:szCs w:val="20"/>
              </w:rPr>
            </w:pPr>
            <w:r w:rsidRPr="00986EBF">
              <w:rPr>
                <w:rFonts w:asciiTheme="minorHAnsi" w:hAnsiTheme="minorHAnsi"/>
                <w:b/>
                <w:color w:val="auto"/>
                <w:sz w:val="20"/>
                <w:szCs w:val="20"/>
              </w:rPr>
              <w:t>LED Instant Incentive – approved distributors</w:t>
            </w:r>
          </w:p>
        </w:tc>
      </w:tr>
      <w:tr w:rsidR="00986EBF" w14:paraId="2451CE8F" w14:textId="77777777" w:rsidTr="00986EBF">
        <w:trPr>
          <w:jc w:val="center"/>
        </w:trPr>
        <w:tc>
          <w:tcPr>
            <w:tcW w:w="10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9"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67</w:t>
            </w:r>
          </w:p>
        </w:tc>
        <w:tc>
          <w:tcPr>
            <w:tcW w:w="10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A"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31</w:t>
            </w:r>
          </w:p>
        </w:tc>
        <w:tc>
          <w:tcPr>
            <w:tcW w:w="10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B"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49</w:t>
            </w:r>
          </w:p>
        </w:tc>
        <w:tc>
          <w:tcPr>
            <w:tcW w:w="11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C"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5</w:t>
            </w:r>
          </w:p>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D"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7</w:t>
            </w:r>
          </w:p>
        </w:tc>
        <w:tc>
          <w:tcPr>
            <w:tcW w:w="2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51CE8E" w14:textId="77777777" w:rsidR="002005D1" w:rsidRPr="00986EBF" w:rsidRDefault="002005D1">
            <w:pPr>
              <w:pStyle w:val="NormalWeb"/>
              <w:spacing w:line="276" w:lineRule="auto"/>
              <w:jc w:val="center"/>
              <w:rPr>
                <w:rFonts w:asciiTheme="minorHAnsi" w:hAnsiTheme="minorHAnsi"/>
                <w:color w:val="auto"/>
                <w:sz w:val="20"/>
                <w:szCs w:val="20"/>
              </w:rPr>
            </w:pPr>
            <w:r w:rsidRPr="00986EBF">
              <w:rPr>
                <w:rFonts w:asciiTheme="minorHAnsi" w:hAnsiTheme="minorHAnsi"/>
                <w:color w:val="auto"/>
                <w:sz w:val="20"/>
                <w:szCs w:val="20"/>
              </w:rPr>
              <w:t>7</w:t>
            </w:r>
          </w:p>
        </w:tc>
      </w:tr>
    </w:tbl>
    <w:p w14:paraId="2451CE90" w14:textId="77777777" w:rsidR="002005D1" w:rsidRDefault="002005D1" w:rsidP="002005D1">
      <w:pPr>
        <w:spacing w:before="100" w:beforeAutospacing="1" w:after="100" w:afterAutospacing="1"/>
        <w:jc w:val="both"/>
        <w:rPr>
          <w:rFonts w:ascii="Times New Roman" w:hAnsi="Times New Roman" w:cs="Times New Roman"/>
          <w:sz w:val="24"/>
        </w:rPr>
      </w:pPr>
      <w:r>
        <w:rPr>
          <w:rFonts w:ascii="Times New Roman" w:hAnsi="Times New Roman" w:cs="Times New Roman"/>
          <w:sz w:val="24"/>
        </w:rPr>
        <w:t>For the project manager delivery channel supporting larger customers, a pre-approved, pre-contracted group of engineering firms can be used to perform facility specific energy efficiency analysis, quality assu</w:t>
      </w:r>
      <w:r w:rsidR="00B24613">
        <w:rPr>
          <w:rFonts w:ascii="Times New Roman" w:hAnsi="Times New Roman" w:cs="Times New Roman"/>
          <w:sz w:val="24"/>
        </w:rPr>
        <w:t>rance and verification. Table 2</w:t>
      </w:r>
      <w:r w:rsidR="006C3F6C">
        <w:rPr>
          <w:rFonts w:ascii="Times New Roman" w:hAnsi="Times New Roman" w:cs="Times New Roman"/>
          <w:sz w:val="24"/>
        </w:rPr>
        <w:t>0</w:t>
      </w:r>
      <w:r>
        <w:rPr>
          <w:rFonts w:ascii="Times New Roman" w:hAnsi="Times New Roman" w:cs="Times New Roman"/>
          <w:sz w:val="24"/>
        </w:rPr>
        <w:t xml:space="preserve"> lists the engineering firms currently under contract with the Company and providing services in five states.</w:t>
      </w:r>
    </w:p>
    <w:p w14:paraId="2451CE91" w14:textId="77777777" w:rsidR="002005D1" w:rsidRDefault="00B24613" w:rsidP="002005D1">
      <w:pPr>
        <w:jc w:val="center"/>
        <w:rPr>
          <w:rFonts w:ascii="Times New Roman" w:eastAsiaTheme="minorEastAsia" w:hAnsi="Times New Roman" w:cs="Times New Roman"/>
          <w:color w:val="548DD4" w:themeColor="text2" w:themeTint="99"/>
          <w:sz w:val="24"/>
          <w:szCs w:val="24"/>
        </w:rPr>
      </w:pPr>
      <w:r>
        <w:rPr>
          <w:rFonts w:ascii="Times New Roman" w:eastAsiaTheme="minorEastAsia" w:hAnsi="Times New Roman" w:cs="Times New Roman"/>
          <w:color w:val="548DD4" w:themeColor="text2" w:themeTint="99"/>
          <w:sz w:val="24"/>
          <w:szCs w:val="24"/>
        </w:rPr>
        <w:t>Table 2</w:t>
      </w:r>
      <w:r w:rsidR="006C3F6C">
        <w:rPr>
          <w:rFonts w:ascii="Times New Roman" w:eastAsiaTheme="minorEastAsia" w:hAnsi="Times New Roman" w:cs="Times New Roman"/>
          <w:color w:val="548DD4" w:themeColor="text2" w:themeTint="99"/>
          <w:sz w:val="24"/>
          <w:szCs w:val="24"/>
        </w:rPr>
        <w:t>0</w:t>
      </w:r>
    </w:p>
    <w:p w14:paraId="2451CE92" w14:textId="77777777" w:rsidR="002005D1" w:rsidRDefault="002005D1" w:rsidP="002005D1">
      <w:pPr>
        <w:jc w:val="center"/>
        <w:rPr>
          <w:rFonts w:ascii="Times New Roman" w:eastAsiaTheme="minorEastAsia" w:hAnsi="Times New Roman" w:cs="Times New Roman"/>
          <w:color w:val="548DD4" w:themeColor="text2" w:themeTint="99"/>
          <w:sz w:val="24"/>
          <w:szCs w:val="24"/>
        </w:rPr>
      </w:pPr>
      <w:r>
        <w:rPr>
          <w:rFonts w:ascii="Times New Roman" w:eastAsiaTheme="minorEastAsia" w:hAnsi="Times New Roman" w:cs="Times New Roman"/>
          <w:color w:val="548DD4" w:themeColor="text2" w:themeTint="99"/>
          <w:sz w:val="24"/>
          <w:szCs w:val="24"/>
        </w:rPr>
        <w:t>Energy Engineering Firms</w:t>
      </w:r>
    </w:p>
    <w:p w14:paraId="2451CE93" w14:textId="77777777" w:rsidR="002005D1" w:rsidRDefault="002005D1" w:rsidP="002005D1">
      <w:pPr>
        <w:jc w:val="center"/>
        <w:rPr>
          <w:rFonts w:ascii="Times New Roman" w:eastAsiaTheme="minorEastAsia" w:hAnsi="Times New Roman" w:cs="Times New Roman"/>
          <w:color w:val="548DD4" w:themeColor="text2" w:themeTint="99"/>
          <w:sz w:val="24"/>
          <w:szCs w:val="24"/>
        </w:rPr>
      </w:pPr>
    </w:p>
    <w:tbl>
      <w:tblPr>
        <w:tblStyle w:val="TableGrid"/>
        <w:tblW w:w="6390"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600"/>
        <w:gridCol w:w="2790"/>
      </w:tblGrid>
      <w:tr w:rsidR="002005D1" w14:paraId="2451CE96" w14:textId="77777777" w:rsidTr="002005D1">
        <w:trPr>
          <w:jc w:val="center"/>
        </w:trPr>
        <w:tc>
          <w:tcPr>
            <w:tcW w:w="3600" w:type="dxa"/>
            <w:tcBorders>
              <w:top w:val="single" w:sz="4" w:space="0" w:color="4F81BD" w:themeColor="accent1"/>
              <w:left w:val="single" w:sz="4" w:space="0" w:color="4F81BD" w:themeColor="accent1"/>
              <w:bottom w:val="single" w:sz="4" w:space="0" w:color="4F81BD" w:themeColor="accent1"/>
              <w:right w:val="nil"/>
            </w:tcBorders>
            <w:shd w:val="clear" w:color="auto" w:fill="C6D9F1" w:themeFill="text2" w:themeFillTint="33"/>
            <w:hideMark/>
          </w:tcPr>
          <w:p w14:paraId="2451CE94" w14:textId="77777777" w:rsidR="002005D1" w:rsidRPr="00986EBF" w:rsidRDefault="002005D1">
            <w:pPr>
              <w:jc w:val="center"/>
              <w:rPr>
                <w:rFonts w:cs="Times New Roman"/>
                <w:b/>
                <w:sz w:val="20"/>
                <w:szCs w:val="24"/>
              </w:rPr>
            </w:pPr>
            <w:r w:rsidRPr="00986EBF">
              <w:rPr>
                <w:rFonts w:cs="Times New Roman"/>
                <w:b/>
                <w:sz w:val="20"/>
                <w:szCs w:val="24"/>
              </w:rPr>
              <w:t>Engineering Firm</w:t>
            </w:r>
          </w:p>
        </w:tc>
        <w:tc>
          <w:tcPr>
            <w:tcW w:w="2790" w:type="dxa"/>
            <w:tcBorders>
              <w:top w:val="single" w:sz="4" w:space="0" w:color="4F81BD" w:themeColor="accent1"/>
              <w:left w:val="nil"/>
              <w:bottom w:val="single" w:sz="4" w:space="0" w:color="4F81BD" w:themeColor="accent1"/>
              <w:right w:val="single" w:sz="4" w:space="0" w:color="4F81BD" w:themeColor="accent1"/>
            </w:tcBorders>
            <w:shd w:val="clear" w:color="auto" w:fill="C6D9F1" w:themeFill="text2" w:themeFillTint="33"/>
            <w:hideMark/>
          </w:tcPr>
          <w:p w14:paraId="2451CE95" w14:textId="77777777" w:rsidR="002005D1" w:rsidRPr="00986EBF" w:rsidRDefault="002005D1">
            <w:pPr>
              <w:jc w:val="center"/>
              <w:rPr>
                <w:rFonts w:cs="Times New Roman"/>
                <w:b/>
                <w:sz w:val="20"/>
                <w:szCs w:val="24"/>
              </w:rPr>
            </w:pPr>
            <w:r w:rsidRPr="00986EBF">
              <w:rPr>
                <w:rFonts w:cs="Times New Roman"/>
                <w:b/>
                <w:sz w:val="20"/>
                <w:szCs w:val="24"/>
              </w:rPr>
              <w:t>Main Office Location</w:t>
            </w:r>
          </w:p>
        </w:tc>
      </w:tr>
      <w:tr w:rsidR="002005D1" w14:paraId="2451CE99" w14:textId="77777777" w:rsidTr="002005D1">
        <w:trPr>
          <w:jc w:val="center"/>
        </w:trPr>
        <w:tc>
          <w:tcPr>
            <w:tcW w:w="3600" w:type="dxa"/>
            <w:tcBorders>
              <w:top w:val="single" w:sz="4" w:space="0" w:color="95B3D7" w:themeColor="accent1"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7" w14:textId="77777777" w:rsidR="002005D1" w:rsidRPr="00986EBF" w:rsidRDefault="002005D1">
            <w:pPr>
              <w:rPr>
                <w:rFonts w:cs="Times New Roman"/>
                <w:sz w:val="20"/>
                <w:szCs w:val="20"/>
              </w:rPr>
            </w:pPr>
            <w:r w:rsidRPr="00986EBF">
              <w:rPr>
                <w:rFonts w:cs="Times New Roman"/>
                <w:sz w:val="20"/>
                <w:szCs w:val="20"/>
              </w:rPr>
              <w:t>Abacus Resource Management Company</w:t>
            </w:r>
          </w:p>
        </w:tc>
        <w:tc>
          <w:tcPr>
            <w:tcW w:w="2790" w:type="dxa"/>
            <w:tcBorders>
              <w:top w:val="single" w:sz="4" w:space="0" w:color="95B3D7" w:themeColor="accent1"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8" w14:textId="77777777" w:rsidR="002005D1" w:rsidRPr="00986EBF" w:rsidRDefault="002005D1">
            <w:pPr>
              <w:rPr>
                <w:rFonts w:cs="Times New Roman"/>
                <w:color w:val="000000"/>
                <w:sz w:val="20"/>
                <w:szCs w:val="20"/>
              </w:rPr>
            </w:pPr>
            <w:r w:rsidRPr="00986EBF">
              <w:rPr>
                <w:rFonts w:cs="Times New Roman"/>
                <w:color w:val="000000"/>
                <w:sz w:val="20"/>
                <w:szCs w:val="20"/>
              </w:rPr>
              <w:t>Beaverton, OR</w:t>
            </w:r>
          </w:p>
        </w:tc>
      </w:tr>
      <w:tr w:rsidR="002005D1" w14:paraId="2451CE9C"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A" w14:textId="77777777" w:rsidR="002005D1" w:rsidRPr="00986EBF" w:rsidRDefault="002005D1">
            <w:pPr>
              <w:rPr>
                <w:rFonts w:cs="Times New Roman"/>
                <w:sz w:val="20"/>
                <w:szCs w:val="20"/>
              </w:rPr>
            </w:pPr>
            <w:r w:rsidRPr="00986EBF">
              <w:rPr>
                <w:rFonts w:cs="Times New Roman"/>
                <w:sz w:val="20"/>
                <w:szCs w:val="20"/>
              </w:rPr>
              <w:t>Brendle Group</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B" w14:textId="77777777" w:rsidR="002005D1" w:rsidRPr="00986EBF" w:rsidRDefault="002005D1">
            <w:pPr>
              <w:rPr>
                <w:rFonts w:cs="Times New Roman"/>
                <w:color w:val="000000"/>
                <w:sz w:val="20"/>
                <w:szCs w:val="20"/>
              </w:rPr>
            </w:pPr>
            <w:r w:rsidRPr="00986EBF">
              <w:rPr>
                <w:rFonts w:cs="Times New Roman"/>
                <w:color w:val="000000"/>
                <w:sz w:val="20"/>
                <w:szCs w:val="20"/>
              </w:rPr>
              <w:t>Fort Collins, CO</w:t>
            </w:r>
          </w:p>
        </w:tc>
      </w:tr>
      <w:tr w:rsidR="002005D1" w14:paraId="2451CE9F"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D" w14:textId="77777777" w:rsidR="002005D1" w:rsidRPr="00986EBF" w:rsidRDefault="002005D1">
            <w:pPr>
              <w:rPr>
                <w:rFonts w:cs="Times New Roman"/>
                <w:color w:val="000000"/>
                <w:sz w:val="20"/>
                <w:szCs w:val="20"/>
              </w:rPr>
            </w:pPr>
            <w:r w:rsidRPr="00986EBF">
              <w:rPr>
                <w:rFonts w:cs="Times New Roman"/>
                <w:color w:val="000000"/>
                <w:sz w:val="20"/>
                <w:szCs w:val="20"/>
              </w:rPr>
              <w:t xml:space="preserve">Cascade Energy </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9E"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r w:rsidR="002005D1" w14:paraId="2451CEA2"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0" w14:textId="77777777" w:rsidR="002005D1" w:rsidRPr="00986EBF" w:rsidRDefault="002005D1">
            <w:pPr>
              <w:rPr>
                <w:rFonts w:cs="Times New Roman"/>
                <w:color w:val="000000"/>
                <w:sz w:val="20"/>
                <w:szCs w:val="20"/>
              </w:rPr>
            </w:pPr>
            <w:r w:rsidRPr="00986EBF">
              <w:rPr>
                <w:rFonts w:cs="Times New Roman"/>
                <w:color w:val="000000"/>
                <w:sz w:val="20"/>
                <w:szCs w:val="20"/>
              </w:rPr>
              <w:t>Compression Engineering Corp</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1" w14:textId="77777777" w:rsidR="002005D1" w:rsidRPr="00986EBF" w:rsidRDefault="002005D1">
            <w:pPr>
              <w:rPr>
                <w:rFonts w:cs="Times New Roman"/>
                <w:color w:val="000000"/>
                <w:sz w:val="20"/>
                <w:szCs w:val="20"/>
              </w:rPr>
            </w:pPr>
            <w:r w:rsidRPr="00986EBF">
              <w:rPr>
                <w:rFonts w:cs="Times New Roman"/>
                <w:color w:val="000000"/>
                <w:sz w:val="20"/>
                <w:szCs w:val="20"/>
              </w:rPr>
              <w:t>Beaverton, OR</w:t>
            </w:r>
          </w:p>
        </w:tc>
      </w:tr>
      <w:tr w:rsidR="002005D1" w14:paraId="2451CEA5"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3" w14:textId="77777777" w:rsidR="002005D1" w:rsidRPr="00986EBF" w:rsidRDefault="002005D1">
            <w:pPr>
              <w:rPr>
                <w:rFonts w:cs="Times New Roman"/>
                <w:sz w:val="20"/>
                <w:szCs w:val="20"/>
              </w:rPr>
            </w:pPr>
            <w:r w:rsidRPr="00986EBF">
              <w:rPr>
                <w:rFonts w:cs="Times New Roman"/>
                <w:sz w:val="20"/>
                <w:szCs w:val="20"/>
              </w:rPr>
              <w:t>Ecova</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4"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r w:rsidR="002005D1" w14:paraId="2451CEA8"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6" w14:textId="77777777" w:rsidR="002005D1" w:rsidRPr="00986EBF" w:rsidRDefault="002005D1">
            <w:pPr>
              <w:rPr>
                <w:rFonts w:cs="Times New Roman"/>
                <w:sz w:val="20"/>
                <w:szCs w:val="20"/>
              </w:rPr>
            </w:pPr>
            <w:r w:rsidRPr="00986EBF">
              <w:rPr>
                <w:rFonts w:cs="Times New Roman"/>
                <w:sz w:val="20"/>
                <w:szCs w:val="20"/>
              </w:rPr>
              <w:t>EMP2,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7" w14:textId="77777777" w:rsidR="002005D1" w:rsidRPr="00986EBF" w:rsidRDefault="002005D1">
            <w:pPr>
              <w:rPr>
                <w:rFonts w:cs="Times New Roman"/>
                <w:color w:val="000000"/>
                <w:sz w:val="20"/>
                <w:szCs w:val="20"/>
              </w:rPr>
            </w:pPr>
            <w:r w:rsidRPr="00986EBF">
              <w:rPr>
                <w:rFonts w:cs="Times New Roman"/>
                <w:color w:val="000000"/>
                <w:sz w:val="20"/>
                <w:szCs w:val="20"/>
              </w:rPr>
              <w:t>Richland, WA</w:t>
            </w:r>
          </w:p>
        </w:tc>
      </w:tr>
      <w:tr w:rsidR="002005D1" w14:paraId="2451CEAB"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9" w14:textId="77777777" w:rsidR="002005D1" w:rsidRPr="00986EBF" w:rsidRDefault="002005D1">
            <w:pPr>
              <w:rPr>
                <w:rFonts w:cs="Times New Roman"/>
                <w:sz w:val="20"/>
                <w:szCs w:val="20"/>
              </w:rPr>
            </w:pPr>
            <w:r w:rsidRPr="00986EBF">
              <w:rPr>
                <w:rFonts w:cs="Times New Roman"/>
                <w:sz w:val="20"/>
                <w:szCs w:val="20"/>
              </w:rPr>
              <w:t>Energy Resource Integration, LLC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A" w14:textId="77777777" w:rsidR="002005D1" w:rsidRPr="00986EBF" w:rsidRDefault="002005D1">
            <w:pPr>
              <w:rPr>
                <w:rFonts w:cs="Times New Roman"/>
                <w:color w:val="000000"/>
                <w:sz w:val="20"/>
                <w:szCs w:val="20"/>
              </w:rPr>
            </w:pPr>
            <w:r w:rsidRPr="00986EBF">
              <w:rPr>
                <w:rFonts w:cs="Times New Roman"/>
                <w:color w:val="000000"/>
                <w:sz w:val="20"/>
                <w:szCs w:val="20"/>
              </w:rPr>
              <w:t>Sausalito, CA</w:t>
            </w:r>
          </w:p>
        </w:tc>
      </w:tr>
      <w:tr w:rsidR="002005D1" w14:paraId="2451CEAE"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C" w14:textId="77777777" w:rsidR="002005D1" w:rsidRPr="00986EBF" w:rsidRDefault="002005D1">
            <w:pPr>
              <w:rPr>
                <w:rFonts w:cs="Times New Roman"/>
                <w:color w:val="000000"/>
                <w:sz w:val="20"/>
                <w:szCs w:val="20"/>
              </w:rPr>
            </w:pPr>
            <w:r w:rsidRPr="00986EBF">
              <w:rPr>
                <w:rFonts w:cs="Times New Roman"/>
                <w:color w:val="000000"/>
                <w:sz w:val="20"/>
                <w:szCs w:val="20"/>
              </w:rPr>
              <w:t>Energy and Resource Solutions</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D" w14:textId="77777777" w:rsidR="002005D1" w:rsidRPr="00986EBF" w:rsidRDefault="002005D1">
            <w:pPr>
              <w:rPr>
                <w:rFonts w:cs="Times New Roman"/>
                <w:color w:val="000000"/>
                <w:sz w:val="20"/>
                <w:szCs w:val="20"/>
              </w:rPr>
            </w:pPr>
            <w:r w:rsidRPr="00986EBF">
              <w:rPr>
                <w:rFonts w:cs="Times New Roman"/>
                <w:color w:val="000000"/>
                <w:sz w:val="20"/>
                <w:szCs w:val="20"/>
              </w:rPr>
              <w:t>North Andover, MA</w:t>
            </w:r>
          </w:p>
        </w:tc>
      </w:tr>
      <w:tr w:rsidR="002005D1" w14:paraId="2451CEB1"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AF" w14:textId="77777777" w:rsidR="002005D1" w:rsidRPr="00986EBF" w:rsidRDefault="002005D1">
            <w:pPr>
              <w:rPr>
                <w:rFonts w:cs="Times New Roman"/>
                <w:color w:val="000000"/>
                <w:sz w:val="20"/>
                <w:szCs w:val="20"/>
              </w:rPr>
            </w:pPr>
            <w:r w:rsidRPr="00986EBF">
              <w:rPr>
                <w:rFonts w:cs="Times New Roman"/>
                <w:color w:val="000000"/>
                <w:sz w:val="20"/>
                <w:szCs w:val="20"/>
              </w:rPr>
              <w:t>EnerNOC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0"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r w:rsidR="002005D1" w14:paraId="2451CEB4"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2" w14:textId="77777777" w:rsidR="002005D1" w:rsidRPr="00986EBF" w:rsidRDefault="002005D1">
            <w:pPr>
              <w:rPr>
                <w:rFonts w:cs="Times New Roman"/>
                <w:color w:val="000000"/>
                <w:sz w:val="20"/>
                <w:szCs w:val="20"/>
              </w:rPr>
            </w:pPr>
            <w:r w:rsidRPr="00986EBF">
              <w:rPr>
                <w:rFonts w:cs="Times New Roman"/>
                <w:color w:val="000000"/>
                <w:sz w:val="20"/>
                <w:szCs w:val="20"/>
              </w:rPr>
              <w:t>EnSave,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3" w14:textId="77777777" w:rsidR="002005D1" w:rsidRPr="00986EBF" w:rsidRDefault="002005D1">
            <w:pPr>
              <w:rPr>
                <w:rFonts w:cs="Times New Roman"/>
                <w:color w:val="000000"/>
                <w:sz w:val="20"/>
                <w:szCs w:val="20"/>
              </w:rPr>
            </w:pPr>
            <w:r w:rsidRPr="00986EBF">
              <w:rPr>
                <w:rFonts w:cs="Times New Roman"/>
                <w:color w:val="000000"/>
                <w:sz w:val="20"/>
                <w:szCs w:val="20"/>
              </w:rPr>
              <w:t>Richmond, VT</w:t>
            </w:r>
          </w:p>
        </w:tc>
      </w:tr>
      <w:tr w:rsidR="002005D1" w14:paraId="2451CEB7"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5" w14:textId="77777777" w:rsidR="002005D1" w:rsidRPr="00986EBF" w:rsidRDefault="002005D1">
            <w:pPr>
              <w:rPr>
                <w:rFonts w:cs="Times New Roman"/>
                <w:sz w:val="20"/>
                <w:szCs w:val="20"/>
              </w:rPr>
            </w:pPr>
            <w:r w:rsidRPr="00986EBF">
              <w:rPr>
                <w:rFonts w:cs="Times New Roman"/>
                <w:sz w:val="20"/>
                <w:szCs w:val="20"/>
              </w:rPr>
              <w:t>ETC Group,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6" w14:textId="77777777" w:rsidR="002005D1" w:rsidRPr="00986EBF" w:rsidRDefault="002005D1">
            <w:pPr>
              <w:rPr>
                <w:rFonts w:cs="Times New Roman"/>
                <w:color w:val="000000"/>
                <w:sz w:val="20"/>
                <w:szCs w:val="20"/>
              </w:rPr>
            </w:pPr>
            <w:r w:rsidRPr="00986EBF">
              <w:rPr>
                <w:rFonts w:cs="Times New Roman"/>
                <w:color w:val="000000"/>
                <w:sz w:val="20"/>
                <w:szCs w:val="20"/>
              </w:rPr>
              <w:t>Salt Lake City, UT</w:t>
            </w:r>
          </w:p>
        </w:tc>
      </w:tr>
      <w:tr w:rsidR="002005D1" w14:paraId="2451CEBA"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8" w14:textId="77777777" w:rsidR="002005D1" w:rsidRPr="00986EBF" w:rsidRDefault="002005D1">
            <w:pPr>
              <w:rPr>
                <w:rFonts w:cs="Times New Roman"/>
                <w:color w:val="000000"/>
                <w:sz w:val="20"/>
                <w:szCs w:val="20"/>
              </w:rPr>
            </w:pPr>
            <w:r w:rsidRPr="00986EBF">
              <w:rPr>
                <w:rFonts w:cs="Times New Roman"/>
                <w:color w:val="000000"/>
                <w:sz w:val="20"/>
                <w:szCs w:val="20"/>
              </w:rPr>
              <w:t>Evergreen Consulting Group</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9"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r w:rsidR="002005D1" w14:paraId="2451CEBD"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B" w14:textId="77777777" w:rsidR="002005D1" w:rsidRPr="00986EBF" w:rsidRDefault="002005D1">
            <w:pPr>
              <w:rPr>
                <w:rFonts w:cs="Times New Roman"/>
                <w:color w:val="000000"/>
                <w:sz w:val="20"/>
                <w:szCs w:val="20"/>
              </w:rPr>
            </w:pPr>
            <w:r w:rsidRPr="00986EBF">
              <w:rPr>
                <w:rFonts w:cs="Times New Roman"/>
                <w:color w:val="000000"/>
                <w:sz w:val="20"/>
                <w:szCs w:val="20"/>
              </w:rPr>
              <w:t>Fazio Engineering</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C" w14:textId="77777777" w:rsidR="002005D1" w:rsidRPr="00986EBF" w:rsidRDefault="002005D1">
            <w:pPr>
              <w:rPr>
                <w:rFonts w:cs="Times New Roman"/>
                <w:color w:val="000000"/>
                <w:sz w:val="20"/>
                <w:szCs w:val="20"/>
              </w:rPr>
            </w:pPr>
            <w:r w:rsidRPr="00986EBF">
              <w:rPr>
                <w:rFonts w:cs="Times New Roman"/>
                <w:color w:val="000000"/>
                <w:sz w:val="20"/>
                <w:szCs w:val="20"/>
              </w:rPr>
              <w:t>Weston, OR</w:t>
            </w:r>
          </w:p>
        </w:tc>
      </w:tr>
      <w:tr w:rsidR="002005D1" w14:paraId="2451CEC0"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E" w14:textId="77777777" w:rsidR="002005D1" w:rsidRPr="00986EBF" w:rsidRDefault="002005D1">
            <w:pPr>
              <w:rPr>
                <w:rFonts w:cs="Times New Roman"/>
                <w:color w:val="000000"/>
                <w:sz w:val="20"/>
                <w:szCs w:val="20"/>
              </w:rPr>
            </w:pPr>
            <w:r w:rsidRPr="00986EBF">
              <w:rPr>
                <w:rFonts w:cs="Times New Roman"/>
                <w:color w:val="000000"/>
                <w:sz w:val="20"/>
                <w:szCs w:val="20"/>
              </w:rPr>
              <w:t>kW Engineering,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BF" w14:textId="77777777" w:rsidR="002005D1" w:rsidRPr="00986EBF" w:rsidRDefault="002005D1">
            <w:pPr>
              <w:rPr>
                <w:rFonts w:cs="Times New Roman"/>
                <w:color w:val="000000"/>
                <w:sz w:val="20"/>
                <w:szCs w:val="20"/>
              </w:rPr>
            </w:pPr>
            <w:r w:rsidRPr="00986EBF">
              <w:rPr>
                <w:rFonts w:cs="Times New Roman"/>
                <w:color w:val="000000"/>
                <w:sz w:val="20"/>
                <w:szCs w:val="20"/>
              </w:rPr>
              <w:t>Oakland, CA</w:t>
            </w:r>
          </w:p>
        </w:tc>
      </w:tr>
      <w:tr w:rsidR="002005D1" w14:paraId="2451CEC3"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1" w14:textId="77777777" w:rsidR="002005D1" w:rsidRPr="00986EBF" w:rsidRDefault="002005D1">
            <w:pPr>
              <w:rPr>
                <w:rFonts w:cs="Times New Roman"/>
                <w:color w:val="000000"/>
                <w:sz w:val="20"/>
                <w:szCs w:val="20"/>
              </w:rPr>
            </w:pPr>
            <w:r w:rsidRPr="00986EBF">
              <w:rPr>
                <w:rFonts w:cs="Times New Roman"/>
                <w:color w:val="000000"/>
                <w:sz w:val="20"/>
                <w:szCs w:val="20"/>
              </w:rPr>
              <w:t xml:space="preserve">Lincus Inc. </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2" w14:textId="77777777" w:rsidR="002005D1" w:rsidRPr="00986EBF" w:rsidRDefault="002005D1">
            <w:pPr>
              <w:rPr>
                <w:rFonts w:cs="Times New Roman"/>
                <w:color w:val="000000"/>
                <w:sz w:val="20"/>
                <w:szCs w:val="20"/>
              </w:rPr>
            </w:pPr>
            <w:r w:rsidRPr="00986EBF">
              <w:rPr>
                <w:rFonts w:cs="Times New Roman"/>
                <w:color w:val="000000"/>
                <w:sz w:val="20"/>
                <w:szCs w:val="20"/>
              </w:rPr>
              <w:t>Tempe, AZ</w:t>
            </w:r>
          </w:p>
        </w:tc>
      </w:tr>
      <w:tr w:rsidR="002005D1" w14:paraId="2451CEC6"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4" w14:textId="77777777" w:rsidR="002005D1" w:rsidRPr="00986EBF" w:rsidRDefault="002005D1">
            <w:pPr>
              <w:rPr>
                <w:rFonts w:cs="Times New Roman"/>
                <w:color w:val="000000"/>
                <w:sz w:val="20"/>
                <w:szCs w:val="20"/>
              </w:rPr>
            </w:pPr>
            <w:r w:rsidRPr="00986EBF">
              <w:rPr>
                <w:rFonts w:cs="Times New Roman"/>
                <w:color w:val="000000"/>
                <w:sz w:val="20"/>
                <w:szCs w:val="20"/>
              </w:rPr>
              <w:t xml:space="preserve">Nexant, Inc. </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5"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r w:rsidR="002005D1" w14:paraId="2451CEC9"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7" w14:textId="77777777" w:rsidR="002005D1" w:rsidRPr="00986EBF" w:rsidRDefault="002005D1">
            <w:pPr>
              <w:rPr>
                <w:rFonts w:cs="Times New Roman"/>
                <w:color w:val="000000"/>
                <w:sz w:val="20"/>
                <w:szCs w:val="20"/>
              </w:rPr>
            </w:pPr>
            <w:r w:rsidRPr="00986EBF">
              <w:rPr>
                <w:rFonts w:cs="Times New Roman"/>
                <w:color w:val="000000"/>
                <w:sz w:val="20"/>
                <w:szCs w:val="20"/>
              </w:rPr>
              <w:t>RM Energy Consulting</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8" w14:textId="77777777" w:rsidR="002005D1" w:rsidRPr="00986EBF" w:rsidRDefault="002005D1">
            <w:pPr>
              <w:rPr>
                <w:rFonts w:cs="Times New Roman"/>
                <w:color w:val="000000"/>
                <w:sz w:val="20"/>
                <w:szCs w:val="20"/>
              </w:rPr>
            </w:pPr>
            <w:r w:rsidRPr="00986EBF">
              <w:rPr>
                <w:rFonts w:cs="Times New Roman"/>
                <w:color w:val="000000"/>
                <w:sz w:val="20"/>
                <w:szCs w:val="20"/>
              </w:rPr>
              <w:t>Pleasant Grove, UT</w:t>
            </w:r>
          </w:p>
        </w:tc>
      </w:tr>
      <w:tr w:rsidR="002005D1" w14:paraId="2451CECC"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A" w14:textId="77777777" w:rsidR="002005D1" w:rsidRPr="00986EBF" w:rsidRDefault="002005D1">
            <w:pPr>
              <w:rPr>
                <w:rFonts w:cs="Times New Roman"/>
                <w:color w:val="000000"/>
                <w:sz w:val="20"/>
                <w:szCs w:val="20"/>
              </w:rPr>
            </w:pPr>
            <w:r w:rsidRPr="00986EBF">
              <w:rPr>
                <w:rFonts w:cs="Times New Roman"/>
                <w:color w:val="000000"/>
                <w:sz w:val="20"/>
                <w:szCs w:val="20"/>
              </w:rPr>
              <w:t>Rick Rumsey, LLC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B" w14:textId="77777777" w:rsidR="002005D1" w:rsidRPr="00986EBF" w:rsidRDefault="002005D1">
            <w:pPr>
              <w:rPr>
                <w:rFonts w:cs="Times New Roman"/>
                <w:color w:val="000000"/>
                <w:sz w:val="20"/>
                <w:szCs w:val="20"/>
              </w:rPr>
            </w:pPr>
            <w:r w:rsidRPr="00986EBF">
              <w:rPr>
                <w:rFonts w:cs="Times New Roman"/>
                <w:sz w:val="20"/>
                <w:szCs w:val="20"/>
              </w:rPr>
              <w:t>Ammon, ID</w:t>
            </w:r>
          </w:p>
        </w:tc>
      </w:tr>
      <w:tr w:rsidR="002005D1" w14:paraId="2451CECF"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D" w14:textId="77777777" w:rsidR="002005D1" w:rsidRPr="00986EBF" w:rsidRDefault="002005D1">
            <w:pPr>
              <w:rPr>
                <w:rFonts w:cs="Times New Roman"/>
                <w:color w:val="000000"/>
                <w:sz w:val="20"/>
                <w:szCs w:val="20"/>
              </w:rPr>
            </w:pPr>
            <w:r w:rsidRPr="00986EBF">
              <w:rPr>
                <w:rFonts w:cs="Times New Roman"/>
                <w:color w:val="000000"/>
                <w:sz w:val="20"/>
                <w:szCs w:val="20"/>
              </w:rPr>
              <w:t>SBW Consulting,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CE" w14:textId="77777777" w:rsidR="002005D1" w:rsidRPr="00986EBF" w:rsidRDefault="002005D1">
            <w:pPr>
              <w:rPr>
                <w:rFonts w:cs="Times New Roman"/>
                <w:sz w:val="20"/>
                <w:szCs w:val="20"/>
              </w:rPr>
            </w:pPr>
            <w:r w:rsidRPr="00986EBF">
              <w:rPr>
                <w:rFonts w:cs="Times New Roman"/>
                <w:color w:val="000000"/>
                <w:sz w:val="20"/>
                <w:szCs w:val="20"/>
              </w:rPr>
              <w:t>Bellevue, WA</w:t>
            </w:r>
          </w:p>
        </w:tc>
      </w:tr>
      <w:tr w:rsidR="002005D1" w14:paraId="2451CED2"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D0" w14:textId="77777777" w:rsidR="002005D1" w:rsidRPr="00986EBF" w:rsidRDefault="002005D1">
            <w:pPr>
              <w:rPr>
                <w:rFonts w:cs="Times New Roman"/>
                <w:color w:val="000000"/>
                <w:sz w:val="20"/>
                <w:szCs w:val="20"/>
              </w:rPr>
            </w:pPr>
            <w:r w:rsidRPr="00986EBF">
              <w:rPr>
                <w:rFonts w:cs="Times New Roman"/>
                <w:color w:val="000000"/>
                <w:sz w:val="20"/>
                <w:szCs w:val="20"/>
              </w:rPr>
              <w:t>Solarc Architecture &amp; Engineering, Inc.</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D1" w14:textId="77777777" w:rsidR="002005D1" w:rsidRPr="00986EBF" w:rsidRDefault="002005D1">
            <w:pPr>
              <w:rPr>
                <w:rFonts w:cs="Times New Roman"/>
                <w:color w:val="000000"/>
                <w:sz w:val="20"/>
                <w:szCs w:val="20"/>
              </w:rPr>
            </w:pPr>
            <w:r w:rsidRPr="00986EBF">
              <w:rPr>
                <w:rFonts w:cs="Times New Roman"/>
                <w:color w:val="000000"/>
                <w:sz w:val="20"/>
                <w:szCs w:val="20"/>
              </w:rPr>
              <w:t>Eugene, OR</w:t>
            </w:r>
          </w:p>
        </w:tc>
      </w:tr>
      <w:tr w:rsidR="002005D1" w14:paraId="2451CED5" w14:textId="77777777" w:rsidTr="002005D1">
        <w:trPr>
          <w:jc w:val="center"/>
        </w:trPr>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D3" w14:textId="77777777" w:rsidR="002005D1" w:rsidRPr="00986EBF" w:rsidRDefault="002005D1">
            <w:pPr>
              <w:rPr>
                <w:rFonts w:cs="Times New Roman"/>
                <w:color w:val="000000"/>
                <w:sz w:val="20"/>
                <w:szCs w:val="20"/>
              </w:rPr>
            </w:pPr>
            <w:r w:rsidRPr="00986EBF">
              <w:rPr>
                <w:rFonts w:cs="Times New Roman"/>
                <w:color w:val="000000"/>
                <w:sz w:val="20"/>
                <w:szCs w:val="20"/>
              </w:rPr>
              <w:t>Triple Point Energy</w:t>
            </w:r>
          </w:p>
        </w:tc>
        <w:tc>
          <w:tcPr>
            <w:tcW w:w="27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hideMark/>
          </w:tcPr>
          <w:p w14:paraId="2451CED4" w14:textId="77777777" w:rsidR="002005D1" w:rsidRPr="00986EBF" w:rsidRDefault="002005D1">
            <w:pPr>
              <w:rPr>
                <w:rFonts w:cs="Times New Roman"/>
                <w:color w:val="000000"/>
                <w:sz w:val="20"/>
                <w:szCs w:val="20"/>
              </w:rPr>
            </w:pPr>
            <w:r w:rsidRPr="00986EBF">
              <w:rPr>
                <w:rFonts w:cs="Times New Roman"/>
                <w:color w:val="000000"/>
                <w:sz w:val="20"/>
                <w:szCs w:val="20"/>
              </w:rPr>
              <w:t>Portland, OR</w:t>
            </w:r>
          </w:p>
        </w:tc>
      </w:tr>
    </w:tbl>
    <w:p w14:paraId="2451CED6" w14:textId="77777777" w:rsidR="002005D1" w:rsidRDefault="002005D1" w:rsidP="002005D1">
      <w:pPr>
        <w:pStyle w:val="Heading3"/>
        <w:rPr>
          <w:sz w:val="24"/>
          <w:szCs w:val="24"/>
        </w:rPr>
      </w:pPr>
      <w:bookmarkStart w:id="69" w:name="_Toc449356493"/>
      <w:bookmarkStart w:id="70" w:name="_Toc449510506"/>
      <w:r>
        <w:rPr>
          <w:sz w:val="24"/>
          <w:szCs w:val="24"/>
        </w:rPr>
        <w:t>Program Changes</w:t>
      </w:r>
      <w:bookmarkEnd w:id="69"/>
      <w:bookmarkEnd w:id="70"/>
    </w:p>
    <w:p w14:paraId="2451CED7" w14:textId="77777777" w:rsidR="002005D1" w:rsidRDefault="002005D1" w:rsidP="002005D1">
      <w:pPr>
        <w:jc w:val="both"/>
        <w:rPr>
          <w:rFonts w:ascii="Times New Roman" w:hAnsi="Times New Roman" w:cs="Times New Roman"/>
          <w:iCs/>
          <w:sz w:val="24"/>
          <w:szCs w:val="24"/>
        </w:rPr>
      </w:pPr>
    </w:p>
    <w:p w14:paraId="2451CED8" w14:textId="77777777" w:rsidR="008E7F48" w:rsidRDefault="002005D1" w:rsidP="002005D1">
      <w:pPr>
        <w:jc w:val="both"/>
        <w:rPr>
          <w:rFonts w:ascii="Times New Roman" w:hAnsi="Times New Roman" w:cs="Times New Roman"/>
          <w:iCs/>
          <w:sz w:val="24"/>
          <w:szCs w:val="24"/>
        </w:rPr>
      </w:pPr>
      <w:r>
        <w:rPr>
          <w:rFonts w:ascii="Times New Roman" w:hAnsi="Times New Roman" w:cs="Times New Roman"/>
          <w:iCs/>
          <w:sz w:val="24"/>
          <w:szCs w:val="24"/>
        </w:rPr>
        <w:t>On October 1, 2014 a new Small Business Lighting incentive offer became effective for customers.  This program offers enhanced incentives for up to 80 percent of the cost of lighting upgrades, and is available to small business customers on approved rate schedules. Approved Small Business lighting contractors are the primary means of marketing the incentive offer using a variety of approaches including door-to-door and co-branded marketing materials.  </w:t>
      </w:r>
    </w:p>
    <w:p w14:paraId="2451CED9" w14:textId="77777777" w:rsidR="008E7F48" w:rsidRDefault="008E7F48" w:rsidP="002005D1">
      <w:pPr>
        <w:jc w:val="both"/>
        <w:rPr>
          <w:rFonts w:ascii="Times New Roman" w:hAnsi="Times New Roman" w:cs="Times New Roman"/>
          <w:iCs/>
          <w:sz w:val="24"/>
          <w:szCs w:val="24"/>
        </w:rPr>
      </w:pPr>
    </w:p>
    <w:p w14:paraId="2451CEDA" w14:textId="77777777" w:rsidR="002005D1" w:rsidRDefault="008E7F48" w:rsidP="002005D1">
      <w:pPr>
        <w:jc w:val="both"/>
        <w:rPr>
          <w:rFonts w:ascii="Times New Roman" w:hAnsi="Times New Roman" w:cs="Times New Roman"/>
          <w:iCs/>
          <w:color w:val="1F497D"/>
          <w:sz w:val="24"/>
          <w:szCs w:val="24"/>
        </w:rPr>
      </w:pPr>
      <w:r>
        <w:rPr>
          <w:rFonts w:ascii="Times New Roman" w:hAnsi="Times New Roman" w:cs="Times New Roman"/>
          <w:iCs/>
          <w:sz w:val="24"/>
          <w:szCs w:val="24"/>
        </w:rPr>
        <w:lastRenderedPageBreak/>
        <w:t>Effective June 1, 2015, the program added midstream lighting as a new delivery channel. This offering provided an instant, point-of-purchase discount for LEDs and retrofit kits sold through qualifying local distributors.</w:t>
      </w:r>
      <w:r w:rsidR="002005D1">
        <w:rPr>
          <w:rFonts w:ascii="Times New Roman" w:hAnsi="Times New Roman" w:cs="Times New Roman"/>
          <w:iCs/>
          <w:color w:val="1F497D"/>
          <w:sz w:val="24"/>
          <w:szCs w:val="24"/>
        </w:rPr>
        <w:t xml:space="preserve"> </w:t>
      </w:r>
    </w:p>
    <w:p w14:paraId="2451CEDB" w14:textId="77777777" w:rsidR="002005D1" w:rsidRDefault="002005D1" w:rsidP="002005D1">
      <w:pPr>
        <w:pStyle w:val="Heading3"/>
        <w:rPr>
          <w:sz w:val="24"/>
          <w:szCs w:val="24"/>
        </w:rPr>
      </w:pPr>
      <w:bookmarkStart w:id="71" w:name="_Toc449356494"/>
      <w:bookmarkStart w:id="72" w:name="_Toc449510507"/>
      <w:r>
        <w:rPr>
          <w:sz w:val="24"/>
          <w:szCs w:val="24"/>
        </w:rPr>
        <w:t>Evaluation</w:t>
      </w:r>
      <w:bookmarkEnd w:id="71"/>
      <w:bookmarkEnd w:id="72"/>
    </w:p>
    <w:p w14:paraId="2451CEDC" w14:textId="77777777" w:rsidR="006D7534" w:rsidRDefault="006D7534" w:rsidP="00256FBD">
      <w:pPr>
        <w:jc w:val="both"/>
        <w:rPr>
          <w:rFonts w:ascii="Times New Roman" w:hAnsi="Times New Roman" w:cs="Times New Roman"/>
          <w:sz w:val="24"/>
          <w:szCs w:val="24"/>
        </w:rPr>
      </w:pPr>
    </w:p>
    <w:p w14:paraId="2451CEDD" w14:textId="77777777" w:rsidR="00256FBD" w:rsidRDefault="00256FBD" w:rsidP="00256FBD">
      <w:pPr>
        <w:jc w:val="both"/>
        <w:rPr>
          <w:rFonts w:ascii="Times New Roman" w:hAnsi="Times New Roman" w:cs="Times New Roman"/>
          <w:sz w:val="24"/>
          <w:szCs w:val="24"/>
        </w:rPr>
      </w:pPr>
      <w:r>
        <w:rPr>
          <w:rFonts w:ascii="Times New Roman" w:hAnsi="Times New Roman" w:cs="Times New Roman"/>
          <w:sz w:val="24"/>
          <w:szCs w:val="24"/>
        </w:rPr>
        <w:t>A</w:t>
      </w:r>
      <w:r w:rsidRPr="00282247">
        <w:rPr>
          <w:rFonts w:ascii="Times New Roman" w:hAnsi="Times New Roman" w:cs="Times New Roman"/>
          <w:sz w:val="24"/>
          <w:szCs w:val="24"/>
        </w:rPr>
        <w:t xml:space="preserve"> process and impact evaluation was </w:t>
      </w:r>
      <w:r>
        <w:rPr>
          <w:rFonts w:ascii="Times New Roman" w:hAnsi="Times New Roman" w:cs="Times New Roman"/>
          <w:sz w:val="24"/>
          <w:szCs w:val="24"/>
        </w:rPr>
        <w:t xml:space="preserve">completed </w:t>
      </w:r>
      <w:r w:rsidRPr="00282247">
        <w:rPr>
          <w:rFonts w:ascii="Times New Roman" w:hAnsi="Times New Roman" w:cs="Times New Roman"/>
          <w:sz w:val="24"/>
          <w:szCs w:val="24"/>
        </w:rPr>
        <w:t>by a third party evaluator for program years 20</w:t>
      </w:r>
      <w:r>
        <w:rPr>
          <w:rFonts w:ascii="Times New Roman" w:hAnsi="Times New Roman" w:cs="Times New Roman"/>
          <w:sz w:val="24"/>
          <w:szCs w:val="24"/>
        </w:rPr>
        <w:t xml:space="preserve">12 </w:t>
      </w:r>
      <w:r w:rsidRPr="00282247">
        <w:rPr>
          <w:rFonts w:ascii="Times New Roman" w:hAnsi="Times New Roman" w:cs="Times New Roman"/>
          <w:sz w:val="24"/>
          <w:szCs w:val="24"/>
        </w:rPr>
        <w:t>-</w:t>
      </w:r>
      <w:r>
        <w:rPr>
          <w:rFonts w:ascii="Times New Roman" w:hAnsi="Times New Roman" w:cs="Times New Roman"/>
          <w:sz w:val="24"/>
          <w:szCs w:val="24"/>
        </w:rPr>
        <w:t xml:space="preserve"> </w:t>
      </w:r>
      <w:r w:rsidRPr="00282247">
        <w:rPr>
          <w:rFonts w:ascii="Times New Roman" w:hAnsi="Times New Roman" w:cs="Times New Roman"/>
          <w:sz w:val="24"/>
          <w:szCs w:val="24"/>
        </w:rPr>
        <w:t>201</w:t>
      </w:r>
      <w:r>
        <w:rPr>
          <w:rFonts w:ascii="Times New Roman" w:hAnsi="Times New Roman" w:cs="Times New Roman"/>
          <w:sz w:val="24"/>
          <w:szCs w:val="24"/>
        </w:rPr>
        <w:t>3 for the Energy FinAnswer and FinAnswer Express programs</w:t>
      </w:r>
      <w:r w:rsidR="00414E82">
        <w:rPr>
          <w:rFonts w:ascii="Times New Roman" w:hAnsi="Times New Roman" w:cs="Times New Roman"/>
          <w:sz w:val="24"/>
          <w:szCs w:val="24"/>
        </w:rPr>
        <w:t xml:space="preserve"> (program names prior to the con</w:t>
      </w:r>
      <w:r w:rsidR="00706BB9">
        <w:rPr>
          <w:rFonts w:ascii="Times New Roman" w:hAnsi="Times New Roman" w:cs="Times New Roman"/>
          <w:sz w:val="24"/>
          <w:szCs w:val="24"/>
        </w:rPr>
        <w:t>solidated</w:t>
      </w:r>
      <w:r w:rsidR="00414E82">
        <w:rPr>
          <w:rFonts w:ascii="Times New Roman" w:hAnsi="Times New Roman" w:cs="Times New Roman"/>
          <w:sz w:val="24"/>
          <w:szCs w:val="24"/>
        </w:rPr>
        <w:t xml:space="preserve"> </w:t>
      </w:r>
      <w:r w:rsidR="00414E82" w:rsidRPr="00414E82">
        <w:rPr>
          <w:rFonts w:ascii="Times New Roman" w:hAnsi="Times New Roman" w:cs="Times New Roman"/>
          <w:i/>
          <w:sz w:val="24"/>
          <w:szCs w:val="24"/>
        </w:rPr>
        <w:t>watt</w:t>
      </w:r>
      <w:r w:rsidR="00414E82">
        <w:rPr>
          <w:rFonts w:ascii="Times New Roman" w:hAnsi="Times New Roman" w:cs="Times New Roman"/>
          <w:sz w:val="24"/>
          <w:szCs w:val="24"/>
        </w:rPr>
        <w:t>smart Business</w:t>
      </w:r>
      <w:r w:rsidR="00706BB9">
        <w:rPr>
          <w:rFonts w:ascii="Times New Roman" w:hAnsi="Times New Roman" w:cs="Times New Roman"/>
          <w:sz w:val="24"/>
          <w:szCs w:val="24"/>
        </w:rPr>
        <w:t xml:space="preserve"> name change</w:t>
      </w:r>
      <w:r w:rsidR="00414E82">
        <w:rPr>
          <w:rFonts w:ascii="Times New Roman" w:hAnsi="Times New Roman" w:cs="Times New Roman"/>
          <w:sz w:val="24"/>
          <w:szCs w:val="24"/>
        </w:rPr>
        <w:t>)</w:t>
      </w:r>
      <w:r>
        <w:rPr>
          <w:rFonts w:ascii="Times New Roman" w:hAnsi="Times New Roman" w:cs="Times New Roman"/>
          <w:sz w:val="24"/>
          <w:szCs w:val="24"/>
        </w:rPr>
        <w:t>. The evaluations can be found on the Company’s website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Several key findings from this evaluation include:</w:t>
      </w:r>
    </w:p>
    <w:p w14:paraId="2451CEDE" w14:textId="77777777" w:rsidR="00256FBD" w:rsidRDefault="00DD272D" w:rsidP="006D7534">
      <w:pPr>
        <w:pStyle w:val="ListBullet"/>
        <w:tabs>
          <w:tab w:val="clear" w:pos="360"/>
        </w:tabs>
        <w:ind w:left="720"/>
        <w:rPr>
          <w:rFonts w:ascii="Times New Roman" w:hAnsi="Times New Roman" w:cs="Times New Roman"/>
          <w:sz w:val="24"/>
          <w:szCs w:val="24"/>
        </w:rPr>
      </w:pPr>
      <w:r>
        <w:rPr>
          <w:rFonts w:ascii="Times New Roman" w:hAnsi="Times New Roman" w:cs="Times New Roman"/>
          <w:sz w:val="24"/>
          <w:szCs w:val="24"/>
        </w:rPr>
        <w:t>P</w:t>
      </w:r>
      <w:r w:rsidR="00256FBD" w:rsidRPr="00DD272D">
        <w:rPr>
          <w:rFonts w:ascii="Times New Roman" w:hAnsi="Times New Roman" w:cs="Times New Roman"/>
          <w:sz w:val="24"/>
          <w:szCs w:val="24"/>
        </w:rPr>
        <w:t>rogram satisfaction</w:t>
      </w:r>
      <w:r w:rsidRPr="00DD272D">
        <w:rPr>
          <w:rFonts w:ascii="Times New Roman" w:hAnsi="Times New Roman" w:cs="Times New Roman"/>
          <w:sz w:val="24"/>
          <w:szCs w:val="24"/>
        </w:rPr>
        <w:t xml:space="preserve"> </w:t>
      </w:r>
      <w:r>
        <w:rPr>
          <w:rFonts w:ascii="Times New Roman" w:hAnsi="Times New Roman" w:cs="Times New Roman"/>
          <w:sz w:val="24"/>
          <w:szCs w:val="24"/>
        </w:rPr>
        <w:t>was h</w:t>
      </w:r>
      <w:r w:rsidRPr="00DD272D">
        <w:rPr>
          <w:rFonts w:ascii="Times New Roman" w:hAnsi="Times New Roman" w:cs="Times New Roman"/>
          <w:sz w:val="24"/>
          <w:szCs w:val="24"/>
        </w:rPr>
        <w:t>igh</w:t>
      </w:r>
      <w:r w:rsidR="00256FBD" w:rsidRPr="00DD272D">
        <w:rPr>
          <w:rFonts w:ascii="Times New Roman" w:hAnsi="Times New Roman" w:cs="Times New Roman"/>
          <w:sz w:val="24"/>
          <w:szCs w:val="24"/>
        </w:rPr>
        <w:t xml:space="preserve"> for participants and near-participants.</w:t>
      </w:r>
    </w:p>
    <w:p w14:paraId="2451CEDF" w14:textId="77777777" w:rsidR="00DD272D" w:rsidRDefault="00DD272D" w:rsidP="006D7534">
      <w:pPr>
        <w:pStyle w:val="ListBullet"/>
        <w:tabs>
          <w:tab w:val="clear" w:pos="360"/>
        </w:tabs>
        <w:ind w:left="720"/>
        <w:rPr>
          <w:rFonts w:ascii="Times New Roman" w:hAnsi="Times New Roman" w:cs="Times New Roman"/>
          <w:sz w:val="24"/>
          <w:szCs w:val="24"/>
        </w:rPr>
      </w:pPr>
      <w:r>
        <w:rPr>
          <w:rFonts w:ascii="Times New Roman" w:hAnsi="Times New Roman" w:cs="Times New Roman"/>
          <w:sz w:val="24"/>
          <w:szCs w:val="24"/>
        </w:rPr>
        <w:t>Program managers and administrators effectively used available resources and capacity to implements the program.</w:t>
      </w:r>
    </w:p>
    <w:p w14:paraId="2451CEE0" w14:textId="77777777" w:rsidR="006D7534" w:rsidRDefault="006D7534" w:rsidP="006D7534">
      <w:pPr>
        <w:pStyle w:val="ListBullet"/>
        <w:tabs>
          <w:tab w:val="clear" w:pos="360"/>
        </w:tabs>
        <w:ind w:left="720"/>
        <w:rPr>
          <w:rFonts w:ascii="Times New Roman" w:hAnsi="Times New Roman" w:cs="Times New Roman"/>
          <w:sz w:val="24"/>
          <w:szCs w:val="24"/>
        </w:rPr>
      </w:pPr>
      <w:r>
        <w:rPr>
          <w:rFonts w:ascii="Times New Roman" w:hAnsi="Times New Roman" w:cs="Times New Roman"/>
          <w:sz w:val="24"/>
          <w:szCs w:val="24"/>
        </w:rPr>
        <w:t xml:space="preserve">Participants </w:t>
      </w:r>
      <w:r w:rsidRPr="006D7534">
        <w:rPr>
          <w:rFonts w:ascii="Times New Roman" w:hAnsi="Times New Roman" w:cs="Times New Roman"/>
          <w:sz w:val="24"/>
          <w:szCs w:val="24"/>
        </w:rPr>
        <w:t>report experiencing non-energy benefits stemming from their projects.</w:t>
      </w:r>
    </w:p>
    <w:p w14:paraId="2451CEE1" w14:textId="77777777" w:rsidR="006D7534" w:rsidRDefault="006D7534" w:rsidP="006D7534">
      <w:pPr>
        <w:pStyle w:val="ListBullet"/>
        <w:tabs>
          <w:tab w:val="clear" w:pos="360"/>
        </w:tabs>
        <w:ind w:left="720"/>
        <w:rPr>
          <w:rFonts w:ascii="Times New Roman" w:hAnsi="Times New Roman" w:cs="Times New Roman"/>
          <w:sz w:val="24"/>
          <w:szCs w:val="24"/>
        </w:rPr>
      </w:pPr>
      <w:r>
        <w:rPr>
          <w:rFonts w:ascii="Times New Roman" w:hAnsi="Times New Roman" w:cs="Times New Roman"/>
          <w:sz w:val="24"/>
          <w:szCs w:val="24"/>
        </w:rPr>
        <w:t xml:space="preserve">Trade allies were generally satisfied with the Energy Efficiency Alliance and the program’s effect on their business. </w:t>
      </w:r>
    </w:p>
    <w:p w14:paraId="2451CEE2" w14:textId="77777777" w:rsidR="00DD272D" w:rsidRDefault="00DD272D" w:rsidP="00256FBD">
      <w:pPr>
        <w:jc w:val="both"/>
        <w:rPr>
          <w:rFonts w:ascii="Times New Roman" w:hAnsi="Times New Roman" w:cs="Times New Roman"/>
          <w:sz w:val="24"/>
          <w:szCs w:val="24"/>
        </w:rPr>
      </w:pPr>
    </w:p>
    <w:p w14:paraId="2451CEE3" w14:textId="77777777" w:rsidR="002005D1" w:rsidRDefault="002005D1" w:rsidP="00256FBD"/>
    <w:p w14:paraId="2451CEE4" w14:textId="77777777" w:rsidR="002005D1" w:rsidRDefault="002005D1" w:rsidP="00256FBD">
      <w:pPr>
        <w:jc w:val="both"/>
        <w:rPr>
          <w:rFonts w:ascii="Times New Roman" w:hAnsi="Times New Roman" w:cs="Times New Roman"/>
          <w:sz w:val="24"/>
          <w:szCs w:val="24"/>
        </w:rPr>
      </w:pPr>
    </w:p>
    <w:p w14:paraId="2451CEE5" w14:textId="77777777" w:rsidR="002005D1" w:rsidRDefault="002005D1" w:rsidP="00256FBD">
      <w:pPr>
        <w:jc w:val="both"/>
        <w:rPr>
          <w:rFonts w:ascii="Times New Roman" w:hAnsi="Times New Roman" w:cs="Times New Roman"/>
          <w:sz w:val="24"/>
          <w:szCs w:val="24"/>
        </w:rPr>
      </w:pPr>
    </w:p>
    <w:p w14:paraId="2451CEE6" w14:textId="77777777" w:rsidR="002005D1" w:rsidRDefault="002005D1" w:rsidP="00256FBD">
      <w:pPr>
        <w:jc w:val="both"/>
        <w:rPr>
          <w:rFonts w:ascii="Times New Roman" w:hAnsi="Times New Roman" w:cs="Times New Roman"/>
          <w:sz w:val="24"/>
          <w:szCs w:val="24"/>
        </w:rPr>
      </w:pPr>
    </w:p>
    <w:p w14:paraId="2451CEE7" w14:textId="77777777" w:rsidR="002005D1" w:rsidRDefault="002005D1" w:rsidP="00256FBD">
      <w:pPr>
        <w:jc w:val="both"/>
        <w:rPr>
          <w:rFonts w:ascii="Times New Roman" w:hAnsi="Times New Roman" w:cs="Times New Roman"/>
          <w:sz w:val="24"/>
          <w:szCs w:val="24"/>
        </w:rPr>
      </w:pPr>
    </w:p>
    <w:p w14:paraId="2451CEE8" w14:textId="77777777" w:rsidR="002005D1" w:rsidRDefault="002005D1" w:rsidP="000712D2">
      <w:pPr>
        <w:jc w:val="both"/>
        <w:rPr>
          <w:rFonts w:ascii="Times New Roman" w:hAnsi="Times New Roman" w:cs="Times New Roman"/>
          <w:sz w:val="24"/>
          <w:szCs w:val="24"/>
        </w:rPr>
      </w:pPr>
    </w:p>
    <w:p w14:paraId="2451CEE9" w14:textId="77777777" w:rsidR="002005D1" w:rsidRDefault="002005D1" w:rsidP="000712D2">
      <w:pPr>
        <w:jc w:val="both"/>
        <w:rPr>
          <w:rFonts w:ascii="Times New Roman" w:hAnsi="Times New Roman" w:cs="Times New Roman"/>
          <w:sz w:val="24"/>
          <w:szCs w:val="24"/>
        </w:rPr>
      </w:pPr>
    </w:p>
    <w:p w14:paraId="2451CEEA" w14:textId="77777777" w:rsidR="002005D1" w:rsidRDefault="002005D1" w:rsidP="000712D2">
      <w:pPr>
        <w:jc w:val="both"/>
        <w:rPr>
          <w:rFonts w:ascii="Times New Roman" w:hAnsi="Times New Roman" w:cs="Times New Roman"/>
          <w:sz w:val="24"/>
          <w:szCs w:val="24"/>
        </w:rPr>
      </w:pPr>
    </w:p>
    <w:p w14:paraId="2451CEEB" w14:textId="77777777" w:rsidR="0044367E" w:rsidRDefault="0044367E" w:rsidP="007F632F">
      <w:pPr>
        <w:spacing w:before="100" w:beforeAutospacing="1" w:after="100" w:afterAutospacing="1"/>
        <w:jc w:val="both"/>
        <w:rPr>
          <w:rFonts w:ascii="Times New Roman" w:hAnsi="Times New Roman" w:cs="Times New Roman"/>
          <w:sz w:val="24"/>
          <w:szCs w:val="24"/>
        </w:rPr>
        <w:sectPr w:rsidR="0044367E" w:rsidSect="00AB5151">
          <w:headerReference w:type="even" r:id="rId47"/>
          <w:headerReference w:type="default" r:id="rId48"/>
          <w:headerReference w:type="first" r:id="rId49"/>
          <w:pgSz w:w="12240" w:h="15840"/>
          <w:pgMar w:top="1440" w:right="1440" w:bottom="1440" w:left="1440" w:header="720" w:footer="720" w:gutter="0"/>
          <w:cols w:space="720"/>
          <w:titlePg/>
          <w:docGrid w:linePitch="360"/>
        </w:sectPr>
      </w:pPr>
    </w:p>
    <w:p w14:paraId="2451CEEC" w14:textId="77777777" w:rsidR="0071111B" w:rsidRPr="009E1CFD" w:rsidRDefault="0071111B" w:rsidP="008E1C6A">
      <w:pPr>
        <w:pStyle w:val="Heading1"/>
      </w:pPr>
      <w:bookmarkStart w:id="73" w:name="_Toc449510508"/>
      <w:r w:rsidRPr="00EB3153">
        <w:lastRenderedPageBreak/>
        <w:t>Communications, Outreach and Education</w:t>
      </w:r>
      <w:bookmarkEnd w:id="73"/>
    </w:p>
    <w:p w14:paraId="2451CEED" w14:textId="77777777" w:rsidR="0071111B" w:rsidRPr="009E1CFD" w:rsidRDefault="0071111B" w:rsidP="0071111B">
      <w:pPr>
        <w:jc w:val="center"/>
        <w:rPr>
          <w:rFonts w:ascii="Times New Roman" w:hAnsi="Times New Roman" w:cs="Times New Roman"/>
          <w:smallCaps/>
          <w:color w:val="548DD4" w:themeColor="text2" w:themeTint="99"/>
          <w:sz w:val="24"/>
          <w:szCs w:val="24"/>
        </w:rPr>
      </w:pPr>
    </w:p>
    <w:p w14:paraId="2451CEEE" w14:textId="77777777" w:rsidR="002005D1" w:rsidRPr="009E1CFD"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The Company utilizes earned media, customer communications, paid media and program specific media in an effort to communicate the value of energy efficiency, provide information regarding low-cost, no-cost energy efficiency measures, and to educate customers on the availability of technical assistance, services</w:t>
      </w:r>
      <w:r>
        <w:rPr>
          <w:rFonts w:ascii="Times New Roman" w:hAnsi="Times New Roman" w:cs="Times New Roman"/>
          <w:sz w:val="24"/>
          <w:szCs w:val="24"/>
        </w:rPr>
        <w:t>,</w:t>
      </w:r>
      <w:r w:rsidRPr="009E1CFD">
        <w:rPr>
          <w:rFonts w:ascii="Times New Roman" w:hAnsi="Times New Roman" w:cs="Times New Roman"/>
          <w:sz w:val="24"/>
          <w:szCs w:val="24"/>
        </w:rPr>
        <w:t xml:space="preserve"> and incentives. The overall goal is to engage customers in reducing their energy usage through behavioral changes as well as changes in equipment, appliances and structures.</w:t>
      </w:r>
    </w:p>
    <w:p w14:paraId="2451CEEF" w14:textId="77777777" w:rsidR="002005D1" w:rsidRPr="009E1CFD" w:rsidRDefault="002005D1" w:rsidP="005E7747">
      <w:pPr>
        <w:pStyle w:val="NoSpacing"/>
        <w:rPr>
          <w:rFonts w:ascii="Times New Roman" w:hAnsi="Times New Roman" w:cs="Times New Roman"/>
          <w:sz w:val="24"/>
          <w:szCs w:val="24"/>
        </w:rPr>
      </w:pPr>
    </w:p>
    <w:p w14:paraId="2451CEF0" w14:textId="77777777" w:rsidR="002005D1" w:rsidRPr="009E1CFD" w:rsidRDefault="002005D1" w:rsidP="005E7747">
      <w:pPr>
        <w:pStyle w:val="Heading2"/>
        <w:spacing w:before="0"/>
        <w:rPr>
          <w:u w:val="single"/>
        </w:rPr>
      </w:pPr>
      <w:bookmarkStart w:id="74" w:name="_Toc449356496"/>
      <w:bookmarkStart w:id="75" w:name="_Toc449510509"/>
      <w:r w:rsidRPr="009E1CFD">
        <w:t>Earned Media</w:t>
      </w:r>
      <w:bookmarkEnd w:id="74"/>
      <w:bookmarkEnd w:id="75"/>
      <w:r w:rsidRPr="009E1CFD">
        <w:rPr>
          <w:u w:val="single"/>
        </w:rPr>
        <w:t xml:space="preserve"> </w:t>
      </w:r>
    </w:p>
    <w:p w14:paraId="2451CEF1" w14:textId="77777777" w:rsidR="002005D1" w:rsidRPr="009E1CFD" w:rsidRDefault="002005D1" w:rsidP="005E7747">
      <w:pPr>
        <w:pStyle w:val="NoSpacing"/>
        <w:jc w:val="both"/>
        <w:rPr>
          <w:rFonts w:ascii="Times New Roman" w:hAnsi="Times New Roman" w:cs="Times New Roman"/>
          <w:sz w:val="24"/>
          <w:szCs w:val="24"/>
          <w:u w:val="single"/>
        </w:rPr>
      </w:pPr>
    </w:p>
    <w:p w14:paraId="2451CEF2" w14:textId="77777777" w:rsidR="002005D1" w:rsidRDefault="002005D1" w:rsidP="005E7747">
      <w:pPr>
        <w:pStyle w:val="NoSpacing"/>
        <w:jc w:val="both"/>
        <w:rPr>
          <w:rFonts w:ascii="Times New Roman" w:hAnsi="Times New Roman" w:cs="Times New Roman"/>
          <w:sz w:val="24"/>
          <w:szCs w:val="24"/>
        </w:rPr>
      </w:pPr>
      <w:r w:rsidRPr="009E1CFD">
        <w:rPr>
          <w:rFonts w:ascii="Times New Roman" w:hAnsi="Times New Roman" w:cs="Times New Roman"/>
          <w:sz w:val="24"/>
          <w:szCs w:val="24"/>
        </w:rPr>
        <w:t xml:space="preserve">Earned media is managed by </w:t>
      </w:r>
      <w:r>
        <w:rPr>
          <w:rFonts w:ascii="Times New Roman" w:hAnsi="Times New Roman" w:cs="Times New Roman"/>
          <w:sz w:val="24"/>
          <w:szCs w:val="24"/>
        </w:rPr>
        <w:t>the Company</w:t>
      </w:r>
      <w:r w:rsidRPr="009E1CFD">
        <w:rPr>
          <w:rFonts w:ascii="Times New Roman" w:hAnsi="Times New Roman" w:cs="Times New Roman"/>
          <w:sz w:val="24"/>
          <w:szCs w:val="24"/>
        </w:rPr>
        <w:t xml:space="preserve">’s external communications department in cooperation with the regional </w:t>
      </w:r>
      <w:r w:rsidR="006C26C1">
        <w:rPr>
          <w:rFonts w:ascii="Times New Roman" w:hAnsi="Times New Roman" w:cs="Times New Roman"/>
          <w:sz w:val="24"/>
          <w:szCs w:val="24"/>
        </w:rPr>
        <w:t>business</w:t>
      </w:r>
      <w:r w:rsidR="006C26C1" w:rsidRPr="009E1CFD">
        <w:rPr>
          <w:rFonts w:ascii="Times New Roman" w:hAnsi="Times New Roman" w:cs="Times New Roman"/>
          <w:sz w:val="24"/>
          <w:szCs w:val="24"/>
        </w:rPr>
        <w:t xml:space="preserve"> </w:t>
      </w:r>
      <w:r w:rsidRPr="009E1CFD">
        <w:rPr>
          <w:rFonts w:ascii="Times New Roman" w:hAnsi="Times New Roman" w:cs="Times New Roman"/>
          <w:sz w:val="24"/>
          <w:szCs w:val="24"/>
        </w:rPr>
        <w:t>managers located in Washington. “Earned media” generally refers to favorable television, radio, newspaper</w:t>
      </w:r>
      <w:r>
        <w:rPr>
          <w:rFonts w:ascii="Times New Roman" w:hAnsi="Times New Roman" w:cs="Times New Roman"/>
          <w:sz w:val="24"/>
          <w:szCs w:val="24"/>
        </w:rPr>
        <w:t>,</w:t>
      </w:r>
      <w:r w:rsidRPr="009E1CFD">
        <w:rPr>
          <w:rFonts w:ascii="Times New Roman" w:hAnsi="Times New Roman" w:cs="Times New Roman"/>
          <w:sz w:val="24"/>
          <w:szCs w:val="24"/>
        </w:rPr>
        <w:t xml:space="preserve"> or internet news coverage gained through press releases, media events, opinion pieces, story pitches</w:t>
      </w:r>
      <w:r>
        <w:rPr>
          <w:rFonts w:ascii="Times New Roman" w:hAnsi="Times New Roman" w:cs="Times New Roman"/>
          <w:sz w:val="24"/>
          <w:szCs w:val="24"/>
        </w:rPr>
        <w:t>,</w:t>
      </w:r>
      <w:r w:rsidRPr="009E1CFD">
        <w:rPr>
          <w:rFonts w:ascii="Times New Roman" w:hAnsi="Times New Roman" w:cs="Times New Roman"/>
          <w:sz w:val="24"/>
          <w:szCs w:val="24"/>
        </w:rPr>
        <w:t xml:space="preserve"> or other communication with news editors and reporters. </w:t>
      </w:r>
    </w:p>
    <w:p w14:paraId="2451CEF3" w14:textId="77777777" w:rsidR="005E7747" w:rsidRPr="009E1CFD" w:rsidRDefault="005E7747" w:rsidP="005E7747">
      <w:pPr>
        <w:pStyle w:val="NoSpacing"/>
        <w:jc w:val="both"/>
        <w:rPr>
          <w:rFonts w:ascii="Times New Roman" w:hAnsi="Times New Roman" w:cs="Times New Roman"/>
          <w:sz w:val="24"/>
          <w:szCs w:val="24"/>
        </w:rPr>
      </w:pPr>
    </w:p>
    <w:p w14:paraId="2451CEF4" w14:textId="77777777" w:rsidR="002005D1" w:rsidRPr="009E1CFD" w:rsidRDefault="002005D1" w:rsidP="005E7747">
      <w:pPr>
        <w:pStyle w:val="Heading2"/>
        <w:spacing w:before="0"/>
      </w:pPr>
      <w:bookmarkStart w:id="76" w:name="_Toc449356497"/>
      <w:bookmarkStart w:id="77" w:name="_Toc449510510"/>
      <w:r w:rsidRPr="009E1CFD">
        <w:t>Customer Communications</w:t>
      </w:r>
      <w:bookmarkEnd w:id="76"/>
      <w:bookmarkEnd w:id="77"/>
    </w:p>
    <w:p w14:paraId="2451CEF5" w14:textId="77777777" w:rsidR="002005D1" w:rsidRPr="009E1CFD" w:rsidRDefault="002005D1" w:rsidP="005E7747">
      <w:pPr>
        <w:pStyle w:val="NoSpacing"/>
        <w:jc w:val="both"/>
        <w:rPr>
          <w:rFonts w:ascii="Times New Roman" w:hAnsi="Times New Roman" w:cs="Times New Roman"/>
          <w:sz w:val="24"/>
          <w:szCs w:val="24"/>
          <w:u w:val="single"/>
        </w:rPr>
      </w:pPr>
    </w:p>
    <w:p w14:paraId="2451CEF6" w14:textId="77777777" w:rsidR="002005D1" w:rsidRPr="009E1CFD" w:rsidRDefault="002005D1" w:rsidP="005E7747">
      <w:pPr>
        <w:pStyle w:val="NoSpacing"/>
        <w:jc w:val="both"/>
        <w:rPr>
          <w:rFonts w:ascii="Times New Roman" w:hAnsi="Times New Roman" w:cs="Times New Roman"/>
          <w:sz w:val="24"/>
          <w:szCs w:val="24"/>
        </w:rPr>
      </w:pPr>
      <w:r w:rsidRPr="009E1CFD">
        <w:rPr>
          <w:rFonts w:ascii="Times New Roman" w:hAnsi="Times New Roman" w:cs="Times New Roman"/>
          <w:sz w:val="24"/>
          <w:szCs w:val="24"/>
        </w:rPr>
        <w:t xml:space="preserve">As part of the Company’s regular communications to </w:t>
      </w:r>
      <w:r>
        <w:rPr>
          <w:rFonts w:ascii="Times New Roman" w:hAnsi="Times New Roman" w:cs="Times New Roman"/>
          <w:sz w:val="24"/>
          <w:szCs w:val="24"/>
        </w:rPr>
        <w:t>its</w:t>
      </w:r>
      <w:r w:rsidRPr="009E1CFD">
        <w:rPr>
          <w:rFonts w:ascii="Times New Roman" w:hAnsi="Times New Roman" w:cs="Times New Roman"/>
          <w:sz w:val="24"/>
          <w:szCs w:val="24"/>
        </w:rPr>
        <w:t xml:space="preserve"> customers, newsletters across all customer classes promote energy efficiency initiatives and case studies on a regular basis. Inserts and outer envelopes featuring energy efficiency messages have also been used on a consistent basis. In 201</w:t>
      </w:r>
      <w:r>
        <w:rPr>
          <w:rFonts w:ascii="Times New Roman" w:hAnsi="Times New Roman" w:cs="Times New Roman"/>
          <w:sz w:val="24"/>
          <w:szCs w:val="24"/>
        </w:rPr>
        <w:t>5,</w:t>
      </w:r>
      <w:r w:rsidRPr="009E1CFD">
        <w:rPr>
          <w:rFonts w:ascii="Times New Roman" w:hAnsi="Times New Roman" w:cs="Times New Roman"/>
          <w:sz w:val="24"/>
          <w:szCs w:val="24"/>
        </w:rPr>
        <w:t xml:space="preserve"> the Company issued two newsletters focused entirely on seasonal energy efficiency information (in the fall and spring).</w:t>
      </w:r>
    </w:p>
    <w:p w14:paraId="2451CEF7" w14:textId="77777777" w:rsidR="002005D1" w:rsidRPr="009E1CFD" w:rsidRDefault="002005D1" w:rsidP="002005D1">
      <w:pPr>
        <w:pStyle w:val="NoSpacing"/>
        <w:jc w:val="both"/>
        <w:rPr>
          <w:rFonts w:ascii="Times New Roman" w:hAnsi="Times New Roman" w:cs="Times New Roman"/>
          <w:sz w:val="24"/>
          <w:szCs w:val="24"/>
        </w:rPr>
      </w:pPr>
    </w:p>
    <w:p w14:paraId="2451CEF8" w14:textId="77777777" w:rsidR="002005D1" w:rsidRPr="009E1CFD"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 xml:space="preserve">The Company uses its website and social media, such as Twitter and Facebook to communicate and engage customers on DSM offers and incentives. </w:t>
      </w:r>
    </w:p>
    <w:p w14:paraId="2451CEF9" w14:textId="77777777" w:rsidR="002005D1" w:rsidRPr="009E1CFD" w:rsidRDefault="002005D1" w:rsidP="005E7747">
      <w:pPr>
        <w:pStyle w:val="NoSpacing"/>
        <w:jc w:val="both"/>
        <w:rPr>
          <w:rFonts w:ascii="Times New Roman" w:hAnsi="Times New Roman" w:cs="Times New Roman"/>
          <w:b/>
          <w:color w:val="548DD4" w:themeColor="text2" w:themeTint="99"/>
          <w:sz w:val="24"/>
          <w:szCs w:val="24"/>
        </w:rPr>
      </w:pPr>
    </w:p>
    <w:p w14:paraId="2451CEFA" w14:textId="77777777" w:rsidR="002005D1" w:rsidRPr="008F3266" w:rsidRDefault="002005D1" w:rsidP="005E7747">
      <w:pPr>
        <w:pStyle w:val="Heading2"/>
        <w:spacing w:before="0"/>
      </w:pPr>
      <w:bookmarkStart w:id="78" w:name="_Toc449356498"/>
      <w:bookmarkStart w:id="79" w:name="_Toc449510511"/>
      <w:r w:rsidRPr="008F3266">
        <w:t>Paid Media/wattsmart campaign</w:t>
      </w:r>
      <w:bookmarkEnd w:id="78"/>
      <w:bookmarkEnd w:id="79"/>
    </w:p>
    <w:p w14:paraId="2451CEFB" w14:textId="77777777" w:rsidR="002005D1" w:rsidRPr="009E1CFD" w:rsidRDefault="002005D1" w:rsidP="005E7747">
      <w:pPr>
        <w:pStyle w:val="NoSpacing"/>
        <w:jc w:val="both"/>
        <w:rPr>
          <w:rFonts w:ascii="Times New Roman" w:hAnsi="Times New Roman" w:cs="Times New Roman"/>
          <w:sz w:val="24"/>
          <w:szCs w:val="24"/>
        </w:rPr>
      </w:pPr>
    </w:p>
    <w:p w14:paraId="2451CEFC" w14:textId="77777777" w:rsidR="002005D1" w:rsidRPr="00D350D1" w:rsidRDefault="002005D1" w:rsidP="005E77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2015 the Company continued with the</w:t>
      </w:r>
      <w:r w:rsidRPr="00D350D1">
        <w:rPr>
          <w:rFonts w:ascii="Times New Roman" w:hAnsi="Times New Roman" w:cs="Times New Roman"/>
          <w:sz w:val="24"/>
          <w:szCs w:val="24"/>
        </w:rPr>
        <w:t xml:space="preserve"> multi-faceted campaign with programs aimed at specific customer groups, but all share the common theme: Pacific Power wants to help you save money and energy</w:t>
      </w:r>
      <w:r>
        <w:rPr>
          <w:rFonts w:ascii="Times New Roman" w:hAnsi="Times New Roman" w:cs="Times New Roman"/>
          <w:sz w:val="24"/>
          <w:szCs w:val="24"/>
        </w:rPr>
        <w:t xml:space="preserve"> by being </w:t>
      </w:r>
      <w:r w:rsidRPr="00F33971">
        <w:rPr>
          <w:rFonts w:ascii="Times New Roman" w:hAnsi="Times New Roman" w:cs="Times New Roman"/>
          <w:i/>
          <w:sz w:val="24"/>
          <w:szCs w:val="24"/>
        </w:rPr>
        <w:t>watt</w:t>
      </w:r>
      <w:r w:rsidRPr="00F33971">
        <w:rPr>
          <w:rFonts w:ascii="Times New Roman" w:hAnsi="Times New Roman" w:cs="Times New Roman"/>
          <w:sz w:val="24"/>
          <w:szCs w:val="24"/>
        </w:rPr>
        <w:t>s</w:t>
      </w:r>
      <w:r w:rsidRPr="00E634F6">
        <w:rPr>
          <w:rFonts w:ascii="Times New Roman" w:hAnsi="Times New Roman" w:cs="Times New Roman"/>
          <w:sz w:val="24"/>
          <w:szCs w:val="24"/>
        </w:rPr>
        <w:t>mart</w:t>
      </w:r>
      <w:r w:rsidRPr="00D350D1">
        <w:rPr>
          <w:rFonts w:ascii="Times New Roman" w:hAnsi="Times New Roman" w:cs="Times New Roman"/>
          <w:sz w:val="24"/>
          <w:szCs w:val="24"/>
        </w:rPr>
        <w:t xml:space="preserve">. This communication campaign aims to create awareness of the importance of being energy efficient, and to help increase participation in the </w:t>
      </w:r>
      <w:r>
        <w:rPr>
          <w:rFonts w:ascii="Times New Roman" w:hAnsi="Times New Roman" w:cs="Times New Roman"/>
          <w:sz w:val="24"/>
          <w:szCs w:val="24"/>
        </w:rPr>
        <w:t>C</w:t>
      </w:r>
      <w:r w:rsidRPr="00D350D1">
        <w:rPr>
          <w:rFonts w:ascii="Times New Roman" w:hAnsi="Times New Roman" w:cs="Times New Roman"/>
          <w:sz w:val="24"/>
          <w:szCs w:val="24"/>
        </w:rPr>
        <w:t xml:space="preserve">ompany’s DSM programs. </w:t>
      </w:r>
    </w:p>
    <w:p w14:paraId="2451CEFD" w14:textId="77777777" w:rsidR="002005D1" w:rsidRPr="00D350D1" w:rsidRDefault="002005D1" w:rsidP="002005D1">
      <w:pPr>
        <w:autoSpaceDE w:val="0"/>
        <w:autoSpaceDN w:val="0"/>
        <w:adjustRightInd w:val="0"/>
        <w:rPr>
          <w:rFonts w:ascii="Times New Roman" w:hAnsi="Times New Roman" w:cs="Times New Roman"/>
          <w:sz w:val="24"/>
          <w:szCs w:val="24"/>
        </w:rPr>
      </w:pPr>
    </w:p>
    <w:p w14:paraId="2451CEFE" w14:textId="77777777" w:rsidR="002005D1" w:rsidRPr="00D350D1" w:rsidRDefault="002005D1" w:rsidP="002005D1">
      <w:pPr>
        <w:autoSpaceDE w:val="0"/>
        <w:autoSpaceDN w:val="0"/>
        <w:adjustRightInd w:val="0"/>
        <w:jc w:val="both"/>
        <w:rPr>
          <w:rFonts w:ascii="Times New Roman" w:hAnsi="Times New Roman" w:cs="Times New Roman"/>
          <w:sz w:val="24"/>
          <w:szCs w:val="24"/>
        </w:rPr>
      </w:pPr>
      <w:r w:rsidRPr="00D350D1">
        <w:rPr>
          <w:rFonts w:ascii="Times New Roman" w:hAnsi="Times New Roman" w:cs="Times New Roman"/>
          <w:sz w:val="24"/>
          <w:szCs w:val="24"/>
        </w:rPr>
        <w:t>Based on 201</w:t>
      </w:r>
      <w:r>
        <w:rPr>
          <w:rFonts w:ascii="Times New Roman" w:hAnsi="Times New Roman" w:cs="Times New Roman"/>
          <w:sz w:val="24"/>
          <w:szCs w:val="24"/>
        </w:rPr>
        <w:t>5</w:t>
      </w:r>
      <w:r w:rsidRPr="00D350D1">
        <w:rPr>
          <w:rFonts w:ascii="Times New Roman" w:hAnsi="Times New Roman" w:cs="Times New Roman"/>
          <w:sz w:val="24"/>
          <w:szCs w:val="24"/>
        </w:rPr>
        <w:t xml:space="preserve"> customer awareness campaign research conducted by Marketing Decisions Corporation:</w:t>
      </w:r>
    </w:p>
    <w:p w14:paraId="2451CEFF" w14:textId="77777777" w:rsidR="002005D1" w:rsidRDefault="002005D1" w:rsidP="002005D1">
      <w:pPr>
        <w:pStyle w:val="ListParagraph"/>
        <w:numPr>
          <w:ilvl w:val="0"/>
          <w:numId w:val="3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Thirty-nine percent of </w:t>
      </w:r>
      <w:r w:rsidRPr="00D350D1">
        <w:rPr>
          <w:rFonts w:ascii="Times New Roman" w:hAnsi="Times New Roman" w:cs="Times New Roman"/>
          <w:sz w:val="24"/>
          <w:szCs w:val="24"/>
        </w:rPr>
        <w:t xml:space="preserve">customers </w:t>
      </w:r>
      <w:r>
        <w:rPr>
          <w:rFonts w:ascii="Times New Roman" w:hAnsi="Times New Roman" w:cs="Times New Roman"/>
          <w:sz w:val="24"/>
          <w:szCs w:val="24"/>
        </w:rPr>
        <w:t xml:space="preserve">surveyed in 2015 </w:t>
      </w:r>
      <w:r w:rsidRPr="00D350D1">
        <w:rPr>
          <w:rFonts w:ascii="Times New Roman" w:hAnsi="Times New Roman" w:cs="Times New Roman"/>
          <w:sz w:val="24"/>
          <w:szCs w:val="24"/>
        </w:rPr>
        <w:t xml:space="preserve">in Washington are aware that </w:t>
      </w:r>
      <w:r>
        <w:rPr>
          <w:rFonts w:ascii="Times New Roman" w:hAnsi="Times New Roman" w:cs="Times New Roman"/>
          <w:sz w:val="24"/>
          <w:szCs w:val="24"/>
        </w:rPr>
        <w:t>the Company</w:t>
      </w:r>
      <w:r w:rsidRPr="00D350D1">
        <w:rPr>
          <w:rFonts w:ascii="Times New Roman" w:hAnsi="Times New Roman" w:cs="Times New Roman"/>
          <w:sz w:val="24"/>
          <w:szCs w:val="24"/>
        </w:rPr>
        <w:t xml:space="preserve"> offers energy efficiency programs. </w:t>
      </w:r>
    </w:p>
    <w:p w14:paraId="2451CF00" w14:textId="77777777" w:rsidR="002005D1" w:rsidRDefault="002005D1" w:rsidP="002005D1">
      <w:pPr>
        <w:pStyle w:val="ListParagraph"/>
        <w:numPr>
          <w:ilvl w:val="0"/>
          <w:numId w:val="3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Top recalled messages: using energy wisely and energy efficiency programs</w:t>
      </w:r>
      <w:r w:rsidR="00F33971">
        <w:rPr>
          <w:rFonts w:ascii="Times New Roman" w:hAnsi="Times New Roman" w:cs="Times New Roman"/>
          <w:sz w:val="24"/>
          <w:szCs w:val="24"/>
        </w:rPr>
        <w:t>.</w:t>
      </w:r>
    </w:p>
    <w:p w14:paraId="2451CF01" w14:textId="77777777" w:rsidR="002005D1" w:rsidRPr="00D350D1" w:rsidRDefault="002005D1" w:rsidP="002005D1">
      <w:pPr>
        <w:pStyle w:val="ListParagraph"/>
        <w:numPr>
          <w:ilvl w:val="0"/>
          <w:numId w:val="3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Seventy-four percent of </w:t>
      </w:r>
      <w:r w:rsidRPr="00D350D1">
        <w:rPr>
          <w:rFonts w:ascii="Times New Roman" w:hAnsi="Times New Roman" w:cs="Times New Roman"/>
          <w:sz w:val="24"/>
          <w:szCs w:val="24"/>
        </w:rPr>
        <w:t xml:space="preserve">customers </w:t>
      </w:r>
      <w:r>
        <w:rPr>
          <w:rFonts w:ascii="Times New Roman" w:hAnsi="Times New Roman" w:cs="Times New Roman"/>
          <w:sz w:val="24"/>
          <w:szCs w:val="24"/>
        </w:rPr>
        <w:t xml:space="preserve">surveyed in 2015 </w:t>
      </w:r>
      <w:r w:rsidRPr="00D350D1">
        <w:rPr>
          <w:rFonts w:ascii="Times New Roman" w:hAnsi="Times New Roman" w:cs="Times New Roman"/>
          <w:sz w:val="24"/>
          <w:szCs w:val="24"/>
        </w:rPr>
        <w:t xml:space="preserve">in Washington are aware </w:t>
      </w:r>
      <w:r>
        <w:rPr>
          <w:rFonts w:ascii="Times New Roman" w:hAnsi="Times New Roman" w:cs="Times New Roman"/>
          <w:sz w:val="24"/>
          <w:szCs w:val="24"/>
        </w:rPr>
        <w:t xml:space="preserve">of </w:t>
      </w:r>
      <w:r w:rsidRPr="00F33971">
        <w:rPr>
          <w:rFonts w:ascii="Times New Roman" w:hAnsi="Times New Roman" w:cs="Times New Roman"/>
          <w:i/>
          <w:sz w:val="24"/>
          <w:szCs w:val="24"/>
        </w:rPr>
        <w:t>watt</w:t>
      </w:r>
      <w:r>
        <w:rPr>
          <w:rFonts w:ascii="Times New Roman" w:hAnsi="Times New Roman" w:cs="Times New Roman"/>
          <w:sz w:val="24"/>
          <w:szCs w:val="24"/>
        </w:rPr>
        <w:t>smart</w:t>
      </w:r>
      <w:r w:rsidRPr="00D350D1">
        <w:rPr>
          <w:rFonts w:ascii="Times New Roman" w:hAnsi="Times New Roman" w:cs="Times New Roman"/>
          <w:sz w:val="24"/>
          <w:szCs w:val="24"/>
        </w:rPr>
        <w:t>.</w:t>
      </w:r>
    </w:p>
    <w:p w14:paraId="2451CF02" w14:textId="77777777" w:rsidR="002005D1" w:rsidRPr="00D350D1" w:rsidRDefault="002005D1" w:rsidP="002005D1">
      <w:pPr>
        <w:pStyle w:val="ListParagraph"/>
        <w:numPr>
          <w:ilvl w:val="0"/>
          <w:numId w:val="31"/>
        </w:numPr>
        <w:autoSpaceDE w:val="0"/>
        <w:autoSpaceDN w:val="0"/>
        <w:adjustRightInd w:val="0"/>
        <w:jc w:val="both"/>
        <w:rPr>
          <w:rFonts w:ascii="Times New Roman" w:hAnsi="Times New Roman" w:cs="Times New Roman"/>
          <w:sz w:val="24"/>
          <w:szCs w:val="24"/>
        </w:rPr>
      </w:pPr>
      <w:r w:rsidRPr="00D350D1">
        <w:rPr>
          <w:rFonts w:ascii="Times New Roman" w:hAnsi="Times New Roman" w:cs="Times New Roman"/>
          <w:sz w:val="24"/>
          <w:szCs w:val="24"/>
        </w:rPr>
        <w:t xml:space="preserve">Three in ten customers report having taken action based on the </w:t>
      </w:r>
      <w:r>
        <w:rPr>
          <w:rFonts w:ascii="Times New Roman" w:hAnsi="Times New Roman" w:cs="Times New Roman"/>
          <w:sz w:val="24"/>
          <w:szCs w:val="24"/>
        </w:rPr>
        <w:t>C</w:t>
      </w:r>
      <w:r w:rsidRPr="00D350D1">
        <w:rPr>
          <w:rFonts w:ascii="Times New Roman" w:hAnsi="Times New Roman" w:cs="Times New Roman"/>
          <w:sz w:val="24"/>
          <w:szCs w:val="24"/>
        </w:rPr>
        <w:t>ompany’s advertising (3</w:t>
      </w:r>
      <w:r>
        <w:rPr>
          <w:rFonts w:ascii="Times New Roman" w:hAnsi="Times New Roman" w:cs="Times New Roman"/>
          <w:sz w:val="24"/>
          <w:szCs w:val="24"/>
        </w:rPr>
        <w:t>2</w:t>
      </w:r>
      <w:r w:rsidRPr="00D350D1">
        <w:rPr>
          <w:rFonts w:ascii="Times New Roman" w:hAnsi="Times New Roman" w:cs="Times New Roman"/>
          <w:sz w:val="24"/>
          <w:szCs w:val="24"/>
        </w:rPr>
        <w:t xml:space="preserve"> percent). The most frequently mentioned actions:</w:t>
      </w:r>
    </w:p>
    <w:p w14:paraId="2451CF03" w14:textId="77777777" w:rsidR="002005D1" w:rsidRPr="00D350D1" w:rsidRDefault="002005D1" w:rsidP="002005D1">
      <w:pPr>
        <w:pStyle w:val="ListParagraph"/>
        <w:numPr>
          <w:ilvl w:val="1"/>
          <w:numId w:val="31"/>
        </w:numPr>
        <w:autoSpaceDE w:val="0"/>
        <w:autoSpaceDN w:val="0"/>
        <w:adjustRightInd w:val="0"/>
        <w:rPr>
          <w:rFonts w:ascii="Times New Roman" w:hAnsi="Times New Roman" w:cs="Times New Roman"/>
          <w:sz w:val="24"/>
          <w:szCs w:val="24"/>
        </w:rPr>
      </w:pPr>
      <w:r w:rsidRPr="00D350D1">
        <w:rPr>
          <w:rFonts w:ascii="Times New Roman" w:hAnsi="Times New Roman" w:cs="Times New Roman"/>
          <w:sz w:val="24"/>
          <w:szCs w:val="24"/>
        </w:rPr>
        <w:lastRenderedPageBreak/>
        <w:t>Purchased/switched to energy-efficient appliances/lights</w:t>
      </w:r>
      <w:r w:rsidR="00F33971">
        <w:rPr>
          <w:rFonts w:ascii="Times New Roman" w:hAnsi="Times New Roman" w:cs="Times New Roman"/>
          <w:sz w:val="24"/>
          <w:szCs w:val="24"/>
        </w:rPr>
        <w:t>.</w:t>
      </w:r>
    </w:p>
    <w:p w14:paraId="2451CF04" w14:textId="77777777" w:rsidR="002005D1" w:rsidRPr="00D350D1" w:rsidRDefault="002005D1" w:rsidP="002005D1">
      <w:pPr>
        <w:pStyle w:val="ListParagraph"/>
        <w:numPr>
          <w:ilvl w:val="1"/>
          <w:numId w:val="31"/>
        </w:numPr>
        <w:autoSpaceDE w:val="0"/>
        <w:autoSpaceDN w:val="0"/>
        <w:adjustRightInd w:val="0"/>
        <w:rPr>
          <w:rFonts w:ascii="Times New Roman" w:hAnsi="Times New Roman" w:cs="Times New Roman"/>
          <w:sz w:val="24"/>
          <w:szCs w:val="24"/>
        </w:rPr>
      </w:pPr>
      <w:r w:rsidRPr="00D350D1">
        <w:rPr>
          <w:rFonts w:ascii="Times New Roman" w:hAnsi="Times New Roman" w:cs="Times New Roman"/>
          <w:sz w:val="24"/>
          <w:szCs w:val="24"/>
        </w:rPr>
        <w:t>Turning off lights/appliances when not in use</w:t>
      </w:r>
      <w:r w:rsidR="00F33971">
        <w:rPr>
          <w:rFonts w:ascii="Times New Roman" w:hAnsi="Times New Roman" w:cs="Times New Roman"/>
          <w:sz w:val="24"/>
          <w:szCs w:val="24"/>
        </w:rPr>
        <w:t>.</w:t>
      </w:r>
    </w:p>
    <w:p w14:paraId="2451CF05" w14:textId="77777777" w:rsidR="002005D1" w:rsidRPr="00D350D1" w:rsidRDefault="002005D1" w:rsidP="002005D1">
      <w:pPr>
        <w:pStyle w:val="ListParagraph"/>
        <w:numPr>
          <w:ilvl w:val="1"/>
          <w:numId w:val="31"/>
        </w:numPr>
        <w:autoSpaceDE w:val="0"/>
        <w:autoSpaceDN w:val="0"/>
        <w:adjustRightInd w:val="0"/>
        <w:rPr>
          <w:rFonts w:ascii="Times New Roman" w:hAnsi="Times New Roman" w:cs="Times New Roman"/>
          <w:sz w:val="24"/>
          <w:szCs w:val="24"/>
        </w:rPr>
      </w:pPr>
      <w:r w:rsidRPr="00D350D1">
        <w:rPr>
          <w:rFonts w:ascii="Times New Roman" w:hAnsi="Times New Roman" w:cs="Times New Roman"/>
          <w:sz w:val="24"/>
          <w:szCs w:val="24"/>
        </w:rPr>
        <w:t>More aware of power usage</w:t>
      </w:r>
      <w:r w:rsidR="00F33971">
        <w:rPr>
          <w:rFonts w:ascii="Times New Roman" w:hAnsi="Times New Roman" w:cs="Times New Roman"/>
          <w:sz w:val="24"/>
          <w:szCs w:val="24"/>
        </w:rPr>
        <w:t>.</w:t>
      </w:r>
    </w:p>
    <w:p w14:paraId="2451CF06" w14:textId="77777777" w:rsidR="002005D1" w:rsidRPr="00D350D1" w:rsidRDefault="002005D1" w:rsidP="002005D1">
      <w:pPr>
        <w:pStyle w:val="ListParagraph"/>
        <w:numPr>
          <w:ilvl w:val="1"/>
          <w:numId w:val="31"/>
        </w:numPr>
        <w:autoSpaceDE w:val="0"/>
        <w:autoSpaceDN w:val="0"/>
        <w:adjustRightInd w:val="0"/>
        <w:rPr>
          <w:rFonts w:ascii="Times New Roman" w:hAnsi="Times New Roman" w:cs="Times New Roman"/>
          <w:sz w:val="24"/>
          <w:szCs w:val="24"/>
        </w:rPr>
      </w:pPr>
      <w:r w:rsidRPr="00D350D1">
        <w:rPr>
          <w:rFonts w:ascii="Times New Roman" w:hAnsi="Times New Roman" w:cs="Times New Roman"/>
          <w:sz w:val="24"/>
          <w:szCs w:val="24"/>
        </w:rPr>
        <w:t>Enlisting in utility incentive/rebate program</w:t>
      </w:r>
      <w:r w:rsidR="00F33971">
        <w:rPr>
          <w:rFonts w:ascii="Times New Roman" w:hAnsi="Times New Roman" w:cs="Times New Roman"/>
          <w:sz w:val="24"/>
          <w:szCs w:val="24"/>
        </w:rPr>
        <w:t>.</w:t>
      </w:r>
    </w:p>
    <w:p w14:paraId="2451CF07" w14:textId="77777777" w:rsidR="002005D1" w:rsidRPr="009E1CFD" w:rsidRDefault="002005D1" w:rsidP="002005D1">
      <w:pPr>
        <w:pStyle w:val="NoSpacing"/>
        <w:jc w:val="both"/>
        <w:rPr>
          <w:rFonts w:ascii="Times New Roman" w:hAnsi="Times New Roman" w:cs="Times New Roman"/>
          <w:sz w:val="24"/>
          <w:szCs w:val="24"/>
        </w:rPr>
      </w:pPr>
    </w:p>
    <w:p w14:paraId="2451CF08" w14:textId="77777777" w:rsidR="002005D1" w:rsidRPr="009E1CFD"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Key strategies with this plan, keeping objectives and budgets in the forefront included:</w:t>
      </w:r>
    </w:p>
    <w:p w14:paraId="2451CF09" w14:textId="77777777" w:rsidR="002005D1" w:rsidRDefault="002005D1" w:rsidP="008F3266">
      <w:pPr>
        <w:pStyle w:val="NoSpacing"/>
        <w:numPr>
          <w:ilvl w:val="0"/>
          <w:numId w:val="18"/>
        </w:numPr>
        <w:ind w:left="720" w:hanging="360"/>
        <w:jc w:val="both"/>
        <w:rPr>
          <w:rFonts w:ascii="Times New Roman" w:hAnsi="Times New Roman" w:cs="Times New Roman"/>
          <w:sz w:val="24"/>
          <w:szCs w:val="24"/>
        </w:rPr>
      </w:pPr>
      <w:r w:rsidRPr="009E1CFD">
        <w:rPr>
          <w:rFonts w:ascii="Times New Roman" w:hAnsi="Times New Roman" w:cs="Times New Roman"/>
          <w:sz w:val="24"/>
          <w:szCs w:val="24"/>
        </w:rPr>
        <w:t xml:space="preserve">Implementing an advertising campaign featuring </w:t>
      </w:r>
      <w:r w:rsidRPr="00F33971">
        <w:rPr>
          <w:rFonts w:ascii="Times New Roman" w:hAnsi="Times New Roman" w:cs="Times New Roman"/>
          <w:i/>
          <w:sz w:val="24"/>
          <w:szCs w:val="24"/>
        </w:rPr>
        <w:t>watt</w:t>
      </w:r>
      <w:r w:rsidRPr="00F33971">
        <w:rPr>
          <w:rFonts w:ascii="Times New Roman" w:hAnsi="Times New Roman" w:cs="Times New Roman"/>
          <w:sz w:val="24"/>
          <w:szCs w:val="24"/>
        </w:rPr>
        <w:t>s</w:t>
      </w:r>
      <w:r w:rsidRPr="00E634F6">
        <w:rPr>
          <w:rFonts w:ascii="Times New Roman" w:hAnsi="Times New Roman" w:cs="Times New Roman"/>
          <w:sz w:val="24"/>
          <w:szCs w:val="24"/>
        </w:rPr>
        <w:t>mart</w:t>
      </w:r>
      <w:r w:rsidRPr="009E1CFD">
        <w:rPr>
          <w:rFonts w:ascii="Times New Roman" w:hAnsi="Times New Roman" w:cs="Times New Roman"/>
          <w:sz w:val="24"/>
          <w:szCs w:val="24"/>
        </w:rPr>
        <w:t xml:space="preserve"> energy efficiency messaging</w:t>
      </w:r>
      <w:r>
        <w:rPr>
          <w:rFonts w:ascii="Times New Roman" w:hAnsi="Times New Roman" w:cs="Times New Roman"/>
          <w:sz w:val="24"/>
          <w:szCs w:val="24"/>
        </w:rPr>
        <w:t>.</w:t>
      </w:r>
    </w:p>
    <w:p w14:paraId="2451CF0A" w14:textId="77777777" w:rsidR="002005D1" w:rsidRDefault="002005D1" w:rsidP="006C26C1">
      <w:pPr>
        <w:pStyle w:val="NoSpacing"/>
        <w:numPr>
          <w:ilvl w:val="0"/>
          <w:numId w:val="18"/>
        </w:numPr>
        <w:ind w:left="720" w:hanging="360"/>
        <w:jc w:val="both"/>
        <w:rPr>
          <w:rFonts w:ascii="Times New Roman" w:hAnsi="Times New Roman" w:cs="Times New Roman"/>
          <w:sz w:val="24"/>
          <w:szCs w:val="24"/>
        </w:rPr>
      </w:pPr>
      <w:r w:rsidRPr="009E1CFD">
        <w:rPr>
          <w:rFonts w:ascii="Times New Roman" w:hAnsi="Times New Roman" w:cs="Times New Roman"/>
          <w:sz w:val="24"/>
          <w:szCs w:val="24"/>
        </w:rPr>
        <w:t xml:space="preserve">Promoting customer conservation (behavioral changes) and increasing participation and savings through </w:t>
      </w:r>
      <w:r>
        <w:rPr>
          <w:rFonts w:ascii="Times New Roman" w:hAnsi="Times New Roman" w:cs="Times New Roman"/>
          <w:sz w:val="24"/>
          <w:szCs w:val="24"/>
        </w:rPr>
        <w:t>the Company’s</w:t>
      </w:r>
      <w:r w:rsidRPr="009E1CFD">
        <w:rPr>
          <w:rFonts w:ascii="Times New Roman" w:hAnsi="Times New Roman" w:cs="Times New Roman"/>
          <w:sz w:val="24"/>
          <w:szCs w:val="24"/>
        </w:rPr>
        <w:t xml:space="preserve">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Pr>
          <w:rFonts w:ascii="Times New Roman" w:hAnsi="Times New Roman" w:cs="Times New Roman"/>
          <w:sz w:val="24"/>
          <w:szCs w:val="24"/>
        </w:rPr>
        <w:t xml:space="preserve"> DSM </w:t>
      </w:r>
      <w:r w:rsidRPr="009E1CFD">
        <w:rPr>
          <w:rFonts w:ascii="Times New Roman" w:hAnsi="Times New Roman" w:cs="Times New Roman"/>
          <w:sz w:val="24"/>
          <w:szCs w:val="24"/>
        </w:rPr>
        <w:t>programs</w:t>
      </w:r>
      <w:r>
        <w:rPr>
          <w:rFonts w:ascii="Times New Roman" w:hAnsi="Times New Roman" w:cs="Times New Roman"/>
          <w:sz w:val="24"/>
          <w:szCs w:val="24"/>
        </w:rPr>
        <w:t>.</w:t>
      </w:r>
    </w:p>
    <w:p w14:paraId="2451CF0B" w14:textId="77777777" w:rsidR="002005D1" w:rsidRDefault="002005D1" w:rsidP="006C26C1">
      <w:pPr>
        <w:pStyle w:val="NoSpacing"/>
        <w:numPr>
          <w:ilvl w:val="0"/>
          <w:numId w:val="18"/>
        </w:numPr>
        <w:ind w:left="720" w:hanging="360"/>
        <w:jc w:val="both"/>
        <w:rPr>
          <w:rFonts w:ascii="Times New Roman" w:hAnsi="Times New Roman" w:cs="Times New Roman"/>
          <w:sz w:val="24"/>
          <w:szCs w:val="24"/>
        </w:rPr>
      </w:pPr>
      <w:r w:rsidRPr="009E1CFD">
        <w:rPr>
          <w:rFonts w:ascii="Times New Roman" w:hAnsi="Times New Roman" w:cs="Times New Roman"/>
          <w:sz w:val="24"/>
          <w:szCs w:val="24"/>
        </w:rPr>
        <w:t xml:space="preserve">Motivating customers to reduce consumption independently or to do so by participating in at least one of </w:t>
      </w:r>
      <w:r>
        <w:rPr>
          <w:rFonts w:ascii="Times New Roman" w:hAnsi="Times New Roman" w:cs="Times New Roman"/>
          <w:sz w:val="24"/>
          <w:szCs w:val="24"/>
        </w:rPr>
        <w:t>the Company</w:t>
      </w:r>
      <w:r w:rsidRPr="009E1CFD">
        <w:rPr>
          <w:rFonts w:ascii="Times New Roman" w:hAnsi="Times New Roman" w:cs="Times New Roman"/>
          <w:sz w:val="24"/>
          <w:szCs w:val="24"/>
        </w:rPr>
        <w:t xml:space="preserve">’s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Pr>
          <w:rFonts w:ascii="Times New Roman" w:hAnsi="Times New Roman" w:cs="Times New Roman"/>
          <w:sz w:val="24"/>
          <w:szCs w:val="24"/>
        </w:rPr>
        <w:t xml:space="preserve"> DSM</w:t>
      </w:r>
      <w:r w:rsidRPr="009E1CFD">
        <w:rPr>
          <w:rFonts w:ascii="Times New Roman" w:hAnsi="Times New Roman" w:cs="Times New Roman"/>
          <w:sz w:val="24"/>
          <w:szCs w:val="24"/>
        </w:rPr>
        <w:t xml:space="preserve"> programs</w:t>
      </w:r>
      <w:r>
        <w:rPr>
          <w:rFonts w:ascii="Times New Roman" w:hAnsi="Times New Roman" w:cs="Times New Roman"/>
          <w:sz w:val="24"/>
          <w:szCs w:val="24"/>
        </w:rPr>
        <w:t>.</w:t>
      </w:r>
    </w:p>
    <w:p w14:paraId="2451CF0C" w14:textId="77777777" w:rsidR="002005D1" w:rsidRDefault="002005D1" w:rsidP="006C26C1">
      <w:pPr>
        <w:pStyle w:val="NoSpacing"/>
        <w:numPr>
          <w:ilvl w:val="0"/>
          <w:numId w:val="18"/>
        </w:numPr>
        <w:ind w:left="720" w:hanging="360"/>
        <w:jc w:val="both"/>
        <w:rPr>
          <w:rFonts w:ascii="Times New Roman" w:hAnsi="Times New Roman" w:cs="Times New Roman"/>
          <w:sz w:val="24"/>
          <w:szCs w:val="24"/>
        </w:rPr>
      </w:pPr>
      <w:r w:rsidRPr="009E1CFD">
        <w:rPr>
          <w:rFonts w:ascii="Times New Roman" w:hAnsi="Times New Roman" w:cs="Times New Roman"/>
          <w:sz w:val="24"/>
          <w:szCs w:val="24"/>
        </w:rPr>
        <w:t>Educating customers on how these programs can help them save money on their utility bills, reduce energy consumption</w:t>
      </w:r>
      <w:r>
        <w:rPr>
          <w:rFonts w:ascii="Times New Roman" w:hAnsi="Times New Roman" w:cs="Times New Roman"/>
          <w:sz w:val="24"/>
          <w:szCs w:val="24"/>
        </w:rPr>
        <w:t>,</w:t>
      </w:r>
      <w:r w:rsidRPr="009E1CFD">
        <w:rPr>
          <w:rFonts w:ascii="Times New Roman" w:hAnsi="Times New Roman" w:cs="Times New Roman"/>
          <w:sz w:val="24"/>
          <w:szCs w:val="24"/>
        </w:rPr>
        <w:t xml:space="preserve"> and keep costs down for all customers in Washington.</w:t>
      </w:r>
    </w:p>
    <w:p w14:paraId="2451CF0D" w14:textId="77777777" w:rsidR="002005D1" w:rsidRPr="009E1CFD" w:rsidRDefault="002005D1" w:rsidP="002005D1">
      <w:pPr>
        <w:pStyle w:val="NoSpacing"/>
        <w:jc w:val="both"/>
        <w:rPr>
          <w:rFonts w:ascii="Times New Roman" w:hAnsi="Times New Roman" w:cs="Times New Roman"/>
          <w:sz w:val="24"/>
          <w:szCs w:val="24"/>
        </w:rPr>
      </w:pPr>
    </w:p>
    <w:p w14:paraId="2451CF0E" w14:textId="77777777" w:rsidR="002005D1"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 xml:space="preserve">The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sidRPr="009E1CFD">
        <w:rPr>
          <w:rFonts w:ascii="Times New Roman" w:hAnsi="Times New Roman" w:cs="Times New Roman"/>
          <w:sz w:val="24"/>
          <w:szCs w:val="24"/>
        </w:rPr>
        <w:t xml:space="preserve"> advertising campaign is comprised of a multi-media mix designed to reach as many customers as possible with the greatest frequency. Various communications channels were utilized to optimize effectiveness, frequency and coverage and to</w:t>
      </w:r>
      <w:r w:rsidR="00210B55">
        <w:rPr>
          <w:rFonts w:ascii="Times New Roman" w:hAnsi="Times New Roman" w:cs="Times New Roman"/>
          <w:sz w:val="24"/>
          <w:szCs w:val="24"/>
        </w:rPr>
        <w:t xml:space="preserve"> build on the messages. Table </w:t>
      </w:r>
      <w:r w:rsidR="00B24613">
        <w:rPr>
          <w:rFonts w:ascii="Times New Roman" w:hAnsi="Times New Roman" w:cs="Times New Roman"/>
          <w:sz w:val="24"/>
          <w:szCs w:val="24"/>
        </w:rPr>
        <w:t>2</w:t>
      </w:r>
      <w:r w:rsidR="006C26C1">
        <w:rPr>
          <w:rFonts w:ascii="Times New Roman" w:hAnsi="Times New Roman" w:cs="Times New Roman"/>
          <w:sz w:val="24"/>
          <w:szCs w:val="24"/>
        </w:rPr>
        <w:t>1</w:t>
      </w:r>
      <w:r w:rsidRPr="009E1CFD">
        <w:rPr>
          <w:rFonts w:ascii="Times New Roman" w:hAnsi="Times New Roman" w:cs="Times New Roman"/>
          <w:sz w:val="24"/>
          <w:szCs w:val="24"/>
        </w:rPr>
        <w:t xml:space="preserve"> outlines the</w:t>
      </w:r>
      <w:r>
        <w:rPr>
          <w:rFonts w:ascii="Times New Roman" w:hAnsi="Times New Roman" w:cs="Times New Roman"/>
          <w:sz w:val="24"/>
          <w:szCs w:val="24"/>
        </w:rPr>
        <w:t xml:space="preserve"> </w:t>
      </w:r>
      <w:r w:rsidR="001F5994">
        <w:rPr>
          <w:rFonts w:ascii="Times New Roman" w:hAnsi="Times New Roman" w:cs="Times New Roman"/>
          <w:sz w:val="24"/>
          <w:szCs w:val="24"/>
        </w:rPr>
        <w:t xml:space="preserve">Washington </w:t>
      </w:r>
      <w:r>
        <w:rPr>
          <w:rFonts w:ascii="Times New Roman" w:hAnsi="Times New Roman" w:cs="Times New Roman"/>
          <w:sz w:val="24"/>
          <w:szCs w:val="24"/>
        </w:rPr>
        <w:t>media channels used, the</w:t>
      </w:r>
      <w:r w:rsidRPr="009E1CFD">
        <w:rPr>
          <w:rFonts w:ascii="Times New Roman" w:hAnsi="Times New Roman" w:cs="Times New Roman"/>
          <w:sz w:val="24"/>
          <w:szCs w:val="24"/>
        </w:rPr>
        <w:t xml:space="preserve"> value </w:t>
      </w:r>
      <w:r>
        <w:rPr>
          <w:rFonts w:ascii="Times New Roman" w:hAnsi="Times New Roman" w:cs="Times New Roman"/>
          <w:sz w:val="24"/>
          <w:szCs w:val="24"/>
        </w:rPr>
        <w:t>of each</w:t>
      </w:r>
      <w:r w:rsidRPr="009E1CFD">
        <w:rPr>
          <w:rFonts w:ascii="Times New Roman" w:hAnsi="Times New Roman" w:cs="Times New Roman"/>
          <w:sz w:val="24"/>
          <w:szCs w:val="24"/>
        </w:rPr>
        <w:t xml:space="preserve"> channel</w:t>
      </w:r>
      <w:r>
        <w:rPr>
          <w:rFonts w:ascii="Times New Roman" w:hAnsi="Times New Roman" w:cs="Times New Roman"/>
          <w:sz w:val="24"/>
          <w:szCs w:val="24"/>
        </w:rPr>
        <w:t>,</w:t>
      </w:r>
      <w:r w:rsidRPr="009E1CFD">
        <w:rPr>
          <w:rFonts w:ascii="Times New Roman" w:hAnsi="Times New Roman" w:cs="Times New Roman"/>
          <w:sz w:val="24"/>
          <w:szCs w:val="24"/>
        </w:rPr>
        <w:t xml:space="preserve"> and the impressions achieved to date</w:t>
      </w:r>
      <w:r>
        <w:rPr>
          <w:rFonts w:ascii="Times New Roman" w:hAnsi="Times New Roman" w:cs="Times New Roman"/>
          <w:sz w:val="24"/>
          <w:szCs w:val="24"/>
        </w:rPr>
        <w:t xml:space="preserve">. </w:t>
      </w:r>
    </w:p>
    <w:p w14:paraId="2451CF0F" w14:textId="77777777" w:rsidR="002005D1" w:rsidRDefault="002005D1" w:rsidP="002005D1">
      <w:pPr>
        <w:pStyle w:val="NoSpacing"/>
        <w:jc w:val="both"/>
        <w:rPr>
          <w:rFonts w:ascii="Times New Roman" w:hAnsi="Times New Roman" w:cs="Times New Roman"/>
          <w:sz w:val="24"/>
          <w:szCs w:val="24"/>
        </w:rPr>
      </w:pPr>
    </w:p>
    <w:p w14:paraId="2451CF10" w14:textId="77777777" w:rsidR="002005D1" w:rsidRPr="007716B1" w:rsidRDefault="00B24613" w:rsidP="002005D1">
      <w:pPr>
        <w:pStyle w:val="No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2</w:t>
      </w:r>
      <w:r w:rsidR="006C26C1">
        <w:rPr>
          <w:rFonts w:ascii="Times New Roman" w:hAnsi="Times New Roman" w:cs="Times New Roman"/>
          <w:color w:val="548DD4" w:themeColor="text2" w:themeTint="99"/>
          <w:sz w:val="24"/>
          <w:szCs w:val="24"/>
        </w:rPr>
        <w:t>1</w:t>
      </w:r>
    </w:p>
    <w:p w14:paraId="2451CF11" w14:textId="77777777" w:rsidR="002005D1" w:rsidRPr="007716B1" w:rsidRDefault="00B24613" w:rsidP="002005D1">
      <w:pPr>
        <w:pStyle w:val="No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2015</w:t>
      </w:r>
      <w:r w:rsidR="002005D1">
        <w:rPr>
          <w:rFonts w:ascii="Times New Roman" w:hAnsi="Times New Roman" w:cs="Times New Roman"/>
          <w:color w:val="548DD4" w:themeColor="text2" w:themeTint="99"/>
          <w:sz w:val="24"/>
          <w:szCs w:val="24"/>
        </w:rPr>
        <w:t xml:space="preserve"> Media Channels</w:t>
      </w:r>
    </w:p>
    <w:p w14:paraId="2451CF12" w14:textId="77777777" w:rsidR="002005D1" w:rsidRPr="009E1CFD" w:rsidRDefault="002005D1" w:rsidP="002005D1">
      <w:pPr>
        <w:pStyle w:val="NoSpacing"/>
        <w:jc w:val="center"/>
        <w:rPr>
          <w:rFonts w:ascii="Times New Roman" w:hAnsi="Times New Roman" w:cs="Times New Roman"/>
          <w:sz w:val="24"/>
          <w:szCs w:val="24"/>
        </w:rPr>
      </w:pPr>
    </w:p>
    <w:tbl>
      <w:tblPr>
        <w:tblStyle w:val="TableGrid"/>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438"/>
        <w:gridCol w:w="3765"/>
        <w:gridCol w:w="2373"/>
      </w:tblGrid>
      <w:tr w:rsidR="002005D1" w:rsidRPr="009E1CFD" w14:paraId="2451CF16" w14:textId="77777777" w:rsidTr="00986EBF">
        <w:trPr>
          <w:tblHeader/>
          <w:jc w:val="center"/>
        </w:trPr>
        <w:tc>
          <w:tcPr>
            <w:tcW w:w="3438" w:type="dxa"/>
            <w:shd w:val="clear" w:color="auto" w:fill="C6D9F1" w:themeFill="text2" w:themeFillTint="33"/>
            <w:vAlign w:val="bottom"/>
          </w:tcPr>
          <w:p w14:paraId="2451CF13" w14:textId="77777777" w:rsidR="002005D1" w:rsidRPr="00986EBF" w:rsidRDefault="002005D1" w:rsidP="00CB1948">
            <w:pPr>
              <w:pStyle w:val="NoSpacing"/>
              <w:rPr>
                <w:rFonts w:cs="Times New Roman"/>
                <w:b/>
                <w:sz w:val="20"/>
                <w:szCs w:val="20"/>
              </w:rPr>
            </w:pPr>
            <w:r w:rsidRPr="00986EBF">
              <w:rPr>
                <w:rFonts w:cs="Times New Roman"/>
                <w:b/>
                <w:sz w:val="20"/>
                <w:szCs w:val="20"/>
              </w:rPr>
              <w:t>Communication Channel</w:t>
            </w:r>
          </w:p>
        </w:tc>
        <w:tc>
          <w:tcPr>
            <w:tcW w:w="3765" w:type="dxa"/>
            <w:shd w:val="clear" w:color="auto" w:fill="C6D9F1" w:themeFill="text2" w:themeFillTint="33"/>
            <w:vAlign w:val="bottom"/>
          </w:tcPr>
          <w:p w14:paraId="2451CF14" w14:textId="77777777" w:rsidR="002005D1" w:rsidRPr="00986EBF" w:rsidRDefault="002005D1" w:rsidP="00CB1948">
            <w:pPr>
              <w:pStyle w:val="NoSpacing"/>
              <w:rPr>
                <w:rFonts w:cs="Times New Roman"/>
                <w:b/>
                <w:sz w:val="20"/>
                <w:szCs w:val="20"/>
              </w:rPr>
            </w:pPr>
            <w:r w:rsidRPr="00986EBF">
              <w:rPr>
                <w:rFonts w:cs="Times New Roman"/>
                <w:b/>
                <w:sz w:val="20"/>
                <w:szCs w:val="20"/>
              </w:rPr>
              <w:t>Value to Communication Portfolio</w:t>
            </w:r>
          </w:p>
        </w:tc>
        <w:tc>
          <w:tcPr>
            <w:tcW w:w="2373" w:type="dxa"/>
            <w:shd w:val="clear" w:color="auto" w:fill="C6D9F1" w:themeFill="text2" w:themeFillTint="33"/>
            <w:vAlign w:val="bottom"/>
          </w:tcPr>
          <w:p w14:paraId="2451CF15" w14:textId="77777777" w:rsidR="002005D1" w:rsidRPr="00986EBF" w:rsidRDefault="002005D1" w:rsidP="00CB1948">
            <w:pPr>
              <w:pStyle w:val="NoSpacing"/>
              <w:rPr>
                <w:rFonts w:cs="Times New Roman"/>
                <w:b/>
                <w:sz w:val="20"/>
                <w:szCs w:val="20"/>
              </w:rPr>
            </w:pPr>
            <w:r w:rsidRPr="00986EBF">
              <w:rPr>
                <w:rFonts w:cs="Times New Roman"/>
                <w:b/>
                <w:sz w:val="20"/>
                <w:szCs w:val="20"/>
              </w:rPr>
              <w:t xml:space="preserve">2015 Placements </w:t>
            </w:r>
          </w:p>
        </w:tc>
      </w:tr>
      <w:tr w:rsidR="002005D1" w:rsidRPr="009E1CFD" w14:paraId="2451CF1B" w14:textId="77777777" w:rsidTr="00304D6C">
        <w:trPr>
          <w:jc w:val="center"/>
        </w:trPr>
        <w:tc>
          <w:tcPr>
            <w:tcW w:w="3438" w:type="dxa"/>
          </w:tcPr>
          <w:p w14:paraId="2451CF17" w14:textId="77777777" w:rsidR="002005D1" w:rsidRPr="00986EBF" w:rsidRDefault="002005D1" w:rsidP="00CB1948">
            <w:pPr>
              <w:pStyle w:val="NoSpacing"/>
              <w:rPr>
                <w:rFonts w:cs="Times New Roman"/>
                <w:sz w:val="20"/>
                <w:szCs w:val="20"/>
              </w:rPr>
            </w:pPr>
            <w:r w:rsidRPr="00986EBF">
              <w:rPr>
                <w:rFonts w:cs="Times New Roman"/>
                <w:sz w:val="20"/>
                <w:szCs w:val="20"/>
              </w:rPr>
              <w:t xml:space="preserve">Television </w:t>
            </w:r>
          </w:p>
          <w:p w14:paraId="2451CF18" w14:textId="77777777" w:rsidR="002005D1" w:rsidRPr="00986EBF" w:rsidRDefault="002005D1" w:rsidP="00CB1948">
            <w:pPr>
              <w:pStyle w:val="NoSpacing"/>
              <w:rPr>
                <w:rFonts w:cs="Times New Roman"/>
                <w:i/>
                <w:sz w:val="20"/>
                <w:szCs w:val="20"/>
              </w:rPr>
            </w:pPr>
          </w:p>
        </w:tc>
        <w:tc>
          <w:tcPr>
            <w:tcW w:w="3765" w:type="dxa"/>
          </w:tcPr>
          <w:p w14:paraId="2451CF19" w14:textId="77777777" w:rsidR="002005D1" w:rsidRPr="00986EBF" w:rsidRDefault="002005D1" w:rsidP="00CB1948">
            <w:pPr>
              <w:pStyle w:val="NoSpacing"/>
              <w:rPr>
                <w:rFonts w:cs="Times New Roman"/>
                <w:sz w:val="20"/>
                <w:szCs w:val="20"/>
              </w:rPr>
            </w:pPr>
            <w:r w:rsidRPr="00986EBF">
              <w:rPr>
                <w:rFonts w:cs="Times New Roman"/>
                <w:sz w:val="20"/>
                <w:szCs w:val="20"/>
              </w:rPr>
              <w:t>Television has the broadest reach and works as the most effective media channel</w:t>
            </w:r>
          </w:p>
        </w:tc>
        <w:tc>
          <w:tcPr>
            <w:tcW w:w="2373" w:type="dxa"/>
          </w:tcPr>
          <w:p w14:paraId="2451CF1A" w14:textId="77777777" w:rsidR="002005D1" w:rsidRPr="00986EBF" w:rsidRDefault="002005D1" w:rsidP="00CB1948">
            <w:pPr>
              <w:pStyle w:val="NoSpacing"/>
              <w:rPr>
                <w:rFonts w:cs="Times New Roman"/>
                <w:sz w:val="20"/>
                <w:szCs w:val="20"/>
              </w:rPr>
            </w:pPr>
            <w:r w:rsidRPr="00986EBF">
              <w:rPr>
                <w:rFonts w:cs="Times New Roman"/>
                <w:sz w:val="20"/>
                <w:szCs w:val="20"/>
              </w:rPr>
              <w:t>4,635,800 impressions</w:t>
            </w:r>
          </w:p>
        </w:tc>
      </w:tr>
      <w:tr w:rsidR="002005D1" w:rsidRPr="009E1CFD" w14:paraId="2451CF20" w14:textId="77777777" w:rsidTr="00304D6C">
        <w:trPr>
          <w:jc w:val="center"/>
        </w:trPr>
        <w:tc>
          <w:tcPr>
            <w:tcW w:w="3438" w:type="dxa"/>
          </w:tcPr>
          <w:p w14:paraId="2451CF1C" w14:textId="77777777" w:rsidR="002005D1" w:rsidRPr="00986EBF" w:rsidRDefault="002005D1" w:rsidP="00CB1948">
            <w:pPr>
              <w:pStyle w:val="NoSpacing"/>
              <w:rPr>
                <w:rFonts w:cs="Times New Roman"/>
                <w:sz w:val="20"/>
                <w:szCs w:val="20"/>
              </w:rPr>
            </w:pPr>
            <w:r w:rsidRPr="00986EBF">
              <w:rPr>
                <w:rFonts w:cs="Times New Roman"/>
                <w:sz w:val="20"/>
                <w:szCs w:val="20"/>
              </w:rPr>
              <w:t>Radio</w:t>
            </w:r>
          </w:p>
          <w:p w14:paraId="2451CF1D" w14:textId="77777777" w:rsidR="002005D1" w:rsidRPr="00986EBF" w:rsidRDefault="002005D1" w:rsidP="00CB1948">
            <w:pPr>
              <w:pStyle w:val="NoSpacing"/>
              <w:rPr>
                <w:rFonts w:cs="Times New Roman"/>
                <w:sz w:val="20"/>
                <w:szCs w:val="20"/>
              </w:rPr>
            </w:pPr>
          </w:p>
        </w:tc>
        <w:tc>
          <w:tcPr>
            <w:tcW w:w="3765" w:type="dxa"/>
          </w:tcPr>
          <w:p w14:paraId="2451CF1E" w14:textId="77777777" w:rsidR="002005D1" w:rsidRPr="00986EBF" w:rsidRDefault="002005D1" w:rsidP="00CB1948">
            <w:pPr>
              <w:pStyle w:val="NoSpacing"/>
              <w:rPr>
                <w:rFonts w:cs="Times New Roman"/>
                <w:sz w:val="20"/>
                <w:szCs w:val="20"/>
              </w:rPr>
            </w:pPr>
            <w:r w:rsidRPr="00986EBF">
              <w:rPr>
                <w:rFonts w:cs="Times New Roman"/>
                <w:sz w:val="20"/>
                <w:szCs w:val="20"/>
              </w:rPr>
              <w:t>Given the cost relative to television, radio builds on communications delivered via television while providing for increased frequency of messages</w:t>
            </w:r>
          </w:p>
        </w:tc>
        <w:tc>
          <w:tcPr>
            <w:tcW w:w="2373" w:type="dxa"/>
          </w:tcPr>
          <w:p w14:paraId="2451CF1F" w14:textId="77777777" w:rsidR="002005D1" w:rsidRPr="00986EBF" w:rsidRDefault="002005D1" w:rsidP="00CB1948">
            <w:pPr>
              <w:pStyle w:val="NoSpacing"/>
              <w:rPr>
                <w:rFonts w:cs="Times New Roman"/>
                <w:sz w:val="20"/>
                <w:szCs w:val="20"/>
              </w:rPr>
            </w:pPr>
            <w:r w:rsidRPr="00986EBF">
              <w:rPr>
                <w:rFonts w:cs="Times New Roman"/>
                <w:sz w:val="20"/>
                <w:szCs w:val="20"/>
              </w:rPr>
              <w:t>2,472,100 impressions</w:t>
            </w:r>
          </w:p>
        </w:tc>
      </w:tr>
      <w:tr w:rsidR="002005D1" w:rsidRPr="009E1CFD" w14:paraId="2451CF25" w14:textId="77777777" w:rsidTr="00304D6C">
        <w:trPr>
          <w:jc w:val="center"/>
        </w:trPr>
        <w:tc>
          <w:tcPr>
            <w:tcW w:w="3438" w:type="dxa"/>
          </w:tcPr>
          <w:p w14:paraId="2451CF21" w14:textId="77777777" w:rsidR="002005D1" w:rsidRPr="00986EBF" w:rsidRDefault="002005D1" w:rsidP="00CB1948">
            <w:pPr>
              <w:pStyle w:val="NoSpacing"/>
              <w:rPr>
                <w:rFonts w:cs="Times New Roman"/>
                <w:sz w:val="20"/>
                <w:szCs w:val="20"/>
              </w:rPr>
            </w:pPr>
            <w:r w:rsidRPr="00986EBF">
              <w:rPr>
                <w:rFonts w:cs="Times New Roman"/>
                <w:sz w:val="20"/>
                <w:szCs w:val="20"/>
              </w:rPr>
              <w:t>Newspaper/Magazine</w:t>
            </w:r>
          </w:p>
          <w:p w14:paraId="2451CF22" w14:textId="77777777" w:rsidR="002005D1" w:rsidRPr="00986EBF" w:rsidRDefault="002005D1" w:rsidP="00CB1948">
            <w:pPr>
              <w:pStyle w:val="NoSpacing"/>
              <w:rPr>
                <w:rFonts w:cs="Times New Roman"/>
                <w:sz w:val="20"/>
                <w:szCs w:val="20"/>
              </w:rPr>
            </w:pPr>
          </w:p>
        </w:tc>
        <w:tc>
          <w:tcPr>
            <w:tcW w:w="3765" w:type="dxa"/>
          </w:tcPr>
          <w:p w14:paraId="2451CF23" w14:textId="77777777" w:rsidR="002005D1" w:rsidRPr="00986EBF" w:rsidRDefault="002005D1" w:rsidP="00CB1948">
            <w:pPr>
              <w:pStyle w:val="NoSpacing"/>
              <w:rPr>
                <w:rFonts w:cs="Times New Roman"/>
                <w:sz w:val="20"/>
                <w:szCs w:val="20"/>
              </w:rPr>
            </w:pPr>
            <w:r w:rsidRPr="00986EBF">
              <w:rPr>
                <w:rFonts w:cs="Times New Roman"/>
                <w:sz w:val="20"/>
                <w:szCs w:val="20"/>
              </w:rPr>
              <w:t>Supports broadcast messages and guarantees coverage in areas harder to reach with broadcast</w:t>
            </w:r>
          </w:p>
        </w:tc>
        <w:tc>
          <w:tcPr>
            <w:tcW w:w="2373" w:type="dxa"/>
          </w:tcPr>
          <w:p w14:paraId="2451CF24" w14:textId="77777777" w:rsidR="002005D1" w:rsidRPr="00986EBF" w:rsidRDefault="002005D1" w:rsidP="00CB1948">
            <w:pPr>
              <w:pStyle w:val="NoSpacing"/>
              <w:rPr>
                <w:rFonts w:cs="Times New Roman"/>
                <w:sz w:val="20"/>
                <w:szCs w:val="20"/>
              </w:rPr>
            </w:pPr>
            <w:r w:rsidRPr="00986EBF">
              <w:rPr>
                <w:rFonts w:cs="Times New Roman"/>
                <w:sz w:val="20"/>
                <w:szCs w:val="20"/>
              </w:rPr>
              <w:t>987,958 impressions</w:t>
            </w:r>
          </w:p>
        </w:tc>
      </w:tr>
      <w:tr w:rsidR="002005D1" w:rsidRPr="009E1CFD" w14:paraId="2451CF29" w14:textId="77777777" w:rsidTr="00304D6C">
        <w:trPr>
          <w:jc w:val="center"/>
        </w:trPr>
        <w:tc>
          <w:tcPr>
            <w:tcW w:w="3438" w:type="dxa"/>
          </w:tcPr>
          <w:p w14:paraId="2451CF26" w14:textId="77777777" w:rsidR="002005D1" w:rsidRPr="00986EBF" w:rsidRDefault="002005D1" w:rsidP="00CB1948">
            <w:pPr>
              <w:pStyle w:val="NoSpacing"/>
              <w:rPr>
                <w:rFonts w:cs="Times New Roman"/>
                <w:sz w:val="20"/>
                <w:szCs w:val="20"/>
              </w:rPr>
            </w:pPr>
            <w:r w:rsidRPr="00986EBF">
              <w:rPr>
                <w:rFonts w:cs="Times New Roman"/>
                <w:sz w:val="20"/>
                <w:szCs w:val="20"/>
              </w:rPr>
              <w:t>Online advertising</w:t>
            </w:r>
          </w:p>
        </w:tc>
        <w:tc>
          <w:tcPr>
            <w:tcW w:w="3765" w:type="dxa"/>
          </w:tcPr>
          <w:p w14:paraId="2451CF27" w14:textId="77777777" w:rsidR="002005D1" w:rsidRPr="00986EBF" w:rsidRDefault="002005D1" w:rsidP="00CB1948">
            <w:pPr>
              <w:pStyle w:val="NoSpacing"/>
              <w:rPr>
                <w:rFonts w:cs="Times New Roman"/>
                <w:sz w:val="20"/>
                <w:szCs w:val="20"/>
              </w:rPr>
            </w:pPr>
            <w:r w:rsidRPr="00986EBF">
              <w:rPr>
                <w:rFonts w:cs="Times New Roman"/>
                <w:sz w:val="20"/>
                <w:szCs w:val="20"/>
              </w:rPr>
              <w:t>Digital display and Google Search</w:t>
            </w:r>
          </w:p>
        </w:tc>
        <w:tc>
          <w:tcPr>
            <w:tcW w:w="2373" w:type="dxa"/>
          </w:tcPr>
          <w:p w14:paraId="2451CF28" w14:textId="77777777" w:rsidR="002005D1" w:rsidRPr="00986EBF" w:rsidRDefault="002005D1" w:rsidP="00CB1948">
            <w:pPr>
              <w:pStyle w:val="NoSpacing"/>
              <w:rPr>
                <w:rFonts w:cs="Times New Roman"/>
                <w:bCs/>
                <w:iCs/>
                <w:sz w:val="20"/>
                <w:szCs w:val="20"/>
              </w:rPr>
            </w:pPr>
            <w:r w:rsidRPr="00986EBF">
              <w:rPr>
                <w:rFonts w:cs="Times New Roman"/>
                <w:bCs/>
                <w:iCs/>
                <w:sz w:val="20"/>
                <w:szCs w:val="20"/>
              </w:rPr>
              <w:t>3,935,132 impressions and 55,991 search impressions</w:t>
            </w:r>
          </w:p>
        </w:tc>
      </w:tr>
      <w:tr w:rsidR="002005D1" w:rsidRPr="009E1CFD" w14:paraId="2451CF2D" w14:textId="77777777" w:rsidTr="00304D6C">
        <w:trPr>
          <w:jc w:val="center"/>
        </w:trPr>
        <w:tc>
          <w:tcPr>
            <w:tcW w:w="3438" w:type="dxa"/>
          </w:tcPr>
          <w:p w14:paraId="2451CF2A" w14:textId="77777777" w:rsidR="002005D1" w:rsidRPr="00986EBF" w:rsidRDefault="002005D1" w:rsidP="00CB1948">
            <w:pPr>
              <w:pStyle w:val="NoSpacing"/>
              <w:rPr>
                <w:rFonts w:cs="Times New Roman"/>
                <w:sz w:val="20"/>
                <w:szCs w:val="20"/>
              </w:rPr>
            </w:pPr>
            <w:r w:rsidRPr="00986EBF">
              <w:rPr>
                <w:rFonts w:cs="Times New Roman"/>
                <w:sz w:val="20"/>
                <w:szCs w:val="20"/>
              </w:rPr>
              <w:t xml:space="preserve">Facebook Advertising </w:t>
            </w:r>
          </w:p>
        </w:tc>
        <w:tc>
          <w:tcPr>
            <w:tcW w:w="3765" w:type="dxa"/>
          </w:tcPr>
          <w:p w14:paraId="2451CF2B" w14:textId="77777777" w:rsidR="002005D1" w:rsidRPr="00986EBF" w:rsidRDefault="002005D1" w:rsidP="00CB1948">
            <w:pPr>
              <w:pStyle w:val="NoSpacing"/>
              <w:rPr>
                <w:rFonts w:cs="Times New Roman"/>
                <w:sz w:val="20"/>
                <w:szCs w:val="20"/>
              </w:rPr>
            </w:pPr>
            <w:r w:rsidRPr="00986EBF">
              <w:rPr>
                <w:rFonts w:cs="Times New Roman"/>
                <w:sz w:val="20"/>
                <w:szCs w:val="20"/>
              </w:rPr>
              <w:t>Advertising on Facebook</w:t>
            </w:r>
          </w:p>
        </w:tc>
        <w:tc>
          <w:tcPr>
            <w:tcW w:w="2373" w:type="dxa"/>
          </w:tcPr>
          <w:p w14:paraId="2451CF2C" w14:textId="77777777" w:rsidR="002005D1" w:rsidRPr="00986EBF" w:rsidRDefault="002005D1" w:rsidP="00CB1948">
            <w:pPr>
              <w:pStyle w:val="NoSpacing"/>
              <w:rPr>
                <w:rFonts w:cs="Times New Roman"/>
                <w:sz w:val="20"/>
                <w:szCs w:val="20"/>
              </w:rPr>
            </w:pPr>
            <w:r w:rsidRPr="00986EBF">
              <w:rPr>
                <w:rFonts w:cs="Times New Roman"/>
                <w:sz w:val="20"/>
                <w:szCs w:val="20"/>
              </w:rPr>
              <w:t>639,405 impressions</w:t>
            </w:r>
          </w:p>
        </w:tc>
      </w:tr>
      <w:tr w:rsidR="002005D1" w:rsidRPr="009E1CFD" w14:paraId="2451CF32" w14:textId="77777777" w:rsidTr="00304D6C">
        <w:trPr>
          <w:jc w:val="center"/>
        </w:trPr>
        <w:tc>
          <w:tcPr>
            <w:tcW w:w="3438" w:type="dxa"/>
          </w:tcPr>
          <w:p w14:paraId="2451CF2E" w14:textId="77777777" w:rsidR="002005D1" w:rsidRPr="00986EBF" w:rsidRDefault="002005D1" w:rsidP="00CB1948">
            <w:pPr>
              <w:pStyle w:val="NoSpacing"/>
              <w:rPr>
                <w:rFonts w:cs="Times New Roman"/>
                <w:sz w:val="20"/>
                <w:szCs w:val="20"/>
              </w:rPr>
            </w:pPr>
            <w:r w:rsidRPr="00986EBF">
              <w:rPr>
                <w:rFonts w:cs="Times New Roman"/>
                <w:sz w:val="20"/>
                <w:szCs w:val="20"/>
              </w:rPr>
              <w:t>Twitter @PacificPower_WA</w:t>
            </w:r>
          </w:p>
        </w:tc>
        <w:tc>
          <w:tcPr>
            <w:tcW w:w="3765" w:type="dxa"/>
          </w:tcPr>
          <w:p w14:paraId="2451CF2F" w14:textId="77777777" w:rsidR="002005D1" w:rsidRPr="00986EBF" w:rsidRDefault="002005D1" w:rsidP="00CB1948">
            <w:pPr>
              <w:pStyle w:val="NoSpacing"/>
              <w:rPr>
                <w:rFonts w:cs="Times New Roman"/>
                <w:sz w:val="20"/>
                <w:szCs w:val="20"/>
              </w:rPr>
            </w:pPr>
            <w:r w:rsidRPr="00986EBF">
              <w:rPr>
                <w:rFonts w:cs="Times New Roman"/>
                <w:sz w:val="20"/>
                <w:szCs w:val="20"/>
              </w:rPr>
              <w:t>Awareness for early adopters regarding energy efficiency tips</w:t>
            </w:r>
          </w:p>
          <w:p w14:paraId="2451CF30" w14:textId="77777777" w:rsidR="002005D1" w:rsidRPr="00986EBF" w:rsidRDefault="002005D1" w:rsidP="00CB1948">
            <w:pPr>
              <w:pStyle w:val="NoSpacing"/>
              <w:rPr>
                <w:rFonts w:cs="Times New Roman"/>
                <w:sz w:val="20"/>
                <w:szCs w:val="20"/>
              </w:rPr>
            </w:pPr>
            <w:r w:rsidRPr="00986EBF">
              <w:rPr>
                <w:rFonts w:cs="Times New Roman"/>
                <w:sz w:val="20"/>
                <w:szCs w:val="20"/>
              </w:rPr>
              <w:t>Tweets posted on a weekly basis</w:t>
            </w:r>
          </w:p>
        </w:tc>
        <w:tc>
          <w:tcPr>
            <w:tcW w:w="2373" w:type="dxa"/>
          </w:tcPr>
          <w:p w14:paraId="2451CF31" w14:textId="77777777" w:rsidR="002005D1" w:rsidRPr="00986EBF" w:rsidRDefault="001F5994" w:rsidP="00CB1948">
            <w:pPr>
              <w:pStyle w:val="NoSpacing"/>
              <w:rPr>
                <w:rFonts w:cs="Times New Roman"/>
                <w:sz w:val="20"/>
                <w:szCs w:val="20"/>
              </w:rPr>
            </w:pPr>
            <w:r>
              <w:rPr>
                <w:rFonts w:cs="Times New Roman"/>
                <w:sz w:val="20"/>
                <w:szCs w:val="20"/>
              </w:rPr>
              <w:t>626</w:t>
            </w:r>
            <w:r w:rsidR="002005D1" w:rsidRPr="00986EBF">
              <w:rPr>
                <w:rFonts w:cs="Times New Roman"/>
                <w:sz w:val="20"/>
                <w:szCs w:val="20"/>
              </w:rPr>
              <w:t xml:space="preserve"> followers through December 201</w:t>
            </w:r>
            <w:r>
              <w:rPr>
                <w:rFonts w:cs="Times New Roman"/>
                <w:sz w:val="20"/>
                <w:szCs w:val="20"/>
              </w:rPr>
              <w:t>5</w:t>
            </w:r>
          </w:p>
        </w:tc>
      </w:tr>
      <w:tr w:rsidR="002005D1" w:rsidRPr="009E1CFD" w14:paraId="2451CF38" w14:textId="77777777" w:rsidTr="00304D6C">
        <w:trPr>
          <w:trHeight w:val="791"/>
          <w:jc w:val="center"/>
        </w:trPr>
        <w:tc>
          <w:tcPr>
            <w:tcW w:w="3438" w:type="dxa"/>
          </w:tcPr>
          <w:p w14:paraId="2451CF33" w14:textId="77777777" w:rsidR="002005D1" w:rsidRPr="00986EBF" w:rsidRDefault="002005D1" w:rsidP="00CB1948">
            <w:pPr>
              <w:pStyle w:val="NoSpacing"/>
              <w:rPr>
                <w:rFonts w:cs="Times New Roman"/>
                <w:sz w:val="20"/>
                <w:szCs w:val="20"/>
              </w:rPr>
            </w:pPr>
            <w:r w:rsidRPr="00986EBF">
              <w:rPr>
                <w:rFonts w:cs="Times New Roman"/>
                <w:sz w:val="20"/>
                <w:szCs w:val="20"/>
              </w:rPr>
              <w:t>Facebook</w:t>
            </w:r>
          </w:p>
          <w:p w14:paraId="2451CF34" w14:textId="77777777" w:rsidR="002005D1" w:rsidRPr="00986EBF" w:rsidRDefault="002005D1" w:rsidP="00CB1948">
            <w:pPr>
              <w:pStyle w:val="NoSpacing"/>
              <w:rPr>
                <w:rFonts w:cs="Times New Roman"/>
                <w:sz w:val="20"/>
                <w:szCs w:val="20"/>
              </w:rPr>
            </w:pPr>
            <w:r w:rsidRPr="00986EBF">
              <w:rPr>
                <w:rFonts w:cs="Times New Roman"/>
                <w:sz w:val="20"/>
                <w:szCs w:val="20"/>
              </w:rPr>
              <w:t>www.facebook.com/pacificpower.wattsmart</w:t>
            </w:r>
          </w:p>
          <w:p w14:paraId="2451CF35" w14:textId="77777777" w:rsidR="002005D1" w:rsidRPr="00986EBF" w:rsidRDefault="002005D1" w:rsidP="00CB1948">
            <w:pPr>
              <w:pStyle w:val="NoSpacing"/>
              <w:rPr>
                <w:rFonts w:cs="Times New Roman"/>
                <w:sz w:val="20"/>
                <w:szCs w:val="20"/>
              </w:rPr>
            </w:pPr>
          </w:p>
        </w:tc>
        <w:tc>
          <w:tcPr>
            <w:tcW w:w="3765" w:type="dxa"/>
          </w:tcPr>
          <w:p w14:paraId="2451CF36" w14:textId="77777777" w:rsidR="002005D1" w:rsidRPr="00986EBF" w:rsidRDefault="002005D1" w:rsidP="00CB1948">
            <w:pPr>
              <w:pStyle w:val="NoSpacing"/>
              <w:rPr>
                <w:rFonts w:cs="Times New Roman"/>
                <w:sz w:val="20"/>
                <w:szCs w:val="20"/>
              </w:rPr>
            </w:pPr>
            <w:r w:rsidRPr="00986EBF">
              <w:rPr>
                <w:rFonts w:cs="Times New Roman"/>
                <w:sz w:val="20"/>
                <w:szCs w:val="20"/>
              </w:rPr>
              <w:t>Awareness for early adopters regarding energy efficiency tips and a location to share information</w:t>
            </w:r>
          </w:p>
        </w:tc>
        <w:tc>
          <w:tcPr>
            <w:tcW w:w="2373" w:type="dxa"/>
          </w:tcPr>
          <w:p w14:paraId="2451CF37" w14:textId="77777777" w:rsidR="002005D1" w:rsidRPr="00986EBF" w:rsidRDefault="001F5994" w:rsidP="00CB1948">
            <w:pPr>
              <w:pStyle w:val="NoSpacing"/>
              <w:rPr>
                <w:rFonts w:cs="Times New Roman"/>
                <w:sz w:val="20"/>
                <w:szCs w:val="20"/>
              </w:rPr>
            </w:pPr>
            <w:r>
              <w:rPr>
                <w:rFonts w:cs="Times New Roman"/>
                <w:sz w:val="20"/>
                <w:szCs w:val="20"/>
              </w:rPr>
              <w:t>16,741</w:t>
            </w:r>
            <w:r w:rsidR="002005D1" w:rsidRPr="00986EBF">
              <w:rPr>
                <w:rFonts w:cs="Times New Roman"/>
                <w:sz w:val="20"/>
                <w:szCs w:val="20"/>
              </w:rPr>
              <w:t xml:space="preserve"> fans through December 201</w:t>
            </w:r>
            <w:r>
              <w:rPr>
                <w:rFonts w:cs="Times New Roman"/>
                <w:sz w:val="20"/>
                <w:szCs w:val="20"/>
              </w:rPr>
              <w:t>5 (for all Pacific Power states)</w:t>
            </w:r>
          </w:p>
        </w:tc>
      </w:tr>
    </w:tbl>
    <w:p w14:paraId="2451CF39" w14:textId="77777777" w:rsidR="002005D1" w:rsidRPr="009E1CFD" w:rsidRDefault="002005D1" w:rsidP="002005D1">
      <w:pPr>
        <w:pStyle w:val="NoSpacing"/>
        <w:rPr>
          <w:rFonts w:ascii="Times New Roman" w:hAnsi="Times New Roman" w:cs="Times New Roman"/>
          <w:sz w:val="24"/>
          <w:szCs w:val="24"/>
        </w:rPr>
      </w:pPr>
    </w:p>
    <w:p w14:paraId="2451CF3A" w14:textId="77777777" w:rsidR="002005D1" w:rsidRPr="009E1CFD"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The total number impressions for the campaign in 201</w:t>
      </w:r>
      <w:r>
        <w:rPr>
          <w:rFonts w:ascii="Times New Roman" w:hAnsi="Times New Roman" w:cs="Times New Roman"/>
          <w:sz w:val="24"/>
          <w:szCs w:val="24"/>
        </w:rPr>
        <w:t>5</w:t>
      </w:r>
      <w:r w:rsidRPr="009E1CFD">
        <w:rPr>
          <w:rFonts w:ascii="Times New Roman" w:hAnsi="Times New Roman" w:cs="Times New Roman"/>
          <w:sz w:val="24"/>
          <w:szCs w:val="24"/>
        </w:rPr>
        <w:t xml:space="preserve"> were </w:t>
      </w:r>
      <w:r>
        <w:rPr>
          <w:rFonts w:ascii="Times New Roman" w:hAnsi="Times New Roman" w:cs="Times New Roman"/>
          <w:bCs/>
          <w:sz w:val="24"/>
          <w:szCs w:val="24"/>
        </w:rPr>
        <w:t>12,726,386</w:t>
      </w:r>
      <w:r w:rsidRPr="009E1CFD">
        <w:rPr>
          <w:rFonts w:ascii="Times New Roman" w:hAnsi="Times New Roman" w:cs="Times New Roman"/>
          <w:bCs/>
          <w:sz w:val="24"/>
          <w:szCs w:val="24"/>
        </w:rPr>
        <w:t>.</w:t>
      </w:r>
    </w:p>
    <w:p w14:paraId="2451CF3B" w14:textId="77777777" w:rsidR="002005D1" w:rsidRPr="009E1CFD" w:rsidRDefault="002005D1" w:rsidP="002005D1">
      <w:pPr>
        <w:pStyle w:val="NoSpacing"/>
        <w:rPr>
          <w:rFonts w:ascii="Times New Roman" w:hAnsi="Times New Roman" w:cs="Times New Roman"/>
          <w:sz w:val="24"/>
          <w:szCs w:val="24"/>
        </w:rPr>
      </w:pPr>
    </w:p>
    <w:p w14:paraId="2451CF3C" w14:textId="77777777" w:rsidR="002005D1" w:rsidRPr="009E1CFD" w:rsidRDefault="002005D1" w:rsidP="002005D1">
      <w:pPr>
        <w:pStyle w:val="NoSpacing"/>
        <w:rPr>
          <w:rFonts w:ascii="Times New Roman" w:hAnsi="Times New Roman" w:cs="Times New Roman"/>
          <w:sz w:val="24"/>
          <w:szCs w:val="24"/>
        </w:rPr>
      </w:pPr>
      <w:r w:rsidRPr="009E1CFD">
        <w:rPr>
          <w:rFonts w:ascii="Times New Roman" w:hAnsi="Times New Roman" w:cs="Times New Roman"/>
          <w:sz w:val="24"/>
          <w:szCs w:val="24"/>
        </w:rPr>
        <w:t>Links to the Company’s current port</w:t>
      </w:r>
      <w:r>
        <w:rPr>
          <w:rFonts w:ascii="Times New Roman" w:hAnsi="Times New Roman" w:cs="Times New Roman"/>
          <w:sz w:val="24"/>
          <w:szCs w:val="24"/>
        </w:rPr>
        <w:t xml:space="preserve">folio of advertisements is </w:t>
      </w:r>
      <w:r w:rsidRPr="009E1CFD">
        <w:rPr>
          <w:rFonts w:ascii="Times New Roman" w:hAnsi="Times New Roman" w:cs="Times New Roman"/>
          <w:sz w:val="24"/>
          <w:szCs w:val="24"/>
        </w:rPr>
        <w:t xml:space="preserve">included in </w:t>
      </w:r>
      <w:r w:rsidRPr="002B22E6">
        <w:rPr>
          <w:rFonts w:ascii="Times New Roman" w:hAnsi="Times New Roman" w:cs="Times New Roman"/>
          <w:sz w:val="24"/>
          <w:szCs w:val="24"/>
        </w:rPr>
        <w:t xml:space="preserve">Appendix </w:t>
      </w:r>
      <w:r w:rsidR="003C6E46">
        <w:rPr>
          <w:rFonts w:ascii="Times New Roman" w:hAnsi="Times New Roman" w:cs="Times New Roman"/>
          <w:sz w:val="24"/>
          <w:szCs w:val="24"/>
        </w:rPr>
        <w:t>4</w:t>
      </w:r>
      <w:r w:rsidRPr="002B22E6">
        <w:rPr>
          <w:rFonts w:ascii="Times New Roman" w:hAnsi="Times New Roman" w:cs="Times New Roman"/>
          <w:sz w:val="24"/>
          <w:szCs w:val="24"/>
        </w:rPr>
        <w:t>.</w:t>
      </w:r>
    </w:p>
    <w:p w14:paraId="2451CF3D" w14:textId="77777777" w:rsidR="002005D1" w:rsidRPr="009E1CFD"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lastRenderedPageBreak/>
        <w:t>The audiences for these messages were prioritized as follows:</w:t>
      </w:r>
    </w:p>
    <w:p w14:paraId="2451CF3E" w14:textId="77777777" w:rsidR="002005D1" w:rsidRPr="009E1CFD" w:rsidRDefault="002005D1" w:rsidP="00F33971">
      <w:pPr>
        <w:pStyle w:val="NoSpacing"/>
        <w:ind w:left="720" w:hanging="360"/>
        <w:jc w:val="both"/>
        <w:rPr>
          <w:rFonts w:ascii="Times New Roman" w:hAnsi="Times New Roman" w:cs="Times New Roman"/>
          <w:sz w:val="24"/>
          <w:szCs w:val="24"/>
        </w:rPr>
      </w:pPr>
      <w:r w:rsidRPr="009E1CFD">
        <w:rPr>
          <w:rFonts w:ascii="Times New Roman" w:hAnsi="Times New Roman" w:cs="Times New Roman"/>
          <w:sz w:val="24"/>
          <w:szCs w:val="24"/>
        </w:rPr>
        <w:t>•</w:t>
      </w:r>
      <w:r w:rsidRPr="009E1CFD">
        <w:rPr>
          <w:rFonts w:ascii="Times New Roman" w:hAnsi="Times New Roman" w:cs="Times New Roman"/>
          <w:sz w:val="24"/>
          <w:szCs w:val="24"/>
        </w:rPr>
        <w:tab/>
        <w:t>P</w:t>
      </w:r>
      <w:r>
        <w:rPr>
          <w:rFonts w:ascii="Times New Roman" w:hAnsi="Times New Roman" w:cs="Times New Roman"/>
          <w:sz w:val="24"/>
          <w:szCs w:val="24"/>
        </w:rPr>
        <w:t>rimary</w:t>
      </w:r>
      <w:r w:rsidRPr="009E1CFD">
        <w:rPr>
          <w:rFonts w:ascii="Times New Roman" w:hAnsi="Times New Roman" w:cs="Times New Roman"/>
          <w:sz w:val="24"/>
          <w:szCs w:val="24"/>
        </w:rPr>
        <w:t>: Households in Pacific Power’s service area</w:t>
      </w:r>
      <w:r w:rsidR="00F33971">
        <w:rPr>
          <w:rFonts w:ascii="Times New Roman" w:hAnsi="Times New Roman" w:cs="Times New Roman"/>
          <w:sz w:val="24"/>
          <w:szCs w:val="24"/>
        </w:rPr>
        <w:t>.</w:t>
      </w:r>
    </w:p>
    <w:p w14:paraId="2451CF3F" w14:textId="77777777" w:rsidR="002005D1" w:rsidRPr="009E1CFD" w:rsidRDefault="002005D1" w:rsidP="00F33971">
      <w:pPr>
        <w:pStyle w:val="NoSpacing"/>
        <w:ind w:left="720" w:hanging="360"/>
        <w:jc w:val="both"/>
        <w:rPr>
          <w:rFonts w:ascii="Times New Roman" w:hAnsi="Times New Roman" w:cs="Times New Roman"/>
          <w:sz w:val="24"/>
          <w:szCs w:val="24"/>
        </w:rPr>
      </w:pPr>
      <w:r w:rsidRPr="009E1CFD">
        <w:rPr>
          <w:rFonts w:ascii="Times New Roman" w:hAnsi="Times New Roman" w:cs="Times New Roman"/>
          <w:sz w:val="24"/>
          <w:szCs w:val="24"/>
        </w:rPr>
        <w:t>•</w:t>
      </w:r>
      <w:r w:rsidRPr="009E1CFD">
        <w:rPr>
          <w:rFonts w:ascii="Times New Roman" w:hAnsi="Times New Roman" w:cs="Times New Roman"/>
          <w:sz w:val="24"/>
          <w:szCs w:val="24"/>
        </w:rPr>
        <w:tab/>
        <w:t>S</w:t>
      </w:r>
      <w:r>
        <w:rPr>
          <w:rFonts w:ascii="Times New Roman" w:hAnsi="Times New Roman" w:cs="Times New Roman"/>
          <w:sz w:val="24"/>
          <w:szCs w:val="24"/>
        </w:rPr>
        <w:t>econdary</w:t>
      </w:r>
      <w:r w:rsidRPr="009E1CFD">
        <w:rPr>
          <w:rFonts w:ascii="Times New Roman" w:hAnsi="Times New Roman" w:cs="Times New Roman"/>
          <w:sz w:val="24"/>
          <w:szCs w:val="24"/>
        </w:rPr>
        <w:t>: Small and large business</w:t>
      </w:r>
      <w:r>
        <w:rPr>
          <w:rFonts w:ascii="Times New Roman" w:hAnsi="Times New Roman" w:cs="Times New Roman"/>
          <w:sz w:val="24"/>
          <w:szCs w:val="24"/>
        </w:rPr>
        <w:t xml:space="preserve"> in Pacific Power’s service area</w:t>
      </w:r>
      <w:r w:rsidR="00F33971">
        <w:rPr>
          <w:rFonts w:ascii="Times New Roman" w:hAnsi="Times New Roman" w:cs="Times New Roman"/>
          <w:sz w:val="24"/>
          <w:szCs w:val="24"/>
        </w:rPr>
        <w:t>.</w:t>
      </w:r>
    </w:p>
    <w:p w14:paraId="2451CF40" w14:textId="77777777" w:rsidR="002005D1" w:rsidRPr="00F564FF" w:rsidRDefault="002005D1" w:rsidP="002005D1">
      <w:pPr>
        <w:pStyle w:val="Heading2"/>
      </w:pPr>
      <w:bookmarkStart w:id="80" w:name="_Toc449356499"/>
      <w:bookmarkStart w:id="81" w:name="_Toc449510512"/>
      <w:r w:rsidRPr="00F564FF">
        <w:t>Program Specific</w:t>
      </w:r>
      <w:bookmarkEnd w:id="80"/>
      <w:bookmarkEnd w:id="81"/>
    </w:p>
    <w:p w14:paraId="2451CF41" w14:textId="77777777" w:rsidR="002005D1" w:rsidRPr="00F564FF" w:rsidRDefault="002005D1" w:rsidP="002005D1">
      <w:pPr>
        <w:pStyle w:val="NoSpacing"/>
        <w:jc w:val="both"/>
        <w:rPr>
          <w:rFonts w:ascii="Times New Roman" w:hAnsi="Times New Roman" w:cs="Times New Roman"/>
          <w:sz w:val="24"/>
          <w:szCs w:val="24"/>
          <w:u w:val="single"/>
        </w:rPr>
      </w:pPr>
    </w:p>
    <w:p w14:paraId="2451CF42" w14:textId="77777777" w:rsidR="002005D1" w:rsidRDefault="002005D1" w:rsidP="002005D1">
      <w:pPr>
        <w:pStyle w:val="NoSpacing"/>
        <w:jc w:val="both"/>
        <w:rPr>
          <w:rFonts w:ascii="Times New Roman" w:hAnsi="Times New Roman" w:cs="Times New Roman"/>
          <w:i/>
          <w:sz w:val="24"/>
          <w:szCs w:val="24"/>
          <w:u w:val="single"/>
        </w:rPr>
      </w:pPr>
      <w:r w:rsidRPr="00F564FF">
        <w:rPr>
          <w:rFonts w:ascii="Times New Roman" w:hAnsi="Times New Roman" w:cs="Times New Roman"/>
          <w:sz w:val="24"/>
          <w:szCs w:val="24"/>
        </w:rPr>
        <w:t xml:space="preserve">All energy efficiency program communications are branded under the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sidRPr="00F564FF">
        <w:rPr>
          <w:rFonts w:ascii="Times New Roman" w:hAnsi="Times New Roman" w:cs="Times New Roman"/>
          <w:sz w:val="24"/>
          <w:szCs w:val="24"/>
        </w:rPr>
        <w:t xml:space="preserve"> umbrella to reinforce the campaign and to link changes in behavior to actions customers can take by participating in specific programs. Separate marketing activities administered by and specific to the programs ran in conjunction with the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sidRPr="00D64FBB">
        <w:rPr>
          <w:rFonts w:ascii="Times New Roman" w:hAnsi="Times New Roman" w:cs="Times New Roman"/>
          <w:sz w:val="24"/>
          <w:szCs w:val="24"/>
        </w:rPr>
        <w:t xml:space="preserve"> </w:t>
      </w:r>
      <w:r w:rsidRPr="00F564FF">
        <w:rPr>
          <w:rFonts w:ascii="Times New Roman" w:hAnsi="Times New Roman" w:cs="Times New Roman"/>
          <w:sz w:val="24"/>
          <w:szCs w:val="24"/>
        </w:rPr>
        <w:t>campaign in 201</w:t>
      </w:r>
      <w:r>
        <w:rPr>
          <w:rFonts w:ascii="Times New Roman" w:hAnsi="Times New Roman" w:cs="Times New Roman"/>
          <w:sz w:val="24"/>
          <w:szCs w:val="24"/>
        </w:rPr>
        <w:t>5</w:t>
      </w:r>
      <w:r w:rsidRPr="00F564FF">
        <w:rPr>
          <w:rFonts w:ascii="Times New Roman" w:hAnsi="Times New Roman" w:cs="Times New Roman"/>
          <w:sz w:val="24"/>
          <w:szCs w:val="24"/>
        </w:rPr>
        <w:t xml:space="preserve">. </w:t>
      </w:r>
    </w:p>
    <w:p w14:paraId="2451CF43" w14:textId="77777777" w:rsidR="002005D1" w:rsidRPr="009F6151" w:rsidRDefault="002005D1" w:rsidP="002005D1">
      <w:pPr>
        <w:pStyle w:val="Heading3"/>
        <w:rPr>
          <w:sz w:val="24"/>
          <w:szCs w:val="24"/>
        </w:rPr>
      </w:pPr>
      <w:bookmarkStart w:id="82" w:name="_Toc449356500"/>
      <w:bookmarkStart w:id="83" w:name="_Toc449510513"/>
      <w:r w:rsidRPr="002B22E6">
        <w:rPr>
          <w:sz w:val="24"/>
          <w:szCs w:val="24"/>
        </w:rPr>
        <w:t>Home Energy Savings</w:t>
      </w:r>
      <w:bookmarkEnd w:id="82"/>
      <w:bookmarkEnd w:id="83"/>
    </w:p>
    <w:p w14:paraId="2451CF44" w14:textId="77777777" w:rsidR="002005D1" w:rsidRPr="009F6151" w:rsidRDefault="002005D1" w:rsidP="002005D1">
      <w:pPr>
        <w:pStyle w:val="NoSpacing"/>
        <w:jc w:val="both"/>
        <w:rPr>
          <w:rFonts w:ascii="Times New Roman" w:hAnsi="Times New Roman" w:cs="Times New Roman"/>
          <w:i/>
          <w:sz w:val="24"/>
          <w:szCs w:val="24"/>
          <w:u w:val="single"/>
        </w:rPr>
      </w:pPr>
    </w:p>
    <w:p w14:paraId="2451CF45" w14:textId="77777777" w:rsidR="002005D1" w:rsidRPr="00C33C81" w:rsidRDefault="002005D1" w:rsidP="002005D1">
      <w:pPr>
        <w:autoSpaceDE w:val="0"/>
        <w:autoSpaceDN w:val="0"/>
        <w:adjustRightInd w:val="0"/>
        <w:jc w:val="both"/>
        <w:rPr>
          <w:rFonts w:ascii="Times New Roman" w:hAnsi="Times New Roman" w:cs="Times New Roman"/>
          <w:color w:val="000000"/>
          <w:sz w:val="24"/>
          <w:szCs w:val="24"/>
        </w:rPr>
      </w:pPr>
      <w:r w:rsidRPr="00C33C81">
        <w:rPr>
          <w:rFonts w:ascii="Times New Roman" w:hAnsi="Times New Roman" w:cs="Times New Roman"/>
          <w:color w:val="000000"/>
          <w:sz w:val="24"/>
          <w:szCs w:val="24"/>
        </w:rPr>
        <w:t xml:space="preserve">Information on the </w:t>
      </w:r>
      <w:r w:rsidRPr="00C33C81">
        <w:rPr>
          <w:rFonts w:ascii="Times New Roman" w:hAnsi="Times New Roman" w:cs="Times New Roman"/>
          <w:i/>
          <w:color w:val="000000"/>
          <w:sz w:val="24"/>
          <w:szCs w:val="24"/>
        </w:rPr>
        <w:t>Home Energy Savings</w:t>
      </w:r>
      <w:r w:rsidRPr="00C33C81">
        <w:rPr>
          <w:rFonts w:ascii="Times New Roman" w:hAnsi="Times New Roman" w:cs="Times New Roman"/>
          <w:color w:val="000000"/>
          <w:sz w:val="24"/>
          <w:szCs w:val="24"/>
        </w:rPr>
        <w:t xml:space="preserve"> program is communicated to customers, retailers and trade allies through a variety of channels. </w:t>
      </w:r>
    </w:p>
    <w:p w14:paraId="2451CF46" w14:textId="77777777" w:rsidR="002005D1" w:rsidRPr="00C33C81" w:rsidRDefault="002005D1" w:rsidP="002005D1">
      <w:pPr>
        <w:autoSpaceDE w:val="0"/>
        <w:autoSpaceDN w:val="0"/>
        <w:adjustRightInd w:val="0"/>
        <w:jc w:val="both"/>
        <w:rPr>
          <w:rFonts w:ascii="Times New Roman" w:hAnsi="Times New Roman" w:cs="Times New Roman"/>
          <w:color w:val="000000"/>
          <w:sz w:val="24"/>
          <w:szCs w:val="24"/>
        </w:rPr>
      </w:pPr>
    </w:p>
    <w:p w14:paraId="2451CF47" w14:textId="77777777" w:rsidR="002005D1" w:rsidRPr="00C33C81" w:rsidRDefault="002005D1" w:rsidP="002005D1">
      <w:pPr>
        <w:autoSpaceDE w:val="0"/>
        <w:autoSpaceDN w:val="0"/>
        <w:adjustRightInd w:val="0"/>
        <w:jc w:val="both"/>
        <w:rPr>
          <w:rFonts w:ascii="Times New Roman" w:hAnsi="Times New Roman" w:cs="Times New Roman"/>
          <w:color w:val="000000"/>
          <w:sz w:val="24"/>
          <w:szCs w:val="24"/>
        </w:rPr>
      </w:pPr>
      <w:r w:rsidRPr="00C33C81">
        <w:rPr>
          <w:rFonts w:ascii="Times New Roman" w:hAnsi="Times New Roman" w:cs="Times New Roman"/>
          <w:color w:val="000000"/>
          <w:sz w:val="24"/>
          <w:szCs w:val="24"/>
        </w:rPr>
        <w:t xml:space="preserve">Using a strategic approach, the </w:t>
      </w:r>
      <w:r w:rsidR="006C26C1">
        <w:rPr>
          <w:rFonts w:ascii="Times New Roman" w:hAnsi="Times New Roman" w:cs="Times New Roman"/>
          <w:color w:val="000000"/>
          <w:sz w:val="24"/>
          <w:szCs w:val="24"/>
        </w:rPr>
        <w:t>C</w:t>
      </w:r>
      <w:r w:rsidRPr="00C33C81">
        <w:rPr>
          <w:rFonts w:ascii="Times New Roman" w:hAnsi="Times New Roman" w:cs="Times New Roman"/>
          <w:color w:val="000000"/>
          <w:sz w:val="24"/>
          <w:szCs w:val="24"/>
        </w:rPr>
        <w:t xml:space="preserve">ompany communicates select program measures during key selling seasons and promotes wattsmart Starter Kits to targeted customers throughout the year to achieve savings goals. </w:t>
      </w:r>
    </w:p>
    <w:p w14:paraId="2451CF48" w14:textId="77777777" w:rsidR="002005D1" w:rsidRPr="00C33C81" w:rsidRDefault="002005D1" w:rsidP="002005D1">
      <w:pPr>
        <w:autoSpaceDE w:val="0"/>
        <w:autoSpaceDN w:val="0"/>
        <w:adjustRightInd w:val="0"/>
        <w:jc w:val="both"/>
        <w:rPr>
          <w:rFonts w:ascii="Times New Roman" w:hAnsi="Times New Roman" w:cs="Times New Roman"/>
          <w:color w:val="000000"/>
          <w:sz w:val="24"/>
          <w:szCs w:val="24"/>
        </w:rPr>
      </w:pPr>
    </w:p>
    <w:p w14:paraId="2451CF49" w14:textId="77777777" w:rsidR="002005D1" w:rsidRPr="00C33C81" w:rsidRDefault="002005D1" w:rsidP="002005D1">
      <w:pPr>
        <w:autoSpaceDE w:val="0"/>
        <w:autoSpaceDN w:val="0"/>
        <w:adjustRightInd w:val="0"/>
        <w:jc w:val="both"/>
        <w:rPr>
          <w:rFonts w:ascii="Times New Roman" w:hAnsi="Times New Roman" w:cs="Times New Roman"/>
          <w:color w:val="000000"/>
          <w:sz w:val="24"/>
          <w:szCs w:val="24"/>
        </w:rPr>
      </w:pPr>
      <w:r w:rsidRPr="00C33C81">
        <w:rPr>
          <w:rFonts w:ascii="Times New Roman" w:hAnsi="Times New Roman" w:cs="Times New Roman"/>
          <w:color w:val="000000"/>
          <w:sz w:val="24"/>
          <w:szCs w:val="24"/>
        </w:rPr>
        <w:t xml:space="preserve">In April, the </w:t>
      </w:r>
      <w:r w:rsidR="006C26C1">
        <w:rPr>
          <w:rFonts w:ascii="Times New Roman" w:hAnsi="Times New Roman" w:cs="Times New Roman"/>
          <w:color w:val="000000"/>
          <w:sz w:val="24"/>
          <w:szCs w:val="24"/>
        </w:rPr>
        <w:t>C</w:t>
      </w:r>
      <w:r w:rsidRPr="00C33C81">
        <w:rPr>
          <w:rFonts w:ascii="Times New Roman" w:hAnsi="Times New Roman" w:cs="Times New Roman"/>
          <w:color w:val="000000"/>
          <w:sz w:val="24"/>
          <w:szCs w:val="24"/>
        </w:rPr>
        <w:t xml:space="preserve">ompany promoted specially priced LED bulbs, which were available </w:t>
      </w:r>
      <w:r>
        <w:rPr>
          <w:rFonts w:ascii="Times New Roman" w:hAnsi="Times New Roman" w:cs="Times New Roman"/>
          <w:color w:val="000000"/>
          <w:sz w:val="24"/>
          <w:szCs w:val="24"/>
        </w:rPr>
        <w:t xml:space="preserve">in three-packs for </w:t>
      </w:r>
      <w:r w:rsidRPr="00C33C8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C33C81">
        <w:rPr>
          <w:rFonts w:ascii="Times New Roman" w:hAnsi="Times New Roman" w:cs="Times New Roman"/>
          <w:color w:val="000000"/>
          <w:sz w:val="24"/>
          <w:szCs w:val="24"/>
        </w:rPr>
        <w:t xml:space="preserve"> at participating </w:t>
      </w:r>
      <w:r>
        <w:rPr>
          <w:rFonts w:ascii="Times New Roman" w:hAnsi="Times New Roman" w:cs="Times New Roman"/>
          <w:color w:val="000000"/>
          <w:sz w:val="24"/>
          <w:szCs w:val="24"/>
        </w:rPr>
        <w:t>Washington retailers</w:t>
      </w:r>
      <w:r w:rsidRPr="00C33C81">
        <w:rPr>
          <w:rFonts w:ascii="Times New Roman" w:hAnsi="Times New Roman" w:cs="Times New Roman"/>
          <w:color w:val="000000"/>
          <w:sz w:val="24"/>
          <w:szCs w:val="24"/>
        </w:rPr>
        <w:t>. The offer was communicated through an employee email, website and social media.</w:t>
      </w:r>
    </w:p>
    <w:p w14:paraId="2451CF4A" w14:textId="77777777" w:rsidR="002005D1" w:rsidRDefault="002005D1" w:rsidP="002005D1">
      <w:pPr>
        <w:jc w:val="both"/>
        <w:rPr>
          <w:rFonts w:ascii="Times New Roman" w:hAnsi="Times New Roman" w:cs="Times New Roman"/>
          <w:color w:val="000000"/>
          <w:sz w:val="24"/>
          <w:szCs w:val="24"/>
        </w:rPr>
      </w:pPr>
    </w:p>
    <w:p w14:paraId="2451CF4B" w14:textId="77777777" w:rsidR="002005D1" w:rsidRPr="00C33C81" w:rsidRDefault="002005D1" w:rsidP="002005D1">
      <w:pPr>
        <w:jc w:val="both"/>
        <w:rPr>
          <w:rFonts w:ascii="Times New Roman" w:hAnsi="Times New Roman" w:cs="Times New Roman"/>
          <w:color w:val="000000"/>
          <w:sz w:val="24"/>
          <w:szCs w:val="24"/>
        </w:rPr>
      </w:pPr>
      <w:r w:rsidRPr="00C33C81">
        <w:rPr>
          <w:rFonts w:ascii="Times New Roman" w:hAnsi="Times New Roman" w:cs="Times New Roman"/>
          <w:color w:val="000000"/>
          <w:sz w:val="24"/>
          <w:szCs w:val="24"/>
        </w:rPr>
        <w:t xml:space="preserve">Messaging shifted to cooling as summer approached. The </w:t>
      </w:r>
      <w:r w:rsidR="006C26C1">
        <w:rPr>
          <w:rFonts w:ascii="Times New Roman" w:hAnsi="Times New Roman" w:cs="Times New Roman"/>
          <w:color w:val="000000"/>
          <w:sz w:val="24"/>
          <w:szCs w:val="24"/>
        </w:rPr>
        <w:t>C</w:t>
      </w:r>
      <w:r w:rsidRPr="00C33C81">
        <w:rPr>
          <w:rFonts w:ascii="Times New Roman" w:hAnsi="Times New Roman" w:cs="Times New Roman"/>
          <w:color w:val="000000"/>
          <w:sz w:val="24"/>
          <w:szCs w:val="24"/>
        </w:rPr>
        <w:t>ompany provided information on shopping for a new room air conditioner and highlighted discounts available at local retailers.</w:t>
      </w:r>
      <w:r w:rsidR="00F33971">
        <w:rPr>
          <w:rFonts w:ascii="Times New Roman" w:hAnsi="Times New Roman" w:cs="Times New Roman"/>
          <w:color w:val="000000"/>
          <w:sz w:val="24"/>
          <w:szCs w:val="24"/>
        </w:rPr>
        <w:t xml:space="preserve"> In June and July, the C</w:t>
      </w:r>
      <w:r w:rsidRPr="00C33C81">
        <w:rPr>
          <w:rFonts w:ascii="Times New Roman" w:hAnsi="Times New Roman" w:cs="Times New Roman"/>
          <w:color w:val="000000"/>
          <w:sz w:val="24"/>
          <w:szCs w:val="24"/>
        </w:rPr>
        <w:t xml:space="preserve">ompany promoted ductless heat pumps and provided detailed information on the website to educate customers about the benefits of these high-efficiency heating and cooling systems. Customers received information about incentives for ductless heat pumps and insulation through a bill insert, website and social media. </w:t>
      </w:r>
    </w:p>
    <w:p w14:paraId="2451CF4C" w14:textId="77777777" w:rsidR="002005D1" w:rsidRPr="00C33C81" w:rsidRDefault="002005D1" w:rsidP="002005D1">
      <w:pPr>
        <w:jc w:val="both"/>
        <w:rPr>
          <w:rFonts w:ascii="Times New Roman" w:hAnsi="Times New Roman" w:cs="Times New Roman"/>
          <w:color w:val="000000"/>
          <w:sz w:val="24"/>
          <w:szCs w:val="24"/>
        </w:rPr>
      </w:pPr>
    </w:p>
    <w:p w14:paraId="2451CF4D" w14:textId="77777777" w:rsidR="002005D1" w:rsidRPr="00C33C81" w:rsidRDefault="002005D1" w:rsidP="002005D1">
      <w:pPr>
        <w:jc w:val="both"/>
        <w:rPr>
          <w:rFonts w:ascii="Times New Roman" w:hAnsi="Times New Roman" w:cs="Times New Roman"/>
          <w:color w:val="000000"/>
          <w:sz w:val="24"/>
          <w:szCs w:val="24"/>
        </w:rPr>
      </w:pPr>
      <w:r w:rsidRPr="00C33C81">
        <w:rPr>
          <w:rFonts w:ascii="Times New Roman" w:hAnsi="Times New Roman" w:cs="Times New Roman"/>
          <w:color w:val="000000"/>
          <w:sz w:val="24"/>
          <w:szCs w:val="24"/>
        </w:rPr>
        <w:t xml:space="preserve">Throughout the year, targeted customer communications were distributed to promote </w:t>
      </w:r>
      <w:r w:rsidRPr="00F33971">
        <w:rPr>
          <w:rFonts w:ascii="Times New Roman" w:hAnsi="Times New Roman" w:cs="Times New Roman"/>
          <w:i/>
          <w:color w:val="000000"/>
          <w:sz w:val="24"/>
          <w:szCs w:val="24"/>
        </w:rPr>
        <w:t>watt</w:t>
      </w:r>
      <w:r w:rsidRPr="00C33C81">
        <w:rPr>
          <w:rFonts w:ascii="Times New Roman" w:hAnsi="Times New Roman" w:cs="Times New Roman"/>
          <w:color w:val="000000"/>
          <w:sz w:val="24"/>
          <w:szCs w:val="24"/>
        </w:rPr>
        <w:t>smart Starter kits through direc</w:t>
      </w:r>
      <w:r>
        <w:rPr>
          <w:rFonts w:ascii="Times New Roman" w:hAnsi="Times New Roman" w:cs="Times New Roman"/>
          <w:color w:val="000000"/>
          <w:sz w:val="24"/>
          <w:szCs w:val="24"/>
        </w:rPr>
        <w:t>t mail, email, bill insert, digital ads and Facebook ads. To reach a broader audience, the company sent a direct mail piece in English and Spanish.</w:t>
      </w:r>
    </w:p>
    <w:p w14:paraId="2451CF4E" w14:textId="77777777" w:rsidR="002005D1" w:rsidRPr="00C33C81" w:rsidRDefault="002005D1" w:rsidP="002005D1">
      <w:pPr>
        <w:jc w:val="both"/>
        <w:rPr>
          <w:rFonts w:ascii="Times New Roman" w:hAnsi="Times New Roman" w:cs="Times New Roman"/>
          <w:color w:val="000000"/>
          <w:sz w:val="24"/>
          <w:szCs w:val="24"/>
        </w:rPr>
      </w:pPr>
    </w:p>
    <w:p w14:paraId="2451CF4F" w14:textId="77777777" w:rsidR="002005D1" w:rsidRPr="00B24613" w:rsidRDefault="002005D1" w:rsidP="002005D1">
      <w:pPr>
        <w:jc w:val="both"/>
        <w:rPr>
          <w:rFonts w:ascii="Times New Roman" w:hAnsi="Times New Roman" w:cs="Times New Roman"/>
          <w:sz w:val="24"/>
          <w:szCs w:val="24"/>
        </w:rPr>
      </w:pPr>
      <w:r w:rsidRPr="00C33C81">
        <w:rPr>
          <w:rFonts w:ascii="Times New Roman" w:hAnsi="Times New Roman" w:cs="Times New Roman"/>
          <w:sz w:val="24"/>
          <w:szCs w:val="24"/>
        </w:rPr>
        <w:t xml:space="preserve">In 2015, program communications delivered approximately </w:t>
      </w:r>
      <w:r>
        <w:rPr>
          <w:rFonts w:ascii="Times New Roman" w:hAnsi="Times New Roman" w:cs="Times New Roman"/>
          <w:sz w:val="24"/>
          <w:szCs w:val="24"/>
        </w:rPr>
        <w:t>543,046</w:t>
      </w:r>
      <w:r w:rsidRPr="00C33C81">
        <w:rPr>
          <w:rFonts w:ascii="Times New Roman" w:hAnsi="Times New Roman" w:cs="Times New Roman"/>
          <w:sz w:val="24"/>
          <w:szCs w:val="24"/>
        </w:rPr>
        <w:t xml:space="preserve"> impressions. </w:t>
      </w:r>
      <w:r w:rsidRPr="00B24613">
        <w:rPr>
          <w:rFonts w:ascii="Times New Roman" w:hAnsi="Times New Roman" w:cs="Times New Roman"/>
          <w:sz w:val="24"/>
          <w:szCs w:val="24"/>
        </w:rPr>
        <w:t>Breakdown of estimated impress</w:t>
      </w:r>
      <w:r w:rsidR="00B24613">
        <w:rPr>
          <w:rFonts w:ascii="Times New Roman" w:hAnsi="Times New Roman" w:cs="Times New Roman"/>
          <w:sz w:val="24"/>
          <w:szCs w:val="24"/>
        </w:rPr>
        <w:t>ions by channel are shown in T</w:t>
      </w:r>
      <w:r w:rsidRPr="00B24613">
        <w:rPr>
          <w:rFonts w:ascii="Times New Roman" w:hAnsi="Times New Roman" w:cs="Times New Roman"/>
          <w:sz w:val="24"/>
          <w:szCs w:val="24"/>
        </w:rPr>
        <w:t>able</w:t>
      </w:r>
      <w:r w:rsidR="00B24613">
        <w:rPr>
          <w:rFonts w:ascii="Times New Roman" w:hAnsi="Times New Roman" w:cs="Times New Roman"/>
          <w:sz w:val="24"/>
          <w:szCs w:val="24"/>
        </w:rPr>
        <w:t xml:space="preserve"> 2</w:t>
      </w:r>
      <w:r w:rsidR="006C26C1">
        <w:rPr>
          <w:rFonts w:ascii="Times New Roman" w:hAnsi="Times New Roman" w:cs="Times New Roman"/>
          <w:sz w:val="24"/>
          <w:szCs w:val="24"/>
        </w:rPr>
        <w:t>2</w:t>
      </w:r>
      <w:r w:rsidR="00F33971">
        <w:rPr>
          <w:rFonts w:ascii="Times New Roman" w:hAnsi="Times New Roman" w:cs="Times New Roman"/>
          <w:sz w:val="24"/>
          <w:szCs w:val="24"/>
        </w:rPr>
        <w:t xml:space="preserve"> below. These estimates do no</w:t>
      </w:r>
      <w:r w:rsidRPr="00B24613">
        <w:rPr>
          <w:rFonts w:ascii="Times New Roman" w:hAnsi="Times New Roman" w:cs="Times New Roman"/>
          <w:sz w:val="24"/>
          <w:szCs w:val="24"/>
        </w:rPr>
        <w:t>t reflect all of the customer, retailer and trade ally touchpoints.</w:t>
      </w:r>
    </w:p>
    <w:p w14:paraId="2451CF50" w14:textId="77777777" w:rsidR="00B24613" w:rsidRDefault="00B24613" w:rsidP="002005D1">
      <w:pPr>
        <w:jc w:val="both"/>
        <w:rPr>
          <w:rFonts w:ascii="Times New Roman" w:hAnsi="Times New Roman" w:cs="Times New Roman"/>
          <w:sz w:val="20"/>
          <w:szCs w:val="20"/>
        </w:rPr>
      </w:pPr>
    </w:p>
    <w:p w14:paraId="2451CF51" w14:textId="77777777" w:rsidR="00B24613" w:rsidRPr="007716B1" w:rsidRDefault="00B24613" w:rsidP="00B24613">
      <w:pPr>
        <w:pStyle w:val="No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Table 2</w:t>
      </w:r>
      <w:r w:rsidR="006C26C1">
        <w:rPr>
          <w:rFonts w:ascii="Times New Roman" w:hAnsi="Times New Roman" w:cs="Times New Roman"/>
          <w:color w:val="548DD4" w:themeColor="text2" w:themeTint="99"/>
          <w:sz w:val="24"/>
          <w:szCs w:val="24"/>
        </w:rPr>
        <w:t>2</w:t>
      </w:r>
    </w:p>
    <w:p w14:paraId="2451CF52" w14:textId="77777777" w:rsidR="00B24613" w:rsidRPr="007716B1" w:rsidRDefault="00B24613" w:rsidP="00B24613">
      <w:pPr>
        <w:pStyle w:val="No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Impressions by Channel</w:t>
      </w:r>
    </w:p>
    <w:tbl>
      <w:tblPr>
        <w:tblStyle w:val="TableGrid"/>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80"/>
        <w:gridCol w:w="1800"/>
      </w:tblGrid>
      <w:tr w:rsidR="002005D1" w:rsidRPr="00C33C81" w14:paraId="2451CF55" w14:textId="77777777" w:rsidTr="00304D6C">
        <w:trPr>
          <w:jc w:val="center"/>
        </w:trPr>
        <w:tc>
          <w:tcPr>
            <w:tcW w:w="2880" w:type="dxa"/>
            <w:shd w:val="clear" w:color="auto" w:fill="C6D9F1" w:themeFill="text2" w:themeFillTint="33"/>
            <w:vAlign w:val="bottom"/>
          </w:tcPr>
          <w:p w14:paraId="2451CF53" w14:textId="77777777" w:rsidR="002005D1" w:rsidRPr="00304D6C" w:rsidRDefault="002005D1" w:rsidP="00CB1948">
            <w:pPr>
              <w:jc w:val="center"/>
              <w:rPr>
                <w:rFonts w:eastAsiaTheme="minorEastAsia" w:cs="Times New Roman"/>
                <w:b/>
                <w:sz w:val="20"/>
                <w:szCs w:val="20"/>
              </w:rPr>
            </w:pPr>
            <w:r w:rsidRPr="00304D6C">
              <w:rPr>
                <w:rFonts w:eastAsiaTheme="minorEastAsia" w:cs="Times New Roman"/>
                <w:b/>
                <w:color w:val="000000"/>
                <w:sz w:val="20"/>
                <w:szCs w:val="20"/>
              </w:rPr>
              <w:t>Communications Channel</w:t>
            </w:r>
          </w:p>
        </w:tc>
        <w:tc>
          <w:tcPr>
            <w:tcW w:w="1800" w:type="dxa"/>
            <w:shd w:val="clear" w:color="auto" w:fill="C6D9F1" w:themeFill="text2" w:themeFillTint="33"/>
            <w:vAlign w:val="bottom"/>
          </w:tcPr>
          <w:p w14:paraId="2451CF54" w14:textId="77777777" w:rsidR="002005D1" w:rsidRPr="00304D6C" w:rsidRDefault="002005D1" w:rsidP="00CB1948">
            <w:pPr>
              <w:jc w:val="center"/>
              <w:rPr>
                <w:rFonts w:eastAsiaTheme="minorEastAsia" w:cs="Times New Roman"/>
                <w:b/>
                <w:sz w:val="20"/>
                <w:szCs w:val="20"/>
              </w:rPr>
            </w:pPr>
            <w:r w:rsidRPr="00304D6C">
              <w:rPr>
                <w:rFonts w:eastAsiaTheme="minorEastAsia" w:cs="Times New Roman"/>
                <w:b/>
                <w:color w:val="000000"/>
                <w:sz w:val="20"/>
                <w:szCs w:val="20"/>
              </w:rPr>
              <w:t>2015 Estimated Impressions</w:t>
            </w:r>
          </w:p>
        </w:tc>
      </w:tr>
      <w:tr w:rsidR="002005D1" w:rsidRPr="00C33C81" w14:paraId="2451CF58" w14:textId="77777777" w:rsidTr="00304D6C">
        <w:trPr>
          <w:jc w:val="center"/>
        </w:trPr>
        <w:tc>
          <w:tcPr>
            <w:tcW w:w="2880" w:type="dxa"/>
            <w:vAlign w:val="bottom"/>
          </w:tcPr>
          <w:p w14:paraId="2451CF56" w14:textId="77777777" w:rsidR="002005D1" w:rsidRPr="00304D6C" w:rsidRDefault="002005D1" w:rsidP="00CB1948">
            <w:pPr>
              <w:jc w:val="both"/>
              <w:rPr>
                <w:rFonts w:eastAsiaTheme="minorEastAsia" w:cs="Times New Roman"/>
                <w:sz w:val="20"/>
                <w:szCs w:val="20"/>
              </w:rPr>
            </w:pPr>
            <w:r w:rsidRPr="00304D6C">
              <w:rPr>
                <w:rFonts w:eastAsiaTheme="minorEastAsia" w:cs="Times New Roman"/>
                <w:color w:val="000000"/>
                <w:sz w:val="20"/>
                <w:szCs w:val="20"/>
              </w:rPr>
              <w:t xml:space="preserve">Facebook ads </w:t>
            </w:r>
          </w:p>
        </w:tc>
        <w:tc>
          <w:tcPr>
            <w:tcW w:w="1800" w:type="dxa"/>
            <w:vAlign w:val="bottom"/>
          </w:tcPr>
          <w:p w14:paraId="2451CF57" w14:textId="77777777" w:rsidR="002005D1" w:rsidRPr="00304D6C" w:rsidRDefault="002005D1" w:rsidP="00CB1948">
            <w:pPr>
              <w:jc w:val="right"/>
              <w:rPr>
                <w:rFonts w:eastAsiaTheme="minorEastAsia" w:cs="Times New Roman"/>
                <w:sz w:val="20"/>
                <w:szCs w:val="20"/>
              </w:rPr>
            </w:pPr>
            <w:r w:rsidRPr="00304D6C">
              <w:rPr>
                <w:rFonts w:eastAsiaTheme="minorEastAsia" w:cs="Times New Roman"/>
                <w:sz w:val="20"/>
                <w:szCs w:val="20"/>
              </w:rPr>
              <w:t>220,746</w:t>
            </w:r>
          </w:p>
        </w:tc>
      </w:tr>
      <w:tr w:rsidR="002005D1" w:rsidRPr="00C33C81" w14:paraId="2451CF5B" w14:textId="77777777" w:rsidTr="00304D6C">
        <w:trPr>
          <w:jc w:val="center"/>
        </w:trPr>
        <w:tc>
          <w:tcPr>
            <w:tcW w:w="2880" w:type="dxa"/>
            <w:vAlign w:val="bottom"/>
          </w:tcPr>
          <w:p w14:paraId="2451CF59" w14:textId="77777777" w:rsidR="002005D1" w:rsidRPr="00304D6C" w:rsidRDefault="002005D1" w:rsidP="00CB1948">
            <w:pPr>
              <w:jc w:val="both"/>
              <w:rPr>
                <w:rFonts w:eastAsiaTheme="minorEastAsia" w:cs="Times New Roman"/>
                <w:sz w:val="20"/>
                <w:szCs w:val="20"/>
              </w:rPr>
            </w:pPr>
            <w:r w:rsidRPr="00304D6C">
              <w:rPr>
                <w:rFonts w:eastAsiaTheme="minorEastAsia" w:cs="Times New Roman"/>
                <w:color w:val="000000"/>
                <w:sz w:val="20"/>
                <w:szCs w:val="20"/>
              </w:rPr>
              <w:t>Bill inserts</w:t>
            </w:r>
          </w:p>
        </w:tc>
        <w:tc>
          <w:tcPr>
            <w:tcW w:w="1800" w:type="dxa"/>
            <w:vAlign w:val="bottom"/>
          </w:tcPr>
          <w:p w14:paraId="2451CF5A" w14:textId="77777777" w:rsidR="002005D1" w:rsidRPr="00304D6C" w:rsidRDefault="002005D1" w:rsidP="00CB1948">
            <w:pPr>
              <w:jc w:val="right"/>
              <w:rPr>
                <w:rFonts w:eastAsiaTheme="minorEastAsia" w:cs="Times New Roman"/>
                <w:sz w:val="20"/>
                <w:szCs w:val="20"/>
              </w:rPr>
            </w:pPr>
            <w:r w:rsidRPr="00304D6C">
              <w:rPr>
                <w:rFonts w:eastAsiaTheme="minorEastAsia" w:cs="Times New Roman"/>
                <w:sz w:val="20"/>
                <w:szCs w:val="20"/>
              </w:rPr>
              <w:t>273,000</w:t>
            </w:r>
          </w:p>
        </w:tc>
      </w:tr>
      <w:tr w:rsidR="002005D1" w:rsidRPr="00C33C81" w14:paraId="2451CF5E" w14:textId="77777777" w:rsidTr="00304D6C">
        <w:trPr>
          <w:trHeight w:val="143"/>
          <w:jc w:val="center"/>
        </w:trPr>
        <w:tc>
          <w:tcPr>
            <w:tcW w:w="2880" w:type="dxa"/>
            <w:vAlign w:val="bottom"/>
          </w:tcPr>
          <w:p w14:paraId="2451CF5C" w14:textId="77777777" w:rsidR="002005D1" w:rsidRPr="00304D6C" w:rsidRDefault="002005D1" w:rsidP="00CB1948">
            <w:pPr>
              <w:jc w:val="both"/>
              <w:rPr>
                <w:rFonts w:eastAsiaTheme="minorEastAsia" w:cs="Times New Roman"/>
                <w:color w:val="000000"/>
                <w:sz w:val="20"/>
                <w:szCs w:val="20"/>
              </w:rPr>
            </w:pPr>
            <w:r w:rsidRPr="00304D6C">
              <w:rPr>
                <w:rFonts w:eastAsiaTheme="minorEastAsia" w:cs="Times New Roman"/>
                <w:color w:val="000000"/>
                <w:sz w:val="20"/>
                <w:szCs w:val="20"/>
              </w:rPr>
              <w:t>Direct mail</w:t>
            </w:r>
          </w:p>
        </w:tc>
        <w:tc>
          <w:tcPr>
            <w:tcW w:w="1800" w:type="dxa"/>
            <w:vAlign w:val="bottom"/>
          </w:tcPr>
          <w:p w14:paraId="2451CF5D" w14:textId="77777777" w:rsidR="002005D1" w:rsidRPr="00304D6C" w:rsidDel="008C1B88" w:rsidRDefault="002005D1" w:rsidP="00CB1948">
            <w:pPr>
              <w:jc w:val="right"/>
              <w:rPr>
                <w:rFonts w:eastAsiaTheme="minorEastAsia" w:cs="Times New Roman"/>
                <w:sz w:val="20"/>
                <w:szCs w:val="20"/>
              </w:rPr>
            </w:pPr>
            <w:r w:rsidRPr="00304D6C">
              <w:rPr>
                <w:rFonts w:eastAsiaTheme="minorEastAsia" w:cs="Times New Roman"/>
                <w:sz w:val="20"/>
                <w:szCs w:val="20"/>
              </w:rPr>
              <w:t>22,300</w:t>
            </w:r>
          </w:p>
        </w:tc>
      </w:tr>
      <w:tr w:rsidR="002005D1" w:rsidRPr="00C33C81" w14:paraId="2451CF61" w14:textId="77777777" w:rsidTr="00304D6C">
        <w:trPr>
          <w:trHeight w:val="143"/>
          <w:jc w:val="center"/>
        </w:trPr>
        <w:tc>
          <w:tcPr>
            <w:tcW w:w="2880" w:type="dxa"/>
            <w:vAlign w:val="bottom"/>
          </w:tcPr>
          <w:p w14:paraId="2451CF5F" w14:textId="77777777" w:rsidR="002005D1" w:rsidRPr="00304D6C" w:rsidRDefault="002005D1" w:rsidP="00CB1948">
            <w:pPr>
              <w:jc w:val="both"/>
              <w:rPr>
                <w:rFonts w:eastAsiaTheme="minorEastAsia" w:cs="Times New Roman"/>
                <w:color w:val="000000"/>
                <w:sz w:val="20"/>
                <w:szCs w:val="20"/>
              </w:rPr>
            </w:pPr>
            <w:r w:rsidRPr="00304D6C">
              <w:rPr>
                <w:rFonts w:eastAsiaTheme="minorEastAsia" w:cs="Times New Roman"/>
                <w:color w:val="000000"/>
                <w:sz w:val="20"/>
                <w:szCs w:val="20"/>
              </w:rPr>
              <w:t>Email</w:t>
            </w:r>
          </w:p>
        </w:tc>
        <w:tc>
          <w:tcPr>
            <w:tcW w:w="1800" w:type="dxa"/>
            <w:vAlign w:val="bottom"/>
          </w:tcPr>
          <w:p w14:paraId="2451CF60" w14:textId="77777777" w:rsidR="002005D1" w:rsidRPr="00304D6C" w:rsidRDefault="002005D1" w:rsidP="00CB1948">
            <w:pPr>
              <w:jc w:val="right"/>
              <w:rPr>
                <w:rFonts w:eastAsiaTheme="minorEastAsia" w:cs="Times New Roman"/>
                <w:sz w:val="20"/>
                <w:szCs w:val="20"/>
              </w:rPr>
            </w:pPr>
            <w:r w:rsidRPr="00304D6C">
              <w:rPr>
                <w:rFonts w:eastAsiaTheme="minorEastAsia" w:cs="Times New Roman"/>
                <w:sz w:val="20"/>
                <w:szCs w:val="20"/>
              </w:rPr>
              <w:t>27,000</w:t>
            </w:r>
          </w:p>
        </w:tc>
      </w:tr>
    </w:tbl>
    <w:p w14:paraId="2451CF62" w14:textId="77777777" w:rsidR="002005D1" w:rsidRDefault="002005D1" w:rsidP="002005D1">
      <w:pPr>
        <w:pStyle w:val="Heading3"/>
        <w:rPr>
          <w:sz w:val="24"/>
          <w:szCs w:val="24"/>
        </w:rPr>
      </w:pPr>
      <w:bookmarkStart w:id="84" w:name="_Toc449356501"/>
      <w:bookmarkStart w:id="85" w:name="_Toc449510514"/>
      <w:r>
        <w:rPr>
          <w:sz w:val="24"/>
          <w:szCs w:val="24"/>
        </w:rPr>
        <w:lastRenderedPageBreak/>
        <w:t>Home Energy Reports</w:t>
      </w:r>
      <w:bookmarkEnd w:id="84"/>
      <w:bookmarkEnd w:id="85"/>
    </w:p>
    <w:p w14:paraId="2451CF63" w14:textId="77777777" w:rsidR="002005D1" w:rsidRPr="00322F4A" w:rsidRDefault="002005D1" w:rsidP="002005D1"/>
    <w:p w14:paraId="2451CF64" w14:textId="77777777" w:rsidR="002005D1" w:rsidRDefault="002005D1" w:rsidP="008F3266">
      <w:pPr>
        <w:jc w:val="both"/>
        <w:rPr>
          <w:rFonts w:ascii="Times New Roman" w:eastAsiaTheme="minorEastAsia" w:hAnsi="Times New Roman"/>
          <w:sz w:val="24"/>
          <w:szCs w:val="24"/>
        </w:rPr>
      </w:pPr>
      <w:r>
        <w:rPr>
          <w:rFonts w:ascii="Times New Roman" w:eastAsiaTheme="minorEastAsia" w:hAnsi="Times New Roman"/>
          <w:sz w:val="24"/>
          <w:szCs w:val="24"/>
        </w:rPr>
        <w:t xml:space="preserve">Home Energy Reports were mailed to about 48,000 customers several times throughout 2015. </w:t>
      </w:r>
      <w:r w:rsidRPr="00E33A20">
        <w:rPr>
          <w:rFonts w:ascii="Times New Roman" w:eastAsiaTheme="minorEastAsia" w:hAnsi="Times New Roman"/>
          <w:sz w:val="24"/>
          <w:szCs w:val="24"/>
        </w:rPr>
        <w:t>Many of these customers also receive email reports with customized ener</w:t>
      </w:r>
      <w:r>
        <w:rPr>
          <w:rFonts w:ascii="Times New Roman" w:eastAsiaTheme="minorEastAsia" w:hAnsi="Times New Roman"/>
          <w:sz w:val="24"/>
          <w:szCs w:val="24"/>
        </w:rPr>
        <w:t xml:space="preserve">gy-saving tips. In addition, customers </w:t>
      </w:r>
      <w:r w:rsidRPr="00E33A20">
        <w:rPr>
          <w:rFonts w:ascii="Times New Roman" w:eastAsiaTheme="minorEastAsia" w:hAnsi="Times New Roman"/>
          <w:sz w:val="24"/>
          <w:szCs w:val="24"/>
        </w:rPr>
        <w:t>can access the program Web portal with additional tools, insights and ways to save energy.</w:t>
      </w:r>
    </w:p>
    <w:p w14:paraId="2451CF65" w14:textId="77777777" w:rsidR="002005D1" w:rsidRDefault="002005D1" w:rsidP="002005D1">
      <w:pPr>
        <w:pStyle w:val="NoSpacing"/>
        <w:outlineLvl w:val="2"/>
        <w:rPr>
          <w:rFonts w:ascii="Times New Roman" w:hAnsi="Times New Roman" w:cs="Times New Roman"/>
          <w:sz w:val="24"/>
          <w:szCs w:val="24"/>
        </w:rPr>
      </w:pPr>
    </w:p>
    <w:p w14:paraId="2451CF66" w14:textId="77777777" w:rsidR="002005D1" w:rsidRPr="00132316" w:rsidRDefault="002005D1" w:rsidP="002005D1">
      <w:pPr>
        <w:pStyle w:val="NoSpacing"/>
        <w:outlineLvl w:val="2"/>
        <w:rPr>
          <w:rFonts w:ascii="Times New Roman" w:hAnsi="Times New Roman" w:cs="Times New Roman"/>
          <w:sz w:val="24"/>
          <w:szCs w:val="24"/>
          <w:u w:val="single"/>
        </w:rPr>
      </w:pPr>
      <w:bookmarkStart w:id="86" w:name="_Toc449356502"/>
      <w:bookmarkStart w:id="87" w:name="_Toc449510515"/>
      <w:r w:rsidRPr="00132316">
        <w:rPr>
          <w:rFonts w:ascii="Times New Roman" w:hAnsi="Times New Roman" w:cs="Times New Roman"/>
          <w:sz w:val="24"/>
          <w:szCs w:val="24"/>
          <w:u w:val="single"/>
        </w:rPr>
        <w:t>Refrigerator Recycling</w:t>
      </w:r>
      <w:bookmarkEnd w:id="86"/>
      <w:bookmarkEnd w:id="87"/>
    </w:p>
    <w:p w14:paraId="2451CF67" w14:textId="77777777" w:rsidR="002005D1" w:rsidRDefault="002005D1" w:rsidP="008F3266">
      <w:pPr>
        <w:pStyle w:val="NoSpacing"/>
        <w:jc w:val="both"/>
        <w:outlineLvl w:val="2"/>
        <w:rPr>
          <w:rFonts w:ascii="Times New Roman" w:hAnsi="Times New Roman" w:cs="Times New Roman"/>
          <w:sz w:val="24"/>
          <w:szCs w:val="24"/>
        </w:rPr>
      </w:pPr>
      <w:r>
        <w:rPr>
          <w:rFonts w:ascii="Times New Roman" w:hAnsi="Times New Roman" w:cs="Times New Roman"/>
          <w:sz w:val="24"/>
          <w:szCs w:val="24"/>
        </w:rPr>
        <w:br/>
      </w:r>
      <w:bookmarkStart w:id="88" w:name="_Toc449356503"/>
      <w:bookmarkStart w:id="89" w:name="_Toc449510516"/>
      <w:r>
        <w:rPr>
          <w:rFonts w:ascii="Times New Roman" w:hAnsi="Times New Roman" w:cs="Times New Roman"/>
          <w:sz w:val="24"/>
          <w:szCs w:val="24"/>
        </w:rPr>
        <w:t xml:space="preserve">In 2015, </w:t>
      </w:r>
      <w:r w:rsidRPr="00A62C4D">
        <w:rPr>
          <w:rFonts w:ascii="Times New Roman" w:hAnsi="Times New Roman" w:cs="Times New Roman"/>
          <w:i/>
          <w:sz w:val="24"/>
          <w:szCs w:val="24"/>
        </w:rPr>
        <w:t>See ya later, refrigerator</w:t>
      </w:r>
      <w:r w:rsidR="00F33971" w:rsidRPr="00E634F6">
        <w:t>®</w:t>
      </w:r>
      <w:r>
        <w:rPr>
          <w:rFonts w:ascii="Times New Roman" w:hAnsi="Times New Roman" w:cs="Times New Roman"/>
          <w:sz w:val="24"/>
          <w:szCs w:val="24"/>
        </w:rPr>
        <w:t xml:space="preserve"> communications consisted of TV, print and digital advertising, bill inserts and social media.</w:t>
      </w:r>
      <w:bookmarkEnd w:id="88"/>
      <w:bookmarkEnd w:id="89"/>
      <w:r>
        <w:rPr>
          <w:rFonts w:ascii="Times New Roman" w:hAnsi="Times New Roman" w:cs="Times New Roman"/>
          <w:sz w:val="24"/>
          <w:szCs w:val="24"/>
        </w:rPr>
        <w:t xml:space="preserve"> </w:t>
      </w:r>
    </w:p>
    <w:p w14:paraId="2451CF68" w14:textId="77777777" w:rsidR="002005D1" w:rsidRDefault="002005D1" w:rsidP="008F3266">
      <w:pPr>
        <w:pStyle w:val="NoSpacing"/>
        <w:jc w:val="both"/>
        <w:outlineLvl w:val="2"/>
        <w:rPr>
          <w:rFonts w:ascii="Times New Roman" w:hAnsi="Times New Roman" w:cs="Times New Roman"/>
          <w:sz w:val="24"/>
          <w:szCs w:val="24"/>
        </w:rPr>
      </w:pPr>
    </w:p>
    <w:p w14:paraId="2451CF69" w14:textId="77777777" w:rsidR="002005D1" w:rsidRPr="00132316" w:rsidRDefault="002005D1" w:rsidP="008F3266">
      <w:pPr>
        <w:pStyle w:val="NoSpacing"/>
        <w:jc w:val="both"/>
        <w:outlineLvl w:val="2"/>
        <w:rPr>
          <w:rFonts w:ascii="Times New Roman" w:hAnsi="Times New Roman" w:cs="Times New Roman"/>
          <w:sz w:val="24"/>
          <w:szCs w:val="24"/>
        </w:rPr>
      </w:pPr>
      <w:bookmarkStart w:id="90" w:name="_Toc449356504"/>
      <w:bookmarkStart w:id="91" w:name="_Toc449510517"/>
      <w:r>
        <w:rPr>
          <w:rFonts w:ascii="Times New Roman" w:hAnsi="Times New Roman" w:cs="Times New Roman"/>
          <w:sz w:val="24"/>
          <w:szCs w:val="24"/>
        </w:rPr>
        <w:t xml:space="preserve">On November 23, 2015, Pacific Power received notice that program vendor JACO was going out of business. The </w:t>
      </w:r>
      <w:r w:rsidR="004A5894">
        <w:rPr>
          <w:rFonts w:ascii="Times New Roman" w:hAnsi="Times New Roman" w:cs="Times New Roman"/>
          <w:sz w:val="24"/>
          <w:szCs w:val="24"/>
        </w:rPr>
        <w:t>C</w:t>
      </w:r>
      <w:r>
        <w:rPr>
          <w:rFonts w:ascii="Times New Roman" w:hAnsi="Times New Roman" w:cs="Times New Roman"/>
          <w:sz w:val="24"/>
          <w:szCs w:val="24"/>
        </w:rPr>
        <w:t xml:space="preserve">ompany posted a notice on the website to let customers know the program was </w:t>
      </w:r>
      <w:r w:rsidR="004A5894">
        <w:rPr>
          <w:rFonts w:ascii="Times New Roman" w:hAnsi="Times New Roman" w:cs="Times New Roman"/>
          <w:sz w:val="24"/>
          <w:szCs w:val="24"/>
        </w:rPr>
        <w:t>suspended until further notice</w:t>
      </w:r>
      <w:r>
        <w:rPr>
          <w:rFonts w:ascii="Times New Roman" w:hAnsi="Times New Roman" w:cs="Times New Roman"/>
          <w:sz w:val="24"/>
          <w:szCs w:val="24"/>
        </w:rPr>
        <w:t xml:space="preserve">. Affected customers also received a direct mail letter and an email to let them know about the situation and that </w:t>
      </w:r>
      <w:r w:rsidR="004A5894">
        <w:rPr>
          <w:rFonts w:ascii="Times New Roman" w:hAnsi="Times New Roman" w:cs="Times New Roman"/>
          <w:sz w:val="24"/>
          <w:szCs w:val="24"/>
        </w:rPr>
        <w:t>the Company</w:t>
      </w:r>
      <w:r>
        <w:rPr>
          <w:rFonts w:ascii="Times New Roman" w:hAnsi="Times New Roman" w:cs="Times New Roman"/>
          <w:sz w:val="24"/>
          <w:szCs w:val="24"/>
        </w:rPr>
        <w:t xml:space="preserve"> would have replacement incentive checks issued, if necessary.</w:t>
      </w:r>
      <w:bookmarkEnd w:id="90"/>
      <w:bookmarkEnd w:id="91"/>
      <w:r>
        <w:rPr>
          <w:rFonts w:ascii="Times New Roman" w:hAnsi="Times New Roman" w:cs="Times New Roman"/>
          <w:sz w:val="24"/>
          <w:szCs w:val="24"/>
        </w:rPr>
        <w:t xml:space="preserve">     </w:t>
      </w:r>
    </w:p>
    <w:p w14:paraId="2451CF6A" w14:textId="77777777" w:rsidR="002005D1" w:rsidRPr="009F6151" w:rsidRDefault="002005D1" w:rsidP="002005D1">
      <w:pPr>
        <w:pStyle w:val="Heading3"/>
        <w:rPr>
          <w:sz w:val="24"/>
          <w:szCs w:val="24"/>
        </w:rPr>
      </w:pPr>
      <w:bookmarkStart w:id="92" w:name="_Toc449356505"/>
      <w:bookmarkStart w:id="93" w:name="_Toc449510518"/>
      <w:r w:rsidRPr="00730B09">
        <w:rPr>
          <w:i/>
          <w:sz w:val="24"/>
          <w:szCs w:val="24"/>
        </w:rPr>
        <w:t>watt</w:t>
      </w:r>
      <w:r w:rsidRPr="00730B09">
        <w:rPr>
          <w:sz w:val="24"/>
          <w:szCs w:val="24"/>
        </w:rPr>
        <w:t>s</w:t>
      </w:r>
      <w:r>
        <w:rPr>
          <w:sz w:val="24"/>
          <w:szCs w:val="24"/>
        </w:rPr>
        <w:t>mart Business</w:t>
      </w:r>
      <w:bookmarkEnd w:id="92"/>
      <w:bookmarkEnd w:id="93"/>
    </w:p>
    <w:p w14:paraId="2451CF6B" w14:textId="77777777" w:rsidR="002005D1" w:rsidRPr="009F6151" w:rsidRDefault="002005D1" w:rsidP="002005D1">
      <w:pPr>
        <w:pStyle w:val="NoSpacing"/>
        <w:rPr>
          <w:rFonts w:ascii="Times New Roman" w:hAnsi="Times New Roman" w:cs="Times New Roman"/>
          <w:i/>
          <w:sz w:val="24"/>
          <w:szCs w:val="24"/>
          <w:u w:val="single"/>
        </w:rPr>
      </w:pPr>
    </w:p>
    <w:p w14:paraId="2451CF6C" w14:textId="77777777" w:rsidR="002005D1" w:rsidRDefault="002005D1" w:rsidP="002005D1">
      <w:pPr>
        <w:pStyle w:val="NoSpacing"/>
        <w:jc w:val="both"/>
        <w:rPr>
          <w:rFonts w:ascii="Times New Roman" w:hAnsi="Times New Roman" w:cs="Times New Roman"/>
          <w:sz w:val="24"/>
          <w:szCs w:val="24"/>
        </w:rPr>
      </w:pPr>
      <w:r w:rsidRPr="009E1CFD">
        <w:rPr>
          <w:rFonts w:ascii="Times New Roman" w:hAnsi="Times New Roman" w:cs="Times New Roman"/>
          <w:sz w:val="24"/>
          <w:szCs w:val="24"/>
        </w:rPr>
        <w:t>In 201</w:t>
      </w:r>
      <w:r>
        <w:rPr>
          <w:rFonts w:ascii="Times New Roman" w:hAnsi="Times New Roman" w:cs="Times New Roman"/>
          <w:sz w:val="24"/>
          <w:szCs w:val="24"/>
        </w:rPr>
        <w:t>5</w:t>
      </w:r>
      <w:r w:rsidRPr="009E1CFD">
        <w:rPr>
          <w:rFonts w:ascii="Times New Roman" w:hAnsi="Times New Roman" w:cs="Times New Roman"/>
          <w:sz w:val="24"/>
          <w:szCs w:val="24"/>
        </w:rPr>
        <w:t xml:space="preserve">, customer communications and outreach supported </w:t>
      </w:r>
      <w:r w:rsidRPr="00F33971">
        <w:rPr>
          <w:rFonts w:ascii="Times New Roman" w:hAnsi="Times New Roman" w:cs="Times New Roman"/>
          <w:i/>
          <w:sz w:val="24"/>
          <w:szCs w:val="24"/>
        </w:rPr>
        <w:t>watt</w:t>
      </w:r>
      <w:r w:rsidRPr="00E634F6">
        <w:rPr>
          <w:rFonts w:ascii="Times New Roman" w:hAnsi="Times New Roman" w:cs="Times New Roman"/>
          <w:sz w:val="24"/>
          <w:szCs w:val="24"/>
        </w:rPr>
        <w:t>smart</w:t>
      </w:r>
      <w:r>
        <w:rPr>
          <w:rFonts w:ascii="Times New Roman" w:hAnsi="Times New Roman" w:cs="Times New Roman"/>
          <w:sz w:val="24"/>
          <w:szCs w:val="24"/>
        </w:rPr>
        <w:t xml:space="preserve"> Business </w:t>
      </w:r>
      <w:r w:rsidRPr="009E1CFD">
        <w:rPr>
          <w:rFonts w:ascii="Times New Roman" w:hAnsi="Times New Roman" w:cs="Times New Roman"/>
          <w:sz w:val="24"/>
          <w:szCs w:val="24"/>
        </w:rPr>
        <w:t>utilizing radio, print</w:t>
      </w:r>
      <w:r>
        <w:rPr>
          <w:rFonts w:ascii="Times New Roman" w:hAnsi="Times New Roman" w:cs="Times New Roman"/>
          <w:sz w:val="24"/>
          <w:szCs w:val="24"/>
        </w:rPr>
        <w:t xml:space="preserve">, paid digital display and search </w:t>
      </w:r>
      <w:r w:rsidRPr="009E1CFD">
        <w:rPr>
          <w:rFonts w:ascii="Times New Roman" w:hAnsi="Times New Roman" w:cs="Times New Roman"/>
          <w:sz w:val="24"/>
          <w:szCs w:val="24"/>
        </w:rPr>
        <w:t>advertising</w:t>
      </w:r>
      <w:r>
        <w:rPr>
          <w:rFonts w:ascii="Times New Roman" w:hAnsi="Times New Roman" w:cs="Times New Roman"/>
          <w:sz w:val="24"/>
          <w:szCs w:val="24"/>
        </w:rPr>
        <w:t>, direct mail, email</w:t>
      </w:r>
      <w:r w:rsidRPr="009E1CFD">
        <w:rPr>
          <w:rFonts w:ascii="Times New Roman" w:hAnsi="Times New Roman" w:cs="Times New Roman"/>
          <w:sz w:val="24"/>
          <w:szCs w:val="24"/>
        </w:rPr>
        <w:t xml:space="preserve"> and social media. This was in addition to customer direct contact by Company project managers and regional community managers,</w:t>
      </w:r>
      <w:r>
        <w:rPr>
          <w:rFonts w:ascii="Times New Roman" w:hAnsi="Times New Roman" w:cs="Times New Roman"/>
          <w:sz w:val="24"/>
          <w:szCs w:val="24"/>
        </w:rPr>
        <w:t xml:space="preserve"> as well as trade ally partners; </w:t>
      </w:r>
      <w:r w:rsidRPr="009E1CFD">
        <w:rPr>
          <w:rFonts w:ascii="Times New Roman" w:hAnsi="Times New Roman" w:cs="Times New Roman"/>
          <w:sz w:val="24"/>
          <w:szCs w:val="24"/>
        </w:rPr>
        <w:t>articles in the Company newsletters and content on the Company</w:t>
      </w:r>
      <w:r>
        <w:rPr>
          <w:rFonts w:ascii="Times New Roman" w:hAnsi="Times New Roman" w:cs="Times New Roman"/>
          <w:sz w:val="24"/>
          <w:szCs w:val="24"/>
        </w:rPr>
        <w:t>’s</w:t>
      </w:r>
      <w:r w:rsidRPr="009E1CFD">
        <w:rPr>
          <w:rFonts w:ascii="Times New Roman" w:hAnsi="Times New Roman" w:cs="Times New Roman"/>
          <w:sz w:val="24"/>
          <w:szCs w:val="24"/>
        </w:rPr>
        <w:t xml:space="preserve"> website.</w:t>
      </w:r>
    </w:p>
    <w:p w14:paraId="2451CF6D" w14:textId="77777777" w:rsidR="002005D1" w:rsidRDefault="002005D1" w:rsidP="002005D1">
      <w:pPr>
        <w:pStyle w:val="NoSpacing"/>
        <w:jc w:val="both"/>
        <w:rPr>
          <w:rFonts w:ascii="Times New Roman" w:hAnsi="Times New Roman" w:cs="Times New Roman"/>
          <w:sz w:val="24"/>
          <w:szCs w:val="24"/>
        </w:rPr>
      </w:pPr>
    </w:p>
    <w:p w14:paraId="2451CF6E" w14:textId="77777777" w:rsidR="002005D1" w:rsidRDefault="002005D1" w:rsidP="002005D1">
      <w:pPr>
        <w:pStyle w:val="NoSpacing"/>
        <w:jc w:val="both"/>
        <w:rPr>
          <w:rFonts w:ascii="Times New Roman" w:hAnsi="Times New Roman" w:cs="Times New Roman"/>
          <w:sz w:val="24"/>
          <w:szCs w:val="24"/>
        </w:rPr>
      </w:pPr>
      <w:r>
        <w:rPr>
          <w:rFonts w:ascii="Times New Roman" w:hAnsi="Times New Roman" w:cs="Times New Roman"/>
          <w:sz w:val="24"/>
          <w:szCs w:val="24"/>
        </w:rPr>
        <w:t>Working with the Sunnyside, Washington Chamber of Commerce and the Central Washington Hispanic Chamber, “lunch and learn” events focused on lighting were held in September to inform small and mid-size business customers about incentives for upgrades.</w:t>
      </w:r>
    </w:p>
    <w:p w14:paraId="2451CF6F" w14:textId="77777777" w:rsidR="002005D1" w:rsidRPr="009E1CFD" w:rsidRDefault="002005D1" w:rsidP="002005D1">
      <w:pPr>
        <w:pStyle w:val="NoSpacing"/>
        <w:jc w:val="both"/>
        <w:rPr>
          <w:rFonts w:ascii="Times New Roman" w:hAnsi="Times New Roman" w:cs="Times New Roman"/>
          <w:sz w:val="24"/>
          <w:szCs w:val="24"/>
        </w:rPr>
      </w:pPr>
      <w:r>
        <w:rPr>
          <w:rFonts w:ascii="Times New Roman" w:hAnsi="Times New Roman" w:cs="Times New Roman"/>
          <w:sz w:val="24"/>
          <w:szCs w:val="24"/>
        </w:rPr>
        <w:br/>
        <w:t>In June, a bill insert focused on energy savings and incentives for cooling systems was inserted in bills for business customers (excluding irrigation). During the same period, an email on cooling was sent.</w:t>
      </w:r>
    </w:p>
    <w:p w14:paraId="2451CF70" w14:textId="77777777" w:rsidR="002005D1" w:rsidRPr="009E1CFD" w:rsidRDefault="002005D1" w:rsidP="002005D1">
      <w:pPr>
        <w:pStyle w:val="NoSpacing"/>
        <w:jc w:val="both"/>
        <w:rPr>
          <w:rFonts w:ascii="Times New Roman" w:hAnsi="Times New Roman" w:cs="Times New Roman"/>
          <w:sz w:val="24"/>
          <w:szCs w:val="24"/>
        </w:rPr>
      </w:pPr>
    </w:p>
    <w:p w14:paraId="2451CF71" w14:textId="77777777" w:rsidR="002005D1" w:rsidRDefault="002005D1" w:rsidP="002005D1">
      <w:pPr>
        <w:pStyle w:val="NoSpacing"/>
        <w:jc w:val="both"/>
        <w:rPr>
          <w:rFonts w:ascii="Times New Roman" w:hAnsi="Times New Roman" w:cs="Times New Roman"/>
          <w:sz w:val="24"/>
          <w:szCs w:val="24"/>
        </w:rPr>
      </w:pPr>
      <w:r>
        <w:rPr>
          <w:rFonts w:ascii="Times New Roman" w:hAnsi="Times New Roman" w:cs="Times New Roman"/>
          <w:sz w:val="24"/>
          <w:szCs w:val="24"/>
        </w:rPr>
        <w:t>During 2015, radio communications encouraged business customers to make energy efficiency upgrades and print ads featured case study examples from program participants which were repurposed in social media. Quarterly eblasts and digital search ads directed viewers to the company’s website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Targeted direct mail was sent to irrigation and compressed air customers to encourage upgrades. </w:t>
      </w:r>
      <w:r w:rsidRPr="009E1CFD">
        <w:rPr>
          <w:rFonts w:ascii="Times New Roman" w:hAnsi="Times New Roman" w:cs="Times New Roman"/>
          <w:sz w:val="24"/>
          <w:szCs w:val="24"/>
        </w:rPr>
        <w:t>In 201</w:t>
      </w:r>
      <w:r>
        <w:rPr>
          <w:rFonts w:ascii="Times New Roman" w:hAnsi="Times New Roman" w:cs="Times New Roman"/>
          <w:sz w:val="24"/>
          <w:szCs w:val="24"/>
        </w:rPr>
        <w:t>5</w:t>
      </w:r>
      <w:r w:rsidRPr="009E1CFD">
        <w:rPr>
          <w:rFonts w:ascii="Times New Roman" w:hAnsi="Times New Roman" w:cs="Times New Roman"/>
          <w:sz w:val="24"/>
          <w:szCs w:val="24"/>
        </w:rPr>
        <w:t xml:space="preserve">, the program garnered </w:t>
      </w:r>
      <w:r>
        <w:rPr>
          <w:rFonts w:ascii="Times New Roman" w:hAnsi="Times New Roman" w:cs="Times New Roman"/>
          <w:sz w:val="24"/>
          <w:szCs w:val="24"/>
        </w:rPr>
        <w:t xml:space="preserve">2,971,762 </w:t>
      </w:r>
      <w:r w:rsidR="00F33971">
        <w:rPr>
          <w:rFonts w:ascii="Times New Roman" w:hAnsi="Times New Roman" w:cs="Times New Roman"/>
          <w:sz w:val="24"/>
          <w:szCs w:val="24"/>
        </w:rPr>
        <w:t>impressions. A b</w:t>
      </w:r>
      <w:r w:rsidRPr="009E1CFD">
        <w:rPr>
          <w:rFonts w:ascii="Times New Roman" w:hAnsi="Times New Roman" w:cs="Times New Roman"/>
          <w:sz w:val="24"/>
          <w:szCs w:val="24"/>
        </w:rPr>
        <w:t xml:space="preserve">reakdown of impressions </w:t>
      </w:r>
      <w:r>
        <w:rPr>
          <w:rFonts w:ascii="Times New Roman" w:hAnsi="Times New Roman" w:cs="Times New Roman"/>
          <w:sz w:val="24"/>
          <w:szCs w:val="24"/>
        </w:rPr>
        <w:t>by</w:t>
      </w:r>
      <w:r w:rsidR="00B24613">
        <w:rPr>
          <w:rFonts w:ascii="Times New Roman" w:hAnsi="Times New Roman" w:cs="Times New Roman"/>
          <w:sz w:val="24"/>
          <w:szCs w:val="24"/>
        </w:rPr>
        <w:t xml:space="preserve"> media type is shown in Table 2</w:t>
      </w:r>
      <w:r w:rsidR="004A5894">
        <w:rPr>
          <w:rFonts w:ascii="Times New Roman" w:hAnsi="Times New Roman" w:cs="Times New Roman"/>
          <w:sz w:val="24"/>
          <w:szCs w:val="24"/>
        </w:rPr>
        <w:t>3</w:t>
      </w:r>
      <w:r w:rsidRPr="009E1CFD">
        <w:rPr>
          <w:rFonts w:ascii="Times New Roman" w:hAnsi="Times New Roman" w:cs="Times New Roman"/>
          <w:sz w:val="24"/>
          <w:szCs w:val="24"/>
        </w:rPr>
        <w:t>.</w:t>
      </w:r>
    </w:p>
    <w:p w14:paraId="2451CF72" w14:textId="77777777" w:rsidR="002005D1" w:rsidRDefault="002005D1" w:rsidP="002005D1">
      <w:pPr>
        <w:pStyle w:val="NoSpacing"/>
        <w:jc w:val="both"/>
        <w:rPr>
          <w:rFonts w:ascii="Times New Roman" w:hAnsi="Times New Roman" w:cs="Times New Roman"/>
          <w:sz w:val="24"/>
          <w:szCs w:val="24"/>
        </w:rPr>
      </w:pPr>
    </w:p>
    <w:p w14:paraId="2451CF73" w14:textId="77777777" w:rsidR="004A5894" w:rsidRDefault="004A5894" w:rsidP="002005D1">
      <w:pPr>
        <w:pStyle w:val="NoSpacing"/>
        <w:jc w:val="both"/>
        <w:rPr>
          <w:rFonts w:ascii="Times New Roman" w:hAnsi="Times New Roman" w:cs="Times New Roman"/>
          <w:sz w:val="24"/>
          <w:szCs w:val="24"/>
        </w:rPr>
      </w:pPr>
    </w:p>
    <w:p w14:paraId="2451CF74" w14:textId="77777777" w:rsidR="004A5894" w:rsidRDefault="004A5894" w:rsidP="002005D1">
      <w:pPr>
        <w:pStyle w:val="NoSpacing"/>
        <w:jc w:val="both"/>
        <w:rPr>
          <w:rFonts w:ascii="Times New Roman" w:hAnsi="Times New Roman" w:cs="Times New Roman"/>
          <w:sz w:val="24"/>
          <w:szCs w:val="24"/>
        </w:rPr>
      </w:pPr>
    </w:p>
    <w:p w14:paraId="2451CF75" w14:textId="77777777" w:rsidR="004A5894" w:rsidRPr="009E1CFD" w:rsidRDefault="004A5894" w:rsidP="002005D1">
      <w:pPr>
        <w:pStyle w:val="NoSpacing"/>
        <w:jc w:val="both"/>
        <w:rPr>
          <w:rFonts w:ascii="Times New Roman" w:hAnsi="Times New Roman" w:cs="Times New Roman"/>
          <w:sz w:val="24"/>
          <w:szCs w:val="24"/>
        </w:rPr>
      </w:pPr>
    </w:p>
    <w:p w14:paraId="2451CF76" w14:textId="77777777" w:rsidR="002005D1" w:rsidRPr="009E1CFD" w:rsidRDefault="00B24613" w:rsidP="002005D1">
      <w:pPr>
        <w:pStyle w:val="NoSpacing"/>
        <w:jc w:val="center"/>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lastRenderedPageBreak/>
        <w:t>Table 2</w:t>
      </w:r>
      <w:r w:rsidR="004A5894">
        <w:rPr>
          <w:rFonts w:ascii="Times New Roman" w:hAnsi="Times New Roman" w:cs="Times New Roman"/>
          <w:color w:val="548DD4" w:themeColor="text2" w:themeTint="99"/>
          <w:sz w:val="24"/>
          <w:szCs w:val="24"/>
        </w:rPr>
        <w:t>3</w:t>
      </w:r>
    </w:p>
    <w:p w14:paraId="2451CF77" w14:textId="77777777" w:rsidR="002005D1" w:rsidRPr="009E1CFD" w:rsidRDefault="002005D1" w:rsidP="002005D1">
      <w:pPr>
        <w:pStyle w:val="NoSpacing"/>
        <w:jc w:val="center"/>
        <w:rPr>
          <w:rFonts w:ascii="Times New Roman" w:hAnsi="Times New Roman" w:cs="Times New Roman"/>
          <w:i/>
          <w:color w:val="548DD4" w:themeColor="text2" w:themeTint="99"/>
          <w:sz w:val="24"/>
          <w:szCs w:val="24"/>
        </w:rPr>
      </w:pPr>
      <w:r w:rsidRPr="00730B09">
        <w:rPr>
          <w:rFonts w:ascii="Times New Roman" w:hAnsi="Times New Roman" w:cs="Times New Roman"/>
          <w:color w:val="548DD4" w:themeColor="text2" w:themeTint="99"/>
          <w:sz w:val="24"/>
          <w:szCs w:val="24"/>
        </w:rPr>
        <w:t xml:space="preserve"> </w:t>
      </w:r>
      <w:r w:rsidR="00730B09">
        <w:rPr>
          <w:rFonts w:ascii="Times New Roman" w:hAnsi="Times New Roman" w:cs="Times New Roman"/>
          <w:i/>
          <w:color w:val="548DD4" w:themeColor="text2" w:themeTint="99"/>
          <w:sz w:val="24"/>
          <w:szCs w:val="24"/>
        </w:rPr>
        <w:t>watt</w:t>
      </w:r>
      <w:r w:rsidR="00730B09">
        <w:rPr>
          <w:rFonts w:ascii="Times New Roman" w:hAnsi="Times New Roman" w:cs="Times New Roman"/>
          <w:color w:val="548DD4" w:themeColor="text2" w:themeTint="99"/>
          <w:sz w:val="24"/>
          <w:szCs w:val="24"/>
        </w:rPr>
        <w:t xml:space="preserve">smart </w:t>
      </w:r>
      <w:r>
        <w:rPr>
          <w:rFonts w:ascii="Times New Roman" w:hAnsi="Times New Roman" w:cs="Times New Roman"/>
          <w:color w:val="548DD4" w:themeColor="text2" w:themeTint="99"/>
          <w:sz w:val="24"/>
          <w:szCs w:val="24"/>
        </w:rPr>
        <w:t xml:space="preserve">Business </w:t>
      </w:r>
    </w:p>
    <w:p w14:paraId="2451CF78" w14:textId="77777777" w:rsidR="002005D1" w:rsidRPr="009E1CFD" w:rsidRDefault="002005D1" w:rsidP="002005D1">
      <w:pPr>
        <w:pStyle w:val="NoSpacing"/>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880"/>
        <w:gridCol w:w="2430"/>
      </w:tblGrid>
      <w:tr w:rsidR="002005D1" w:rsidRPr="003E3BF6" w14:paraId="2451CF7B"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bottom"/>
          </w:tcPr>
          <w:p w14:paraId="2451CF79" w14:textId="77777777" w:rsidR="002005D1" w:rsidRPr="00304D6C" w:rsidRDefault="002005D1" w:rsidP="00CB1948">
            <w:pPr>
              <w:pStyle w:val="NoSpacing"/>
              <w:jc w:val="center"/>
              <w:rPr>
                <w:rFonts w:cs="Times New Roman"/>
                <w:b/>
                <w:sz w:val="20"/>
                <w:szCs w:val="20"/>
              </w:rPr>
            </w:pPr>
            <w:r w:rsidRPr="00304D6C">
              <w:rPr>
                <w:rFonts w:cs="Times New Roman"/>
                <w:b/>
                <w:color w:val="000000"/>
                <w:sz w:val="20"/>
                <w:szCs w:val="20"/>
              </w:rPr>
              <w:t>Communications Channel</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bottom"/>
          </w:tcPr>
          <w:p w14:paraId="2451CF7A" w14:textId="77777777" w:rsidR="002005D1" w:rsidRPr="00304D6C" w:rsidRDefault="002005D1" w:rsidP="00CB1948">
            <w:pPr>
              <w:pStyle w:val="NoSpacing"/>
              <w:jc w:val="center"/>
              <w:rPr>
                <w:rFonts w:cs="Times New Roman"/>
                <w:b/>
                <w:sz w:val="20"/>
                <w:szCs w:val="20"/>
              </w:rPr>
            </w:pPr>
            <w:r w:rsidRPr="00304D6C">
              <w:rPr>
                <w:rFonts w:cs="Times New Roman"/>
                <w:b/>
                <w:color w:val="000000"/>
                <w:sz w:val="20"/>
                <w:szCs w:val="20"/>
              </w:rPr>
              <w:t>2015 Impressions</w:t>
            </w:r>
          </w:p>
        </w:tc>
      </w:tr>
      <w:tr w:rsidR="002005D1" w:rsidRPr="001F31FD" w14:paraId="2451CF7E"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7C" w14:textId="77777777" w:rsidR="002005D1" w:rsidRPr="00304D6C" w:rsidRDefault="002005D1" w:rsidP="00CB1948">
            <w:pPr>
              <w:pStyle w:val="NoSpacing"/>
              <w:jc w:val="both"/>
              <w:rPr>
                <w:rFonts w:cs="Times New Roman"/>
                <w:sz w:val="20"/>
                <w:szCs w:val="20"/>
              </w:rPr>
            </w:pPr>
            <w:r w:rsidRPr="00304D6C">
              <w:rPr>
                <w:rFonts w:cs="Times New Roman"/>
                <w:color w:val="000000"/>
                <w:sz w:val="20"/>
                <w:szCs w:val="20"/>
              </w:rPr>
              <w:t>Radio</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7D" w14:textId="77777777" w:rsidR="002005D1" w:rsidRPr="00304D6C" w:rsidRDefault="002005D1" w:rsidP="00CB1948">
            <w:pPr>
              <w:pStyle w:val="NoSpacing"/>
              <w:jc w:val="right"/>
              <w:rPr>
                <w:rFonts w:cs="Times New Roman"/>
                <w:sz w:val="20"/>
                <w:szCs w:val="20"/>
              </w:rPr>
            </w:pPr>
            <w:r w:rsidRPr="00304D6C">
              <w:rPr>
                <w:rFonts w:cs="Times New Roman"/>
                <w:sz w:val="20"/>
                <w:szCs w:val="20"/>
              </w:rPr>
              <w:t>1,727,000</w:t>
            </w:r>
          </w:p>
        </w:tc>
      </w:tr>
      <w:tr w:rsidR="002005D1" w:rsidRPr="001F31FD" w14:paraId="2451CF81"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7F" w14:textId="77777777" w:rsidR="002005D1" w:rsidRPr="00304D6C" w:rsidRDefault="002005D1" w:rsidP="00CB1948">
            <w:pPr>
              <w:pStyle w:val="NoSpacing"/>
              <w:jc w:val="both"/>
              <w:rPr>
                <w:rFonts w:cs="Times New Roman"/>
                <w:sz w:val="20"/>
                <w:szCs w:val="20"/>
              </w:rPr>
            </w:pPr>
            <w:r w:rsidRPr="00304D6C">
              <w:rPr>
                <w:rFonts w:cs="Times New Roman"/>
                <w:color w:val="000000"/>
                <w:sz w:val="20"/>
                <w:szCs w:val="20"/>
              </w:rPr>
              <w:t>Newspaper</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0" w14:textId="77777777" w:rsidR="002005D1" w:rsidRPr="00304D6C" w:rsidRDefault="002005D1" w:rsidP="00CB1948">
            <w:pPr>
              <w:pStyle w:val="NoSpacing"/>
              <w:jc w:val="right"/>
              <w:rPr>
                <w:rFonts w:cs="Times New Roman"/>
                <w:sz w:val="20"/>
                <w:szCs w:val="20"/>
              </w:rPr>
            </w:pPr>
            <w:r w:rsidRPr="00304D6C">
              <w:rPr>
                <w:rFonts w:cs="Times New Roman"/>
                <w:sz w:val="20"/>
                <w:szCs w:val="20"/>
              </w:rPr>
              <w:t>824,126</w:t>
            </w:r>
          </w:p>
        </w:tc>
      </w:tr>
      <w:tr w:rsidR="002005D1" w:rsidRPr="001F31FD" w14:paraId="2451CF84"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2"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Magazine</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3" w14:textId="77777777" w:rsidR="002005D1" w:rsidRPr="00304D6C" w:rsidRDefault="002005D1" w:rsidP="00CB1948">
            <w:pPr>
              <w:pStyle w:val="NoSpacing"/>
              <w:jc w:val="right"/>
              <w:rPr>
                <w:rFonts w:cs="Times New Roman"/>
                <w:sz w:val="20"/>
                <w:szCs w:val="20"/>
              </w:rPr>
            </w:pPr>
            <w:r w:rsidRPr="00304D6C">
              <w:rPr>
                <w:rFonts w:cs="Times New Roman"/>
                <w:sz w:val="20"/>
                <w:szCs w:val="20"/>
              </w:rPr>
              <w:t>275,310</w:t>
            </w:r>
          </w:p>
        </w:tc>
      </w:tr>
      <w:tr w:rsidR="002005D1" w:rsidRPr="001F31FD" w14:paraId="2451CF87"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5"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Digital Display</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6" w14:textId="77777777" w:rsidR="002005D1" w:rsidRPr="00304D6C" w:rsidRDefault="002005D1" w:rsidP="00CB1948">
            <w:pPr>
              <w:pStyle w:val="NoSpacing"/>
              <w:jc w:val="right"/>
              <w:rPr>
                <w:rFonts w:cs="Times New Roman"/>
                <w:color w:val="000000"/>
                <w:sz w:val="20"/>
                <w:szCs w:val="20"/>
              </w:rPr>
            </w:pPr>
            <w:r w:rsidRPr="00304D6C">
              <w:rPr>
                <w:rFonts w:cs="Times New Roman"/>
                <w:sz w:val="20"/>
                <w:szCs w:val="20"/>
              </w:rPr>
              <w:t>116,298</w:t>
            </w:r>
          </w:p>
        </w:tc>
      </w:tr>
      <w:tr w:rsidR="002005D1" w:rsidRPr="001F31FD" w14:paraId="2451CF8A"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8"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Google Search</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9" w14:textId="77777777" w:rsidR="002005D1" w:rsidRPr="00304D6C" w:rsidRDefault="002005D1" w:rsidP="00CB1948">
            <w:pPr>
              <w:pStyle w:val="NoSpacing"/>
              <w:jc w:val="right"/>
              <w:rPr>
                <w:rFonts w:cs="Times New Roman"/>
                <w:sz w:val="20"/>
                <w:szCs w:val="20"/>
              </w:rPr>
            </w:pPr>
            <w:r w:rsidRPr="00304D6C">
              <w:rPr>
                <w:rFonts w:cs="Times New Roman"/>
                <w:sz w:val="20"/>
                <w:szCs w:val="20"/>
              </w:rPr>
              <w:t>10,360</w:t>
            </w:r>
          </w:p>
        </w:tc>
      </w:tr>
      <w:tr w:rsidR="002005D1" w:rsidRPr="001F31FD" w14:paraId="2451CF8D"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B"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Eblasts</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C" w14:textId="77777777" w:rsidR="002005D1" w:rsidRPr="00304D6C" w:rsidRDefault="002005D1" w:rsidP="00CB1948">
            <w:pPr>
              <w:pStyle w:val="NoSpacing"/>
              <w:jc w:val="right"/>
              <w:rPr>
                <w:rFonts w:cs="Times New Roman"/>
                <w:sz w:val="20"/>
                <w:szCs w:val="20"/>
              </w:rPr>
            </w:pPr>
            <w:r w:rsidRPr="00304D6C">
              <w:rPr>
                <w:rFonts w:cs="Times New Roman"/>
                <w:sz w:val="20"/>
                <w:szCs w:val="20"/>
              </w:rPr>
              <w:t>7,400</w:t>
            </w:r>
          </w:p>
        </w:tc>
      </w:tr>
      <w:tr w:rsidR="002005D1" w:rsidRPr="001F31FD" w14:paraId="2451CF90"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E"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Bill inserts</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8F" w14:textId="77777777" w:rsidR="002005D1" w:rsidRPr="00304D6C" w:rsidRDefault="002005D1" w:rsidP="00CB1948">
            <w:pPr>
              <w:pStyle w:val="NoSpacing"/>
              <w:jc w:val="right"/>
              <w:rPr>
                <w:rFonts w:cs="Times New Roman"/>
                <w:sz w:val="20"/>
                <w:szCs w:val="20"/>
              </w:rPr>
            </w:pPr>
            <w:r w:rsidRPr="00304D6C">
              <w:rPr>
                <w:rFonts w:cs="Times New Roman"/>
                <w:sz w:val="20"/>
                <w:szCs w:val="20"/>
              </w:rPr>
              <w:t>8,556</w:t>
            </w:r>
          </w:p>
        </w:tc>
      </w:tr>
      <w:tr w:rsidR="002005D1" w:rsidRPr="001F31FD" w14:paraId="2451CF93" w14:textId="77777777" w:rsidTr="00730B09">
        <w:trPr>
          <w:jc w:val="center"/>
        </w:trPr>
        <w:tc>
          <w:tcPr>
            <w:tcW w:w="28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91" w14:textId="77777777" w:rsidR="002005D1" w:rsidRPr="00304D6C" w:rsidRDefault="002005D1" w:rsidP="00CB1948">
            <w:pPr>
              <w:pStyle w:val="NoSpacing"/>
              <w:jc w:val="both"/>
              <w:rPr>
                <w:rFonts w:cs="Times New Roman"/>
                <w:color w:val="000000"/>
                <w:sz w:val="20"/>
                <w:szCs w:val="20"/>
              </w:rPr>
            </w:pPr>
            <w:r w:rsidRPr="00304D6C">
              <w:rPr>
                <w:rFonts w:cs="Times New Roman"/>
                <w:color w:val="000000"/>
                <w:sz w:val="20"/>
                <w:szCs w:val="20"/>
              </w:rPr>
              <w:t>Direct Mail</w:t>
            </w:r>
          </w:p>
        </w:tc>
        <w:tc>
          <w:tcPr>
            <w:tcW w:w="24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451CF92" w14:textId="77777777" w:rsidR="002005D1" w:rsidRPr="00304D6C" w:rsidRDefault="002005D1" w:rsidP="00CB1948">
            <w:pPr>
              <w:pStyle w:val="NoSpacing"/>
              <w:jc w:val="right"/>
              <w:rPr>
                <w:rFonts w:cs="Times New Roman"/>
                <w:color w:val="000000"/>
                <w:sz w:val="20"/>
                <w:szCs w:val="20"/>
              </w:rPr>
            </w:pPr>
            <w:r w:rsidRPr="00304D6C">
              <w:rPr>
                <w:rFonts w:cs="Times New Roman"/>
                <w:color w:val="222222"/>
                <w:sz w:val="20"/>
                <w:szCs w:val="20"/>
              </w:rPr>
              <w:t>2,712</w:t>
            </w:r>
          </w:p>
        </w:tc>
      </w:tr>
    </w:tbl>
    <w:p w14:paraId="2451CF94" w14:textId="77777777" w:rsidR="002005D1" w:rsidRPr="007716B1" w:rsidRDefault="002005D1" w:rsidP="002005D1">
      <w:pPr>
        <w:pStyle w:val="NoSpacing"/>
        <w:rPr>
          <w:rFonts w:ascii="Times New Roman" w:hAnsi="Times New Roman" w:cs="Times New Roman"/>
          <w:color w:val="548DD4" w:themeColor="text2" w:themeTint="99"/>
          <w:sz w:val="24"/>
          <w:szCs w:val="24"/>
        </w:rPr>
      </w:pPr>
    </w:p>
    <w:p w14:paraId="2451CF95" w14:textId="77777777" w:rsidR="002005D1" w:rsidRPr="00F564FF" w:rsidRDefault="002005D1" w:rsidP="002005D1">
      <w:pPr>
        <w:pStyle w:val="Heading2"/>
      </w:pPr>
      <w:bookmarkStart w:id="94" w:name="_Toc449356506"/>
      <w:bookmarkStart w:id="95" w:name="_Toc449510519"/>
      <w:r w:rsidRPr="00F564FF">
        <w:t>Energy Education in Schools</w:t>
      </w:r>
      <w:bookmarkEnd w:id="94"/>
      <w:bookmarkEnd w:id="95"/>
      <w:r w:rsidRPr="00F564FF">
        <w:t xml:space="preserve"> </w:t>
      </w:r>
    </w:p>
    <w:p w14:paraId="2451CF96" w14:textId="77777777" w:rsidR="002005D1" w:rsidRPr="00F564FF" w:rsidRDefault="002005D1" w:rsidP="002005D1">
      <w:pPr>
        <w:jc w:val="both"/>
        <w:rPr>
          <w:rFonts w:ascii="Times New Roman" w:hAnsi="Times New Roman" w:cs="Times New Roman"/>
          <w:sz w:val="24"/>
          <w:szCs w:val="24"/>
        </w:rPr>
      </w:pPr>
    </w:p>
    <w:p w14:paraId="2451CF97" w14:textId="77777777" w:rsidR="002005D1" w:rsidRPr="00F564FF" w:rsidRDefault="002005D1" w:rsidP="002005D1">
      <w:pPr>
        <w:jc w:val="both"/>
        <w:rPr>
          <w:rFonts w:ascii="Times New Roman" w:hAnsi="Times New Roman" w:cs="Times New Roman"/>
          <w:sz w:val="24"/>
          <w:szCs w:val="24"/>
        </w:rPr>
      </w:pPr>
      <w:r>
        <w:rPr>
          <w:rFonts w:ascii="Times New Roman" w:hAnsi="Times New Roman" w:cs="Times New Roman"/>
          <w:sz w:val="24"/>
          <w:szCs w:val="24"/>
        </w:rPr>
        <w:t>T</w:t>
      </w:r>
      <w:r w:rsidRPr="00F564FF">
        <w:rPr>
          <w:rFonts w:ascii="Times New Roman" w:hAnsi="Times New Roman" w:cs="Times New Roman"/>
          <w:sz w:val="24"/>
          <w:szCs w:val="24"/>
        </w:rPr>
        <w:t xml:space="preserve">he Company </w:t>
      </w:r>
      <w:r>
        <w:rPr>
          <w:rFonts w:ascii="Times New Roman" w:hAnsi="Times New Roman" w:cs="Times New Roman"/>
          <w:sz w:val="24"/>
          <w:szCs w:val="24"/>
        </w:rPr>
        <w:t xml:space="preserve">offers a </w:t>
      </w:r>
      <w:r w:rsidRPr="00730B09">
        <w:rPr>
          <w:rFonts w:ascii="Times New Roman" w:hAnsi="Times New Roman" w:cs="Times New Roman"/>
          <w:i/>
          <w:sz w:val="24"/>
          <w:szCs w:val="24"/>
        </w:rPr>
        <w:t>watt</w:t>
      </w:r>
      <w:r w:rsidRPr="00730B09">
        <w:rPr>
          <w:rFonts w:ascii="Times New Roman" w:hAnsi="Times New Roman" w:cs="Times New Roman"/>
          <w:sz w:val="24"/>
          <w:szCs w:val="24"/>
        </w:rPr>
        <w:t>s</w:t>
      </w:r>
      <w:r w:rsidRPr="00E634F6">
        <w:rPr>
          <w:rFonts w:ascii="Times New Roman" w:hAnsi="Times New Roman" w:cs="Times New Roman"/>
          <w:sz w:val="24"/>
          <w:szCs w:val="24"/>
        </w:rPr>
        <w:t>mart</w:t>
      </w:r>
      <w:r w:rsidRPr="00F564FF">
        <w:rPr>
          <w:rFonts w:ascii="Times New Roman" w:hAnsi="Times New Roman" w:cs="Times New Roman"/>
          <w:sz w:val="24"/>
          <w:szCs w:val="24"/>
        </w:rPr>
        <w:t xml:space="preserve"> Schools education program </w:t>
      </w:r>
      <w:r>
        <w:rPr>
          <w:rFonts w:ascii="Times New Roman" w:hAnsi="Times New Roman" w:cs="Times New Roman"/>
          <w:sz w:val="24"/>
          <w:szCs w:val="24"/>
        </w:rPr>
        <w:t>through</w:t>
      </w:r>
      <w:r w:rsidRPr="00F564FF">
        <w:rPr>
          <w:rFonts w:ascii="Times New Roman" w:hAnsi="Times New Roman" w:cs="Times New Roman"/>
          <w:sz w:val="24"/>
          <w:szCs w:val="24"/>
        </w:rPr>
        <w:t xml:space="preserve"> the National Energy Foundation </w:t>
      </w:r>
      <w:r w:rsidR="006F432A">
        <w:rPr>
          <w:rFonts w:ascii="Times New Roman" w:hAnsi="Times New Roman" w:cs="Times New Roman"/>
          <w:sz w:val="24"/>
          <w:szCs w:val="24"/>
        </w:rPr>
        <w:t>(</w:t>
      </w:r>
      <w:r w:rsidRPr="00F564FF">
        <w:rPr>
          <w:rFonts w:ascii="Times New Roman" w:hAnsi="Times New Roman" w:cs="Times New Roman"/>
          <w:sz w:val="24"/>
          <w:szCs w:val="24"/>
        </w:rPr>
        <w:t>NEF</w:t>
      </w:r>
      <w:r w:rsidR="006F432A">
        <w:rPr>
          <w:rFonts w:ascii="Times New Roman" w:hAnsi="Times New Roman" w:cs="Times New Roman"/>
          <w:sz w:val="24"/>
          <w:szCs w:val="24"/>
        </w:rPr>
        <w:t>)</w:t>
      </w:r>
      <w:r w:rsidRPr="00F564FF">
        <w:rPr>
          <w:rFonts w:ascii="Times New Roman" w:hAnsi="Times New Roman" w:cs="Times New Roman"/>
          <w:sz w:val="24"/>
          <w:szCs w:val="24"/>
        </w:rPr>
        <w:t>.</w:t>
      </w:r>
      <w:r>
        <w:rPr>
          <w:rFonts w:ascii="Times New Roman" w:hAnsi="Times New Roman" w:cs="Times New Roman"/>
          <w:sz w:val="24"/>
          <w:szCs w:val="24"/>
        </w:rPr>
        <w:t xml:space="preserve"> </w:t>
      </w:r>
      <w:r w:rsidRPr="00F564FF">
        <w:rPr>
          <w:rFonts w:ascii="Times New Roman" w:hAnsi="Times New Roman" w:cs="Times New Roman"/>
          <w:sz w:val="24"/>
          <w:szCs w:val="24"/>
        </w:rPr>
        <w:t>The program is designed to develop a culture of energy efficiency among teachers, students, and families. The centerpiece is a series of one hour presentations with hands-on, large group activities for 4</w:t>
      </w:r>
      <w:r w:rsidRPr="00F564FF">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Pr="00F564FF">
        <w:rPr>
          <w:rFonts w:ascii="Times New Roman" w:hAnsi="Times New Roman" w:cs="Times New Roman"/>
          <w:sz w:val="24"/>
          <w:szCs w:val="24"/>
        </w:rPr>
        <w:t>5</w:t>
      </w:r>
      <w:r w:rsidRPr="00F564FF">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F564FF">
        <w:rPr>
          <w:rFonts w:ascii="Times New Roman" w:hAnsi="Times New Roman" w:cs="Times New Roman"/>
          <w:sz w:val="24"/>
          <w:szCs w:val="24"/>
        </w:rPr>
        <w:t xml:space="preserve">grade students. Teachers are provided instructional materials for use in their classrooms, and students are sent home with a Household Report Card to explore energy use in their homes and to encourage efficient behaviors. </w:t>
      </w:r>
    </w:p>
    <w:p w14:paraId="2451CF98" w14:textId="77777777" w:rsidR="002005D1" w:rsidRDefault="002005D1" w:rsidP="002005D1">
      <w:pPr>
        <w:jc w:val="both"/>
        <w:rPr>
          <w:rFonts w:ascii="Times New Roman" w:hAnsi="Times New Roman" w:cs="Times New Roman"/>
          <w:sz w:val="24"/>
          <w:szCs w:val="24"/>
        </w:rPr>
      </w:pPr>
    </w:p>
    <w:p w14:paraId="2451CF99" w14:textId="77777777" w:rsidR="002005D1" w:rsidRDefault="002005D1" w:rsidP="002005D1">
      <w:pPr>
        <w:jc w:val="both"/>
        <w:rPr>
          <w:rFonts w:ascii="Times New Roman" w:hAnsi="Times New Roman" w:cs="Times New Roman"/>
          <w:sz w:val="24"/>
          <w:szCs w:val="24"/>
        </w:rPr>
      </w:pPr>
      <w:r w:rsidRPr="0074366F">
        <w:rPr>
          <w:rFonts w:ascii="Times New Roman" w:hAnsi="Times New Roman" w:cs="Times New Roman"/>
          <w:sz w:val="24"/>
          <w:szCs w:val="24"/>
        </w:rPr>
        <w:t>In 201</w:t>
      </w:r>
      <w:r>
        <w:rPr>
          <w:rFonts w:ascii="Times New Roman" w:hAnsi="Times New Roman" w:cs="Times New Roman"/>
          <w:sz w:val="24"/>
          <w:szCs w:val="24"/>
        </w:rPr>
        <w:t>5</w:t>
      </w:r>
      <w:r w:rsidRPr="0074366F">
        <w:rPr>
          <w:rFonts w:ascii="Times New Roman" w:hAnsi="Times New Roman" w:cs="Times New Roman"/>
          <w:sz w:val="24"/>
          <w:szCs w:val="24"/>
        </w:rPr>
        <w:t xml:space="preserve">, NEF conducted presentations in Washington schools in </w:t>
      </w:r>
      <w:r>
        <w:rPr>
          <w:rFonts w:ascii="Times New Roman" w:hAnsi="Times New Roman" w:cs="Times New Roman"/>
          <w:sz w:val="24"/>
          <w:szCs w:val="24"/>
        </w:rPr>
        <w:t>the</w:t>
      </w:r>
      <w:r w:rsidRPr="0074366F">
        <w:rPr>
          <w:rFonts w:ascii="Times New Roman" w:hAnsi="Times New Roman" w:cs="Times New Roman"/>
          <w:sz w:val="24"/>
          <w:szCs w:val="24"/>
        </w:rPr>
        <w:t xml:space="preserve"> fall.</w:t>
      </w:r>
    </w:p>
    <w:p w14:paraId="2451CF9A" w14:textId="77777777" w:rsidR="002005D1" w:rsidRPr="0074366F" w:rsidRDefault="002005D1" w:rsidP="002005D1">
      <w:pPr>
        <w:pStyle w:val="ListParagraph"/>
        <w:numPr>
          <w:ilvl w:val="0"/>
          <w:numId w:val="30"/>
        </w:numPr>
        <w:jc w:val="both"/>
        <w:rPr>
          <w:rFonts w:ascii="Times New Roman" w:hAnsi="Times New Roman" w:cs="Times New Roman"/>
          <w:sz w:val="24"/>
          <w:szCs w:val="24"/>
        </w:rPr>
      </w:pPr>
      <w:r w:rsidRPr="0074366F">
        <w:rPr>
          <w:rFonts w:ascii="Times New Roman" w:hAnsi="Times New Roman" w:cs="Times New Roman"/>
          <w:sz w:val="24"/>
          <w:szCs w:val="24"/>
        </w:rPr>
        <w:t xml:space="preserve">Between </w:t>
      </w:r>
      <w:r>
        <w:rPr>
          <w:rFonts w:ascii="Times New Roman" w:hAnsi="Times New Roman" w:cs="Times New Roman"/>
          <w:sz w:val="24"/>
          <w:szCs w:val="24"/>
        </w:rPr>
        <w:t>October 12</w:t>
      </w:r>
      <w:r w:rsidRPr="0074366F">
        <w:rPr>
          <w:rFonts w:ascii="Times New Roman" w:hAnsi="Times New Roman" w:cs="Times New Roman"/>
          <w:sz w:val="24"/>
          <w:szCs w:val="24"/>
        </w:rPr>
        <w:t xml:space="preserve"> and </w:t>
      </w:r>
      <w:r>
        <w:rPr>
          <w:rFonts w:ascii="Times New Roman" w:hAnsi="Times New Roman" w:cs="Times New Roman"/>
          <w:sz w:val="24"/>
          <w:szCs w:val="24"/>
        </w:rPr>
        <w:t>November 13, 2015</w:t>
      </w:r>
      <w:r w:rsidRPr="0074366F">
        <w:rPr>
          <w:rFonts w:ascii="Times New Roman" w:hAnsi="Times New Roman" w:cs="Times New Roman"/>
          <w:sz w:val="24"/>
          <w:szCs w:val="24"/>
        </w:rPr>
        <w:t xml:space="preserve">, the program met its outreach goals of reaching </w:t>
      </w:r>
      <w:r>
        <w:rPr>
          <w:rFonts w:ascii="Times New Roman" w:hAnsi="Times New Roman" w:cs="Times New Roman"/>
          <w:sz w:val="24"/>
          <w:szCs w:val="24"/>
        </w:rPr>
        <w:t>4,127</w:t>
      </w:r>
      <w:r w:rsidRPr="0074366F">
        <w:rPr>
          <w:rFonts w:ascii="Times New Roman" w:hAnsi="Times New Roman" w:cs="Times New Roman"/>
          <w:sz w:val="24"/>
          <w:szCs w:val="24"/>
        </w:rPr>
        <w:t xml:space="preserve"> students and 15</w:t>
      </w:r>
      <w:r>
        <w:rPr>
          <w:rFonts w:ascii="Times New Roman" w:hAnsi="Times New Roman" w:cs="Times New Roman"/>
          <w:sz w:val="24"/>
          <w:szCs w:val="24"/>
        </w:rPr>
        <w:t>2</w:t>
      </w:r>
      <w:r w:rsidRPr="0074366F">
        <w:rPr>
          <w:rFonts w:ascii="Times New Roman" w:hAnsi="Times New Roman" w:cs="Times New Roman"/>
          <w:sz w:val="24"/>
          <w:szCs w:val="24"/>
        </w:rPr>
        <w:t xml:space="preserve"> teachers </w:t>
      </w:r>
      <w:r>
        <w:rPr>
          <w:rFonts w:ascii="Times New Roman" w:hAnsi="Times New Roman" w:cs="Times New Roman"/>
          <w:sz w:val="24"/>
          <w:szCs w:val="24"/>
        </w:rPr>
        <w:t xml:space="preserve">in 50 schools </w:t>
      </w:r>
      <w:r w:rsidRPr="0074366F">
        <w:rPr>
          <w:rFonts w:ascii="Times New Roman" w:hAnsi="Times New Roman" w:cs="Times New Roman"/>
          <w:sz w:val="24"/>
          <w:szCs w:val="24"/>
        </w:rPr>
        <w:t xml:space="preserve">with </w:t>
      </w:r>
      <w:r>
        <w:rPr>
          <w:rFonts w:ascii="Times New Roman" w:hAnsi="Times New Roman" w:cs="Times New Roman"/>
          <w:sz w:val="24"/>
          <w:szCs w:val="24"/>
        </w:rPr>
        <w:t>62.73</w:t>
      </w:r>
      <w:r w:rsidRPr="0074366F">
        <w:rPr>
          <w:rFonts w:ascii="Times New Roman" w:hAnsi="Times New Roman" w:cs="Times New Roman"/>
          <w:sz w:val="24"/>
          <w:szCs w:val="24"/>
        </w:rPr>
        <w:t xml:space="preserve"> percent of </w:t>
      </w:r>
      <w:r>
        <w:rPr>
          <w:rFonts w:ascii="Times New Roman" w:hAnsi="Times New Roman" w:cs="Times New Roman"/>
          <w:sz w:val="24"/>
          <w:szCs w:val="24"/>
        </w:rPr>
        <w:t>“Household Report Cards”, which are used as part of a home energy audit activity, completed and returned</w:t>
      </w:r>
      <w:r w:rsidRPr="0074366F">
        <w:rPr>
          <w:rFonts w:ascii="Times New Roman" w:hAnsi="Times New Roman" w:cs="Times New Roman"/>
          <w:sz w:val="24"/>
          <w:szCs w:val="24"/>
        </w:rPr>
        <w:t xml:space="preserve">. </w:t>
      </w:r>
    </w:p>
    <w:p w14:paraId="2451CF9B" w14:textId="77777777" w:rsidR="00AB1F2B" w:rsidRDefault="00AB1F2B" w:rsidP="00C3657A">
      <w:pPr>
        <w:pStyle w:val="NoSpacing"/>
        <w:jc w:val="both"/>
        <w:rPr>
          <w:rFonts w:ascii="Times New Roman" w:hAnsi="Times New Roman" w:cs="Times New Roman"/>
          <w:sz w:val="24"/>
          <w:szCs w:val="24"/>
        </w:rPr>
      </w:pPr>
    </w:p>
    <w:p w14:paraId="2451CF9C" w14:textId="77777777" w:rsidR="004A5894" w:rsidRDefault="004A5894" w:rsidP="00C3657A">
      <w:pPr>
        <w:pStyle w:val="NoSpacing"/>
        <w:jc w:val="both"/>
        <w:rPr>
          <w:rFonts w:ascii="Times New Roman" w:hAnsi="Times New Roman" w:cs="Times New Roman"/>
          <w:sz w:val="24"/>
          <w:szCs w:val="24"/>
        </w:rPr>
      </w:pPr>
    </w:p>
    <w:p w14:paraId="2451CF9D" w14:textId="77777777" w:rsidR="004A5894" w:rsidRDefault="004A5894" w:rsidP="00C3657A">
      <w:pPr>
        <w:pStyle w:val="NoSpacing"/>
        <w:jc w:val="both"/>
        <w:rPr>
          <w:rFonts w:ascii="Times New Roman" w:hAnsi="Times New Roman" w:cs="Times New Roman"/>
          <w:sz w:val="24"/>
          <w:szCs w:val="24"/>
        </w:rPr>
      </w:pPr>
    </w:p>
    <w:p w14:paraId="2451CF9E" w14:textId="77777777" w:rsidR="008E1C6A" w:rsidRDefault="008E1C6A" w:rsidP="00C3657A">
      <w:pPr>
        <w:pStyle w:val="NoSpacing"/>
        <w:jc w:val="both"/>
        <w:rPr>
          <w:rFonts w:ascii="Times New Roman" w:hAnsi="Times New Roman" w:cs="Times New Roman"/>
          <w:sz w:val="24"/>
          <w:szCs w:val="24"/>
        </w:rPr>
      </w:pPr>
    </w:p>
    <w:p w14:paraId="2451CF9F" w14:textId="77777777" w:rsidR="008E1C6A" w:rsidRDefault="008E1C6A" w:rsidP="00C3657A">
      <w:pPr>
        <w:pStyle w:val="NoSpacing"/>
        <w:jc w:val="both"/>
        <w:rPr>
          <w:rFonts w:ascii="Times New Roman" w:hAnsi="Times New Roman" w:cs="Times New Roman"/>
          <w:sz w:val="24"/>
          <w:szCs w:val="24"/>
        </w:rPr>
      </w:pPr>
    </w:p>
    <w:p w14:paraId="2451CFA0" w14:textId="77777777" w:rsidR="008E1C6A" w:rsidRDefault="008E1C6A" w:rsidP="00C3657A">
      <w:pPr>
        <w:pStyle w:val="NoSpacing"/>
        <w:jc w:val="both"/>
        <w:rPr>
          <w:rFonts w:ascii="Times New Roman" w:hAnsi="Times New Roman" w:cs="Times New Roman"/>
          <w:sz w:val="24"/>
          <w:szCs w:val="24"/>
        </w:rPr>
      </w:pPr>
    </w:p>
    <w:p w14:paraId="2451CFA1" w14:textId="77777777" w:rsidR="008E1C6A" w:rsidRDefault="008E1C6A" w:rsidP="00C3657A">
      <w:pPr>
        <w:pStyle w:val="NoSpacing"/>
        <w:jc w:val="both"/>
        <w:rPr>
          <w:rFonts w:ascii="Times New Roman" w:hAnsi="Times New Roman" w:cs="Times New Roman"/>
          <w:sz w:val="24"/>
          <w:szCs w:val="24"/>
        </w:rPr>
      </w:pPr>
    </w:p>
    <w:p w14:paraId="2451CFA2" w14:textId="77777777" w:rsidR="008E1C6A" w:rsidRDefault="008E1C6A" w:rsidP="00C3657A">
      <w:pPr>
        <w:pStyle w:val="NoSpacing"/>
        <w:jc w:val="both"/>
        <w:rPr>
          <w:rFonts w:ascii="Times New Roman" w:hAnsi="Times New Roman" w:cs="Times New Roman"/>
          <w:sz w:val="24"/>
          <w:szCs w:val="24"/>
        </w:rPr>
        <w:sectPr w:rsidR="008E1C6A" w:rsidSect="00AB5151">
          <w:headerReference w:type="even" r:id="rId50"/>
          <w:headerReference w:type="default" r:id="rId51"/>
          <w:headerReference w:type="first" r:id="rId52"/>
          <w:pgSz w:w="12240" w:h="15840"/>
          <w:pgMar w:top="1440" w:right="1440" w:bottom="1440" w:left="1440" w:header="720" w:footer="720" w:gutter="0"/>
          <w:cols w:space="720"/>
          <w:titlePg/>
          <w:docGrid w:linePitch="360"/>
        </w:sectPr>
      </w:pPr>
    </w:p>
    <w:p w14:paraId="2451CFA3" w14:textId="77777777" w:rsidR="008E1C6A" w:rsidRDefault="008E1C6A" w:rsidP="008E1C6A">
      <w:pPr>
        <w:pStyle w:val="Heading1"/>
        <w:spacing w:before="0"/>
      </w:pPr>
      <w:bookmarkStart w:id="96" w:name="_Toc415128761"/>
      <w:bookmarkStart w:id="97" w:name="_Toc449510520"/>
      <w:r w:rsidRPr="007716B1">
        <w:lastRenderedPageBreak/>
        <w:t>Evaluations</w:t>
      </w:r>
      <w:bookmarkEnd w:id="96"/>
      <w:bookmarkEnd w:id="97"/>
      <w:r>
        <w:t xml:space="preserve"> </w:t>
      </w:r>
    </w:p>
    <w:p w14:paraId="2451CFA4" w14:textId="77777777" w:rsidR="008E1C6A" w:rsidRPr="008E1C6A" w:rsidRDefault="008E1C6A" w:rsidP="008E1C6A"/>
    <w:p w14:paraId="2451CFA5" w14:textId="77777777" w:rsidR="008E1C6A" w:rsidRDefault="008E1C6A" w:rsidP="008E1C6A">
      <w:pPr>
        <w:jc w:val="both"/>
        <w:rPr>
          <w:rFonts w:ascii="Times New Roman" w:hAnsi="Times New Roman" w:cs="Times New Roman"/>
          <w:sz w:val="24"/>
          <w:szCs w:val="24"/>
        </w:rPr>
      </w:pPr>
      <w:r w:rsidRPr="00CA4A03">
        <w:rPr>
          <w:rFonts w:ascii="Times New Roman" w:hAnsi="Times New Roman" w:cs="Times New Roman"/>
          <w:sz w:val="24"/>
          <w:szCs w:val="24"/>
        </w:rPr>
        <w:t>Evaluations are performed by independent external evaluators to validate energy and demand savings derived from the Company’s energy efficiency programs. Industry best practices are adopted by the Company with regards to principles of operation, methodologies, evaluation methods, definitions of terms, and protocols including those outlined in the National Action Plan for Energy Efficiency Program Impact Evaluation and the California Evaluation Framework guides.</w:t>
      </w:r>
    </w:p>
    <w:p w14:paraId="2451CFA6" w14:textId="77777777" w:rsidR="008E1C6A" w:rsidRDefault="008E1C6A" w:rsidP="008E1C6A">
      <w:pPr>
        <w:jc w:val="both"/>
        <w:rPr>
          <w:rFonts w:ascii="Times New Roman" w:hAnsi="Times New Roman" w:cs="Times New Roman"/>
          <w:sz w:val="24"/>
          <w:szCs w:val="24"/>
        </w:rPr>
      </w:pPr>
    </w:p>
    <w:p w14:paraId="2451CFA7" w14:textId="77777777" w:rsidR="008E1C6A" w:rsidRPr="007716B1" w:rsidRDefault="008E1C6A" w:rsidP="008E1C6A">
      <w:pPr>
        <w:jc w:val="both"/>
        <w:rPr>
          <w:rFonts w:ascii="Times New Roman" w:hAnsi="Times New Roman" w:cs="Times New Roman"/>
          <w:sz w:val="24"/>
          <w:szCs w:val="24"/>
        </w:rPr>
      </w:pPr>
      <w:r w:rsidRPr="00CA4A03">
        <w:rPr>
          <w:rFonts w:ascii="Times New Roman" w:hAnsi="Times New Roman" w:cs="Times New Roman"/>
          <w:sz w:val="24"/>
          <w:szCs w:val="24"/>
        </w:rPr>
        <w:t>A component of the overall evaluation effort is aimed at the reasonable verification of installations of energy efficient measures and associated documentation through review of documentation, surveys and/or ongoing onsite inspections.</w:t>
      </w:r>
    </w:p>
    <w:p w14:paraId="2451CFA8" w14:textId="77777777" w:rsidR="008E1C6A" w:rsidRPr="007716B1" w:rsidRDefault="008E1C6A" w:rsidP="008E1C6A">
      <w:pPr>
        <w:spacing w:before="100" w:beforeAutospacing="1" w:after="100" w:afterAutospacing="1"/>
        <w:jc w:val="both"/>
        <w:rPr>
          <w:rFonts w:ascii="Times New Roman" w:hAnsi="Times New Roman" w:cs="Times New Roman"/>
          <w:sz w:val="24"/>
          <w:szCs w:val="24"/>
        </w:rPr>
      </w:pPr>
      <w:r w:rsidRPr="00CA4A03">
        <w:rPr>
          <w:rFonts w:ascii="Times New Roman" w:hAnsi="Times New Roman" w:cs="Times New Roman"/>
          <w:sz w:val="24"/>
          <w:szCs w:val="24"/>
        </w:rPr>
        <w:t xml:space="preserve">Verification of the potential to achieve savings involves regular inspection and commissioning of equipment. The Company engages in programmatic verification activities, including inspections, quality assurance reviews, and tracking checks and balances as part of routine program implementation and may rely upon these practices in the verification of installation information for the purposes of savings verifications in advance of more formal impact evaluation results. </w:t>
      </w:r>
      <w:r>
        <w:rPr>
          <w:rFonts w:ascii="Times New Roman" w:hAnsi="Times New Roman" w:cs="Times New Roman"/>
          <w:sz w:val="24"/>
          <w:szCs w:val="24"/>
        </w:rPr>
        <w:t>A s</w:t>
      </w:r>
      <w:r w:rsidRPr="00CA4A03">
        <w:rPr>
          <w:rFonts w:ascii="Times New Roman" w:hAnsi="Times New Roman" w:cs="Times New Roman"/>
          <w:sz w:val="24"/>
          <w:szCs w:val="24"/>
        </w:rPr>
        <w:t xml:space="preserve">ummary of the inspection process is included in </w:t>
      </w:r>
      <w:r>
        <w:rPr>
          <w:rFonts w:ascii="Times New Roman" w:hAnsi="Times New Roman" w:cs="Times New Roman"/>
          <w:sz w:val="24"/>
          <w:szCs w:val="24"/>
        </w:rPr>
        <w:t>Appendix</w:t>
      </w:r>
      <w:r w:rsidRPr="00CA4A03">
        <w:rPr>
          <w:rFonts w:ascii="Times New Roman" w:hAnsi="Times New Roman" w:cs="Times New Roman"/>
          <w:sz w:val="24"/>
          <w:szCs w:val="24"/>
        </w:rPr>
        <w:t xml:space="preserve"> </w:t>
      </w:r>
      <w:r>
        <w:rPr>
          <w:rFonts w:ascii="Times New Roman" w:hAnsi="Times New Roman" w:cs="Times New Roman"/>
          <w:sz w:val="24"/>
          <w:szCs w:val="24"/>
        </w:rPr>
        <w:t>2</w:t>
      </w:r>
      <w:r w:rsidRPr="00CA4A03">
        <w:rPr>
          <w:rFonts w:ascii="Times New Roman" w:hAnsi="Times New Roman" w:cs="Times New Roman"/>
          <w:sz w:val="24"/>
          <w:szCs w:val="24"/>
        </w:rPr>
        <w:t>.</w:t>
      </w:r>
    </w:p>
    <w:p w14:paraId="2451CFA9" w14:textId="77777777" w:rsidR="008E1C6A" w:rsidRDefault="008E1C6A" w:rsidP="008E1C6A">
      <w:pPr>
        <w:jc w:val="both"/>
        <w:rPr>
          <w:rFonts w:ascii="Times New Roman" w:hAnsi="Times New Roman" w:cs="Times New Roman"/>
          <w:sz w:val="24"/>
          <w:szCs w:val="24"/>
        </w:rPr>
      </w:pPr>
      <w:r w:rsidRPr="00CA4A03">
        <w:rPr>
          <w:rFonts w:ascii="Times New Roman" w:hAnsi="Times New Roman" w:cs="Times New Roman"/>
          <w:sz w:val="24"/>
          <w:szCs w:val="24"/>
        </w:rPr>
        <w:t xml:space="preserve">Evaluation, measurement and verification tasks are segregated within the Company to ensure they are performed and managed by personnel who </w:t>
      </w:r>
      <w:r>
        <w:rPr>
          <w:rFonts w:ascii="Times New Roman" w:hAnsi="Times New Roman" w:cs="Times New Roman"/>
          <w:sz w:val="24"/>
          <w:szCs w:val="24"/>
        </w:rPr>
        <w:t>are not directly responsible for program management.</w:t>
      </w:r>
    </w:p>
    <w:p w14:paraId="2451CFAA" w14:textId="77777777" w:rsidR="008E1C6A" w:rsidRDefault="008E1C6A" w:rsidP="008E1C6A">
      <w:pPr>
        <w:jc w:val="both"/>
        <w:rPr>
          <w:rFonts w:ascii="Times New Roman" w:hAnsi="Times New Roman" w:cs="Times New Roman"/>
          <w:sz w:val="24"/>
          <w:szCs w:val="24"/>
        </w:rPr>
      </w:pPr>
    </w:p>
    <w:p w14:paraId="2451CFAB" w14:textId="77777777" w:rsidR="008E1C6A" w:rsidRDefault="008E1C6A" w:rsidP="008E1C6A">
      <w:pPr>
        <w:jc w:val="both"/>
        <w:rPr>
          <w:rStyle w:val="Hyperlink"/>
          <w:rFonts w:ascii="Times New Roman" w:hAnsi="Times New Roman" w:cs="Times New Roman"/>
          <w:sz w:val="24"/>
          <w:szCs w:val="24"/>
        </w:rPr>
      </w:pPr>
      <w:r>
        <w:rPr>
          <w:rFonts w:ascii="Times New Roman" w:hAnsi="Times New Roman" w:cs="Times New Roman"/>
          <w:sz w:val="24"/>
          <w:szCs w:val="24"/>
        </w:rPr>
        <w:t xml:space="preserve">Information on evaluation activities completed or in progress during 2015 is summarized in the chart below. Summary of the recommendations are provided in Appendix </w:t>
      </w:r>
      <w:r w:rsidR="003C6E46">
        <w:rPr>
          <w:rFonts w:ascii="Times New Roman" w:hAnsi="Times New Roman" w:cs="Times New Roman"/>
          <w:sz w:val="24"/>
          <w:szCs w:val="24"/>
        </w:rPr>
        <w:t>6</w:t>
      </w:r>
      <w:r>
        <w:rPr>
          <w:rFonts w:ascii="Times New Roman" w:hAnsi="Times New Roman" w:cs="Times New Roman"/>
          <w:sz w:val="24"/>
          <w:szCs w:val="24"/>
        </w:rPr>
        <w:t xml:space="preserve">. The evaluation reports are available at </w:t>
      </w:r>
      <w:hyperlink r:id="rId53" w:history="1">
        <w:r w:rsidRPr="003D26F8">
          <w:rPr>
            <w:rStyle w:val="Hyperlink"/>
            <w:rFonts w:ascii="Times New Roman" w:hAnsi="Times New Roman" w:cs="Times New Roman"/>
            <w:sz w:val="24"/>
            <w:szCs w:val="24"/>
          </w:rPr>
          <w:t>www.pacificorp.com/es/dsm/washington.html</w:t>
        </w:r>
      </w:hyperlink>
    </w:p>
    <w:p w14:paraId="2451CFAC" w14:textId="77777777" w:rsidR="008E1C6A" w:rsidRDefault="008E1C6A" w:rsidP="008E1C6A">
      <w:pPr>
        <w:jc w:val="both"/>
        <w:rPr>
          <w:rFonts w:ascii="Times New Roman" w:hAnsi="Times New Roman" w:cs="Times New Roman"/>
          <w:sz w:val="24"/>
          <w:szCs w:val="24"/>
        </w:rPr>
      </w:pPr>
    </w:p>
    <w:p w14:paraId="2451CFAD" w14:textId="77777777" w:rsidR="008E1C6A" w:rsidRDefault="008E1C6A" w:rsidP="008E1C6A">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512"/>
        <w:gridCol w:w="2448"/>
        <w:gridCol w:w="2445"/>
        <w:gridCol w:w="2171"/>
      </w:tblGrid>
      <w:tr w:rsidR="008E1C6A" w:rsidRPr="00150F52" w14:paraId="2451CFB2" w14:textId="77777777" w:rsidTr="001C7026">
        <w:tc>
          <w:tcPr>
            <w:tcW w:w="2512" w:type="dxa"/>
          </w:tcPr>
          <w:p w14:paraId="2451CFAE" w14:textId="77777777" w:rsidR="008E1C6A" w:rsidRPr="00150F52" w:rsidRDefault="008E1C6A" w:rsidP="001C7026">
            <w:pPr>
              <w:rPr>
                <w:rFonts w:eastAsia="MS Mincho"/>
                <w:b/>
                <w:lang w:eastAsia="ja-JP"/>
              </w:rPr>
            </w:pPr>
            <w:r w:rsidRPr="00150F52">
              <w:rPr>
                <w:rFonts w:eastAsia="MS Mincho"/>
                <w:b/>
                <w:lang w:eastAsia="ja-JP"/>
              </w:rPr>
              <w:t xml:space="preserve">Program </w:t>
            </w:r>
            <w:r>
              <w:rPr>
                <w:rFonts w:eastAsia="MS Mincho"/>
                <w:b/>
                <w:lang w:eastAsia="ja-JP"/>
              </w:rPr>
              <w:t>/ Activities</w:t>
            </w:r>
          </w:p>
        </w:tc>
        <w:tc>
          <w:tcPr>
            <w:tcW w:w="2448" w:type="dxa"/>
          </w:tcPr>
          <w:p w14:paraId="2451CFAF" w14:textId="77777777" w:rsidR="008E1C6A" w:rsidRPr="00150F52" w:rsidRDefault="008E1C6A" w:rsidP="001C7026">
            <w:pPr>
              <w:rPr>
                <w:rFonts w:eastAsia="MS Mincho"/>
                <w:b/>
                <w:lang w:eastAsia="ja-JP"/>
              </w:rPr>
            </w:pPr>
            <w:r w:rsidRPr="00150F52">
              <w:rPr>
                <w:rFonts w:eastAsia="MS Mincho"/>
                <w:b/>
                <w:lang w:eastAsia="ja-JP"/>
              </w:rPr>
              <w:t>Years Evaluated</w:t>
            </w:r>
          </w:p>
        </w:tc>
        <w:tc>
          <w:tcPr>
            <w:tcW w:w="2445" w:type="dxa"/>
          </w:tcPr>
          <w:p w14:paraId="2451CFB0" w14:textId="77777777" w:rsidR="008E1C6A" w:rsidRPr="00150F52" w:rsidRDefault="008E1C6A" w:rsidP="001C7026">
            <w:pPr>
              <w:rPr>
                <w:rFonts w:eastAsia="MS Mincho"/>
                <w:b/>
                <w:lang w:eastAsia="ja-JP"/>
              </w:rPr>
            </w:pPr>
            <w:r w:rsidRPr="00150F52">
              <w:rPr>
                <w:rFonts w:eastAsia="MS Mincho"/>
                <w:b/>
                <w:lang w:eastAsia="ja-JP"/>
              </w:rPr>
              <w:t>Evaluator</w:t>
            </w:r>
          </w:p>
        </w:tc>
        <w:tc>
          <w:tcPr>
            <w:tcW w:w="2171" w:type="dxa"/>
          </w:tcPr>
          <w:p w14:paraId="2451CFB1" w14:textId="77777777" w:rsidR="008E1C6A" w:rsidRPr="00150F52" w:rsidRDefault="008E1C6A" w:rsidP="001C7026">
            <w:pPr>
              <w:rPr>
                <w:rFonts w:eastAsia="MS Mincho"/>
                <w:b/>
                <w:lang w:eastAsia="ja-JP"/>
              </w:rPr>
            </w:pPr>
            <w:r>
              <w:rPr>
                <w:rFonts w:eastAsia="MS Mincho"/>
                <w:b/>
                <w:lang w:eastAsia="ja-JP"/>
              </w:rPr>
              <w:t>Progress Status</w:t>
            </w:r>
          </w:p>
        </w:tc>
      </w:tr>
      <w:tr w:rsidR="008E1C6A" w:rsidRPr="00150F52" w14:paraId="2451CFB7" w14:textId="77777777" w:rsidTr="001C7026">
        <w:trPr>
          <w:trHeight w:val="368"/>
        </w:trPr>
        <w:tc>
          <w:tcPr>
            <w:tcW w:w="2512" w:type="dxa"/>
          </w:tcPr>
          <w:p w14:paraId="2451CFB3" w14:textId="77777777" w:rsidR="008E1C6A" w:rsidRPr="00150F52" w:rsidRDefault="008E1C6A" w:rsidP="001C7026">
            <w:pPr>
              <w:rPr>
                <w:rFonts w:eastAsia="MS Mincho"/>
                <w:lang w:eastAsia="ja-JP"/>
              </w:rPr>
            </w:pPr>
            <w:r>
              <w:rPr>
                <w:rFonts w:eastAsia="MS Mincho"/>
                <w:lang w:eastAsia="ja-JP"/>
              </w:rPr>
              <w:t xml:space="preserve">Low Income Weatherization </w:t>
            </w:r>
          </w:p>
        </w:tc>
        <w:tc>
          <w:tcPr>
            <w:tcW w:w="2448" w:type="dxa"/>
          </w:tcPr>
          <w:p w14:paraId="2451CFB4" w14:textId="77777777" w:rsidR="008E1C6A" w:rsidRPr="00150F52" w:rsidRDefault="008E1C6A" w:rsidP="001C7026">
            <w:pPr>
              <w:rPr>
                <w:rFonts w:eastAsia="MS Mincho"/>
                <w:lang w:eastAsia="ja-JP"/>
              </w:rPr>
            </w:pPr>
            <w:r>
              <w:rPr>
                <w:rFonts w:eastAsia="MS Mincho"/>
                <w:lang w:eastAsia="ja-JP"/>
              </w:rPr>
              <w:t>2011-2012</w:t>
            </w:r>
          </w:p>
        </w:tc>
        <w:tc>
          <w:tcPr>
            <w:tcW w:w="2445" w:type="dxa"/>
          </w:tcPr>
          <w:p w14:paraId="2451CFB5" w14:textId="77777777" w:rsidR="008E1C6A" w:rsidRPr="00150F52" w:rsidRDefault="008E1C6A" w:rsidP="001C7026">
            <w:pPr>
              <w:rPr>
                <w:rFonts w:eastAsia="MS Mincho"/>
                <w:lang w:eastAsia="ja-JP"/>
              </w:rPr>
            </w:pPr>
            <w:r>
              <w:rPr>
                <w:rFonts w:eastAsia="MS Mincho"/>
                <w:lang w:eastAsia="ja-JP"/>
              </w:rPr>
              <w:t>Smith and Lehmann</w:t>
            </w:r>
          </w:p>
        </w:tc>
        <w:tc>
          <w:tcPr>
            <w:tcW w:w="2171" w:type="dxa"/>
          </w:tcPr>
          <w:p w14:paraId="2451CFB6" w14:textId="77777777" w:rsidR="008E1C6A" w:rsidRPr="00150F52" w:rsidRDefault="008E1C6A" w:rsidP="001C7026">
            <w:pPr>
              <w:rPr>
                <w:rFonts w:eastAsia="MS Mincho"/>
                <w:lang w:eastAsia="ja-JP"/>
              </w:rPr>
            </w:pPr>
            <w:r>
              <w:rPr>
                <w:rFonts w:eastAsia="MS Mincho"/>
                <w:lang w:eastAsia="ja-JP"/>
              </w:rPr>
              <w:t>Completed</w:t>
            </w:r>
          </w:p>
        </w:tc>
      </w:tr>
      <w:tr w:rsidR="008E1C6A" w:rsidRPr="00150F52" w14:paraId="2451CFBC" w14:textId="77777777" w:rsidTr="001C7026">
        <w:trPr>
          <w:trHeight w:val="368"/>
        </w:trPr>
        <w:tc>
          <w:tcPr>
            <w:tcW w:w="2512" w:type="dxa"/>
          </w:tcPr>
          <w:p w14:paraId="2451CFB8" w14:textId="77777777" w:rsidR="008E1C6A" w:rsidRPr="00150F52" w:rsidRDefault="008E1C6A" w:rsidP="001C7026">
            <w:pPr>
              <w:rPr>
                <w:rFonts w:eastAsia="MS Mincho"/>
                <w:lang w:eastAsia="ja-JP"/>
              </w:rPr>
            </w:pPr>
            <w:r>
              <w:rPr>
                <w:rFonts w:eastAsia="MS Mincho"/>
                <w:lang w:eastAsia="ja-JP"/>
              </w:rPr>
              <w:t xml:space="preserve">FinAnswer Express </w:t>
            </w:r>
          </w:p>
        </w:tc>
        <w:tc>
          <w:tcPr>
            <w:tcW w:w="2448" w:type="dxa"/>
          </w:tcPr>
          <w:p w14:paraId="2451CFB9" w14:textId="77777777" w:rsidR="008E1C6A" w:rsidRPr="00150F52" w:rsidRDefault="008E1C6A" w:rsidP="001C7026">
            <w:pPr>
              <w:rPr>
                <w:rFonts w:eastAsia="MS Mincho"/>
                <w:lang w:eastAsia="ja-JP"/>
              </w:rPr>
            </w:pPr>
            <w:r>
              <w:rPr>
                <w:rFonts w:eastAsia="MS Mincho"/>
                <w:lang w:eastAsia="ja-JP"/>
              </w:rPr>
              <w:t>2012-2013</w:t>
            </w:r>
          </w:p>
        </w:tc>
        <w:tc>
          <w:tcPr>
            <w:tcW w:w="2445" w:type="dxa"/>
          </w:tcPr>
          <w:p w14:paraId="2451CFBA" w14:textId="77777777" w:rsidR="008E1C6A" w:rsidRPr="00150F52" w:rsidRDefault="008E1C6A" w:rsidP="001C7026">
            <w:pPr>
              <w:rPr>
                <w:rFonts w:eastAsia="MS Mincho"/>
                <w:lang w:eastAsia="ja-JP"/>
              </w:rPr>
            </w:pPr>
            <w:r>
              <w:rPr>
                <w:rFonts w:eastAsia="MS Mincho"/>
                <w:lang w:eastAsia="ja-JP"/>
              </w:rPr>
              <w:t>Navigant Consulting</w:t>
            </w:r>
          </w:p>
        </w:tc>
        <w:tc>
          <w:tcPr>
            <w:tcW w:w="2171" w:type="dxa"/>
          </w:tcPr>
          <w:p w14:paraId="2451CFBB" w14:textId="77777777" w:rsidR="008E1C6A" w:rsidRPr="00150F52" w:rsidRDefault="008E1C6A" w:rsidP="001C7026">
            <w:pPr>
              <w:rPr>
                <w:rFonts w:eastAsia="MS Mincho"/>
                <w:lang w:eastAsia="ja-JP"/>
              </w:rPr>
            </w:pPr>
            <w:r>
              <w:rPr>
                <w:rFonts w:eastAsia="MS Mincho"/>
                <w:lang w:eastAsia="ja-JP"/>
              </w:rPr>
              <w:t>Completed</w:t>
            </w:r>
          </w:p>
        </w:tc>
      </w:tr>
      <w:tr w:rsidR="008E1C6A" w:rsidRPr="00150F52" w14:paraId="2451CFC1" w14:textId="77777777" w:rsidTr="001C7026">
        <w:trPr>
          <w:trHeight w:val="368"/>
        </w:trPr>
        <w:tc>
          <w:tcPr>
            <w:tcW w:w="2512" w:type="dxa"/>
          </w:tcPr>
          <w:p w14:paraId="2451CFBD" w14:textId="77777777" w:rsidR="008E1C6A" w:rsidRPr="00150F52" w:rsidRDefault="008E1C6A" w:rsidP="001C7026">
            <w:pPr>
              <w:rPr>
                <w:rFonts w:eastAsia="MS Mincho"/>
                <w:lang w:eastAsia="ja-JP"/>
              </w:rPr>
            </w:pPr>
            <w:r>
              <w:rPr>
                <w:rFonts w:eastAsia="MS Mincho"/>
                <w:lang w:eastAsia="ja-JP"/>
              </w:rPr>
              <w:t xml:space="preserve">Energy FinAnswer  </w:t>
            </w:r>
          </w:p>
        </w:tc>
        <w:tc>
          <w:tcPr>
            <w:tcW w:w="2448" w:type="dxa"/>
          </w:tcPr>
          <w:p w14:paraId="2451CFBE" w14:textId="77777777" w:rsidR="008E1C6A" w:rsidRPr="00150F52" w:rsidRDefault="008E1C6A" w:rsidP="001C7026">
            <w:pPr>
              <w:rPr>
                <w:rFonts w:eastAsia="MS Mincho"/>
                <w:lang w:eastAsia="ja-JP"/>
              </w:rPr>
            </w:pPr>
            <w:r>
              <w:rPr>
                <w:rFonts w:eastAsia="MS Mincho"/>
                <w:lang w:eastAsia="ja-JP"/>
              </w:rPr>
              <w:t>2012-2013</w:t>
            </w:r>
          </w:p>
        </w:tc>
        <w:tc>
          <w:tcPr>
            <w:tcW w:w="2445" w:type="dxa"/>
          </w:tcPr>
          <w:p w14:paraId="2451CFBF" w14:textId="77777777" w:rsidR="008E1C6A" w:rsidRPr="00150F52" w:rsidRDefault="008E1C6A" w:rsidP="001C7026">
            <w:pPr>
              <w:rPr>
                <w:rFonts w:eastAsia="MS Mincho"/>
                <w:lang w:eastAsia="ja-JP"/>
              </w:rPr>
            </w:pPr>
            <w:r>
              <w:rPr>
                <w:rFonts w:eastAsia="MS Mincho"/>
                <w:lang w:eastAsia="ja-JP"/>
              </w:rPr>
              <w:t>Navigant Consulting</w:t>
            </w:r>
          </w:p>
        </w:tc>
        <w:tc>
          <w:tcPr>
            <w:tcW w:w="2171" w:type="dxa"/>
          </w:tcPr>
          <w:p w14:paraId="2451CFC0" w14:textId="77777777" w:rsidR="008E1C6A" w:rsidRPr="00150F52" w:rsidRDefault="008E1C6A" w:rsidP="001C7026">
            <w:pPr>
              <w:rPr>
                <w:rFonts w:eastAsia="MS Mincho"/>
                <w:lang w:eastAsia="ja-JP"/>
              </w:rPr>
            </w:pPr>
            <w:r>
              <w:rPr>
                <w:rFonts w:eastAsia="MS Mincho"/>
                <w:lang w:eastAsia="ja-JP"/>
              </w:rPr>
              <w:t>Completed</w:t>
            </w:r>
          </w:p>
        </w:tc>
      </w:tr>
      <w:tr w:rsidR="00692CDD" w:rsidRPr="00150F52" w14:paraId="2451CFC6" w14:textId="77777777" w:rsidTr="001C7026">
        <w:trPr>
          <w:trHeight w:val="368"/>
        </w:trPr>
        <w:tc>
          <w:tcPr>
            <w:tcW w:w="2512" w:type="dxa"/>
          </w:tcPr>
          <w:p w14:paraId="2451CFC2" w14:textId="77777777" w:rsidR="00692CDD" w:rsidRDefault="00692CDD" w:rsidP="001C7026">
            <w:pPr>
              <w:rPr>
                <w:rFonts w:eastAsia="MS Mincho"/>
                <w:lang w:eastAsia="ja-JP"/>
              </w:rPr>
            </w:pPr>
            <w:r>
              <w:rPr>
                <w:rFonts w:eastAsia="MS Mincho"/>
                <w:lang w:eastAsia="ja-JP"/>
              </w:rPr>
              <w:t>Refrigerator Recycling</w:t>
            </w:r>
          </w:p>
        </w:tc>
        <w:tc>
          <w:tcPr>
            <w:tcW w:w="2448" w:type="dxa"/>
          </w:tcPr>
          <w:p w14:paraId="2451CFC3" w14:textId="77777777" w:rsidR="00692CDD" w:rsidRDefault="00692CDD" w:rsidP="001C7026">
            <w:pPr>
              <w:rPr>
                <w:rFonts w:eastAsia="MS Mincho"/>
                <w:lang w:eastAsia="ja-JP"/>
              </w:rPr>
            </w:pPr>
            <w:r>
              <w:rPr>
                <w:rFonts w:eastAsia="MS Mincho"/>
                <w:lang w:eastAsia="ja-JP"/>
              </w:rPr>
              <w:t>2013 - 2014</w:t>
            </w:r>
          </w:p>
        </w:tc>
        <w:tc>
          <w:tcPr>
            <w:tcW w:w="2445" w:type="dxa"/>
          </w:tcPr>
          <w:p w14:paraId="2451CFC4" w14:textId="77777777" w:rsidR="00692CDD" w:rsidRDefault="00692CDD" w:rsidP="001C7026">
            <w:pPr>
              <w:rPr>
                <w:rFonts w:eastAsia="MS Mincho"/>
                <w:lang w:eastAsia="ja-JP"/>
              </w:rPr>
            </w:pPr>
            <w:r>
              <w:rPr>
                <w:rFonts w:eastAsia="MS Mincho"/>
                <w:lang w:eastAsia="ja-JP"/>
              </w:rPr>
              <w:t>Cadmus</w:t>
            </w:r>
          </w:p>
        </w:tc>
        <w:tc>
          <w:tcPr>
            <w:tcW w:w="2171" w:type="dxa"/>
          </w:tcPr>
          <w:p w14:paraId="2451CFC5" w14:textId="77777777" w:rsidR="00692CDD" w:rsidRDefault="00A607DE" w:rsidP="001C7026">
            <w:pPr>
              <w:rPr>
                <w:rFonts w:eastAsia="MS Mincho"/>
                <w:lang w:eastAsia="ja-JP"/>
              </w:rPr>
            </w:pPr>
            <w:r>
              <w:rPr>
                <w:rFonts w:eastAsia="MS Mincho"/>
                <w:lang w:eastAsia="ja-JP"/>
              </w:rPr>
              <w:t xml:space="preserve">Completed early </w:t>
            </w:r>
            <w:r w:rsidR="00692CDD">
              <w:rPr>
                <w:rFonts w:eastAsia="MS Mincho"/>
                <w:lang w:eastAsia="ja-JP"/>
              </w:rPr>
              <w:t>2016</w:t>
            </w:r>
          </w:p>
        </w:tc>
      </w:tr>
      <w:tr w:rsidR="00692CDD" w:rsidRPr="00150F52" w14:paraId="2451CFCB" w14:textId="77777777" w:rsidTr="001C7026">
        <w:trPr>
          <w:trHeight w:val="368"/>
        </w:trPr>
        <w:tc>
          <w:tcPr>
            <w:tcW w:w="2512" w:type="dxa"/>
          </w:tcPr>
          <w:p w14:paraId="2451CFC7" w14:textId="77777777" w:rsidR="00692CDD" w:rsidRDefault="00692CDD" w:rsidP="001C7026">
            <w:pPr>
              <w:rPr>
                <w:rFonts w:eastAsia="MS Mincho"/>
                <w:lang w:eastAsia="ja-JP"/>
              </w:rPr>
            </w:pPr>
            <w:r>
              <w:rPr>
                <w:rFonts w:eastAsia="MS Mincho"/>
                <w:lang w:eastAsia="ja-JP"/>
              </w:rPr>
              <w:t>Home Energy Savings</w:t>
            </w:r>
          </w:p>
        </w:tc>
        <w:tc>
          <w:tcPr>
            <w:tcW w:w="2448" w:type="dxa"/>
          </w:tcPr>
          <w:p w14:paraId="2451CFC8" w14:textId="77777777" w:rsidR="00692CDD" w:rsidRDefault="00692CDD" w:rsidP="001C7026">
            <w:pPr>
              <w:rPr>
                <w:rFonts w:eastAsia="MS Mincho"/>
                <w:lang w:eastAsia="ja-JP"/>
              </w:rPr>
            </w:pPr>
            <w:r>
              <w:rPr>
                <w:rFonts w:eastAsia="MS Mincho"/>
                <w:lang w:eastAsia="ja-JP"/>
              </w:rPr>
              <w:t>2013 - 2014</w:t>
            </w:r>
          </w:p>
        </w:tc>
        <w:tc>
          <w:tcPr>
            <w:tcW w:w="2445" w:type="dxa"/>
          </w:tcPr>
          <w:p w14:paraId="2451CFC9" w14:textId="77777777" w:rsidR="00692CDD" w:rsidRDefault="00692CDD" w:rsidP="001C7026">
            <w:pPr>
              <w:rPr>
                <w:rFonts w:eastAsia="MS Mincho"/>
                <w:lang w:eastAsia="ja-JP"/>
              </w:rPr>
            </w:pPr>
            <w:r>
              <w:rPr>
                <w:rFonts w:eastAsia="MS Mincho"/>
                <w:lang w:eastAsia="ja-JP"/>
              </w:rPr>
              <w:t>Cadmus</w:t>
            </w:r>
          </w:p>
        </w:tc>
        <w:tc>
          <w:tcPr>
            <w:tcW w:w="2171" w:type="dxa"/>
          </w:tcPr>
          <w:p w14:paraId="2451CFCA" w14:textId="77777777" w:rsidR="00692CDD" w:rsidRDefault="00692CDD" w:rsidP="001C7026">
            <w:pPr>
              <w:rPr>
                <w:rFonts w:eastAsia="MS Mincho"/>
                <w:lang w:eastAsia="ja-JP"/>
              </w:rPr>
            </w:pPr>
            <w:r>
              <w:rPr>
                <w:rFonts w:eastAsia="MS Mincho"/>
                <w:lang w:eastAsia="ja-JP"/>
              </w:rPr>
              <w:t>In progress</w:t>
            </w:r>
          </w:p>
        </w:tc>
      </w:tr>
    </w:tbl>
    <w:p w14:paraId="2451CFCC" w14:textId="77777777" w:rsidR="008E1C6A" w:rsidRDefault="008E1C6A" w:rsidP="00C3657A">
      <w:pPr>
        <w:pStyle w:val="NoSpacing"/>
        <w:jc w:val="both"/>
        <w:rPr>
          <w:rFonts w:ascii="Times New Roman" w:hAnsi="Times New Roman" w:cs="Times New Roman"/>
          <w:sz w:val="24"/>
          <w:szCs w:val="24"/>
        </w:rPr>
      </w:pPr>
    </w:p>
    <w:sectPr w:rsidR="008E1C6A" w:rsidSect="00AB5151">
      <w:headerReference w:type="first" r:id="rId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1CFE5" w14:textId="77777777" w:rsidR="00740B23" w:rsidRDefault="00740B23" w:rsidP="00B87363">
      <w:r>
        <w:separator/>
      </w:r>
    </w:p>
  </w:endnote>
  <w:endnote w:type="continuationSeparator" w:id="0">
    <w:p w14:paraId="2451CFE6" w14:textId="77777777" w:rsidR="00740B23" w:rsidRDefault="00740B23" w:rsidP="00B8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9" w14:textId="77777777" w:rsidR="005D0A66" w:rsidRDefault="005D0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7909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870328675"/>
          <w:docPartObj>
            <w:docPartGallery w:val="Page Numbers (Top of Page)"/>
            <w:docPartUnique/>
          </w:docPartObj>
        </w:sdtPr>
        <w:sdtEndPr/>
        <w:sdtContent>
          <w:p w14:paraId="2451CFEA" w14:textId="77777777" w:rsidR="00740B23" w:rsidRPr="00A47D7C" w:rsidRDefault="00740B23">
            <w:pPr>
              <w:pStyle w:val="Footer"/>
              <w:jc w:val="right"/>
              <w:rPr>
                <w:rFonts w:ascii="Times New Roman" w:hAnsi="Times New Roman" w:cs="Times New Roman"/>
              </w:rPr>
            </w:pPr>
            <w:r w:rsidRPr="00A47D7C">
              <w:rPr>
                <w:rFonts w:ascii="Times New Roman" w:hAnsi="Times New Roman" w:cs="Times New Roman"/>
              </w:rPr>
              <w:t xml:space="preserve">Page </w:t>
            </w:r>
            <w:r w:rsidRPr="00A47D7C">
              <w:rPr>
                <w:rFonts w:ascii="Times New Roman" w:hAnsi="Times New Roman" w:cs="Times New Roman"/>
                <w:bCs/>
                <w:sz w:val="24"/>
                <w:szCs w:val="24"/>
              </w:rPr>
              <w:fldChar w:fldCharType="begin"/>
            </w:r>
            <w:r w:rsidRPr="00A47D7C">
              <w:rPr>
                <w:rFonts w:ascii="Times New Roman" w:hAnsi="Times New Roman" w:cs="Times New Roman"/>
                <w:bCs/>
              </w:rPr>
              <w:instrText xml:space="preserve"> PAGE </w:instrText>
            </w:r>
            <w:r w:rsidRPr="00A47D7C">
              <w:rPr>
                <w:rFonts w:ascii="Times New Roman" w:hAnsi="Times New Roman" w:cs="Times New Roman"/>
                <w:bCs/>
                <w:sz w:val="24"/>
                <w:szCs w:val="24"/>
              </w:rPr>
              <w:fldChar w:fldCharType="separate"/>
            </w:r>
            <w:r w:rsidR="00EB6872">
              <w:rPr>
                <w:rFonts w:ascii="Times New Roman" w:hAnsi="Times New Roman" w:cs="Times New Roman"/>
                <w:bCs/>
                <w:noProof/>
              </w:rPr>
              <w:t>21</w:t>
            </w:r>
            <w:r w:rsidRPr="00A47D7C">
              <w:rPr>
                <w:rFonts w:ascii="Times New Roman" w:hAnsi="Times New Roman" w:cs="Times New Roman"/>
                <w:bCs/>
                <w:sz w:val="24"/>
                <w:szCs w:val="24"/>
              </w:rPr>
              <w:fldChar w:fldCharType="end"/>
            </w:r>
            <w:r w:rsidRPr="00A47D7C">
              <w:rPr>
                <w:rFonts w:ascii="Times New Roman" w:hAnsi="Times New Roman" w:cs="Times New Roman"/>
              </w:rPr>
              <w:t xml:space="preserve"> of </w:t>
            </w:r>
            <w:r w:rsidRPr="00A47D7C">
              <w:rPr>
                <w:rFonts w:ascii="Times New Roman" w:hAnsi="Times New Roman" w:cs="Times New Roman"/>
                <w:bCs/>
                <w:sz w:val="24"/>
                <w:szCs w:val="24"/>
              </w:rPr>
              <w:fldChar w:fldCharType="begin"/>
            </w:r>
            <w:r w:rsidRPr="00A47D7C">
              <w:rPr>
                <w:rFonts w:ascii="Times New Roman" w:hAnsi="Times New Roman" w:cs="Times New Roman"/>
                <w:bCs/>
              </w:rPr>
              <w:instrText xml:space="preserve"> NUMPAGES  </w:instrText>
            </w:r>
            <w:r w:rsidRPr="00A47D7C">
              <w:rPr>
                <w:rFonts w:ascii="Times New Roman" w:hAnsi="Times New Roman" w:cs="Times New Roman"/>
                <w:bCs/>
                <w:sz w:val="24"/>
                <w:szCs w:val="24"/>
              </w:rPr>
              <w:fldChar w:fldCharType="separate"/>
            </w:r>
            <w:r w:rsidR="00EB6872">
              <w:rPr>
                <w:rFonts w:ascii="Times New Roman" w:hAnsi="Times New Roman" w:cs="Times New Roman"/>
                <w:bCs/>
                <w:noProof/>
              </w:rPr>
              <w:t>42</w:t>
            </w:r>
            <w:r w:rsidRPr="00A47D7C">
              <w:rPr>
                <w:rFonts w:ascii="Times New Roman" w:hAnsi="Times New Roman" w:cs="Times New Roman"/>
                <w:bCs/>
                <w:sz w:val="24"/>
                <w:szCs w:val="24"/>
              </w:rPr>
              <w:fldChar w:fldCharType="end"/>
            </w:r>
          </w:p>
        </w:sdtContent>
      </w:sdt>
    </w:sdtContent>
  </w:sdt>
  <w:p w14:paraId="2451CFEB" w14:textId="77777777" w:rsidR="00740B23" w:rsidRPr="00A47D7C" w:rsidRDefault="00740B23" w:rsidP="006135C2">
    <w:pPr>
      <w:pStyle w:val="Footer"/>
      <w:tabs>
        <w:tab w:val="clear" w:pos="4680"/>
        <w:tab w:val="clear" w:pos="9360"/>
        <w:tab w:val="left" w:pos="8540"/>
      </w:tabs>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D" w14:textId="77777777" w:rsidR="00740B23" w:rsidRDefault="00740B23">
    <w:pPr>
      <w:pStyle w:val="Footer"/>
      <w:jc w:val="right"/>
    </w:pPr>
  </w:p>
  <w:p w14:paraId="2451CFEE" w14:textId="77777777" w:rsidR="00740B23" w:rsidRDefault="00740B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73889046"/>
      <w:docPartObj>
        <w:docPartGallery w:val="Page Numbers (Bottom of Page)"/>
        <w:docPartUnique/>
      </w:docPartObj>
    </w:sdtPr>
    <w:sdtEndPr/>
    <w:sdtContent>
      <w:sdt>
        <w:sdtPr>
          <w:rPr>
            <w:rFonts w:ascii="Times New Roman" w:hAnsi="Times New Roman" w:cs="Times New Roman"/>
          </w:rPr>
          <w:id w:val="-2000954943"/>
          <w:docPartObj>
            <w:docPartGallery w:val="Page Numbers (Top of Page)"/>
            <w:docPartUnique/>
          </w:docPartObj>
        </w:sdtPr>
        <w:sdtEndPr/>
        <w:sdtContent>
          <w:p w14:paraId="2451CFF4" w14:textId="77777777" w:rsidR="00740B23" w:rsidRPr="002E4E9B" w:rsidRDefault="00740B23">
            <w:pPr>
              <w:pStyle w:val="Footer"/>
              <w:jc w:val="right"/>
              <w:rPr>
                <w:rFonts w:ascii="Times New Roman" w:hAnsi="Times New Roman" w:cs="Times New Roman"/>
              </w:rPr>
            </w:pPr>
            <w:r w:rsidRPr="002E4E9B">
              <w:rPr>
                <w:rFonts w:ascii="Times New Roman" w:hAnsi="Times New Roman" w:cs="Times New Roman"/>
              </w:rPr>
              <w:t xml:space="preserve">Page </w:t>
            </w:r>
            <w:r w:rsidRPr="002E4E9B">
              <w:rPr>
                <w:rFonts w:ascii="Times New Roman" w:hAnsi="Times New Roman" w:cs="Times New Roman"/>
                <w:bCs/>
                <w:sz w:val="24"/>
                <w:szCs w:val="24"/>
              </w:rPr>
              <w:fldChar w:fldCharType="begin"/>
            </w:r>
            <w:r w:rsidRPr="002E4E9B">
              <w:rPr>
                <w:rFonts w:ascii="Times New Roman" w:hAnsi="Times New Roman" w:cs="Times New Roman"/>
                <w:bCs/>
              </w:rPr>
              <w:instrText xml:space="preserve"> PAGE </w:instrText>
            </w:r>
            <w:r w:rsidRPr="002E4E9B">
              <w:rPr>
                <w:rFonts w:ascii="Times New Roman" w:hAnsi="Times New Roman" w:cs="Times New Roman"/>
                <w:bCs/>
                <w:sz w:val="24"/>
                <w:szCs w:val="24"/>
              </w:rPr>
              <w:fldChar w:fldCharType="separate"/>
            </w:r>
            <w:r w:rsidR="00EB6872">
              <w:rPr>
                <w:rFonts w:ascii="Times New Roman" w:hAnsi="Times New Roman" w:cs="Times New Roman"/>
                <w:bCs/>
                <w:noProof/>
              </w:rPr>
              <w:t>20</w:t>
            </w:r>
            <w:r w:rsidRPr="002E4E9B">
              <w:rPr>
                <w:rFonts w:ascii="Times New Roman" w:hAnsi="Times New Roman" w:cs="Times New Roman"/>
                <w:bCs/>
                <w:sz w:val="24"/>
                <w:szCs w:val="24"/>
              </w:rPr>
              <w:fldChar w:fldCharType="end"/>
            </w:r>
            <w:r w:rsidRPr="002E4E9B">
              <w:rPr>
                <w:rFonts w:ascii="Times New Roman" w:hAnsi="Times New Roman" w:cs="Times New Roman"/>
              </w:rPr>
              <w:t xml:space="preserve"> of </w:t>
            </w:r>
            <w:r w:rsidRPr="002E4E9B">
              <w:rPr>
                <w:rFonts w:ascii="Times New Roman" w:hAnsi="Times New Roman" w:cs="Times New Roman"/>
                <w:bCs/>
                <w:sz w:val="24"/>
                <w:szCs w:val="24"/>
              </w:rPr>
              <w:fldChar w:fldCharType="begin"/>
            </w:r>
            <w:r w:rsidRPr="002E4E9B">
              <w:rPr>
                <w:rFonts w:ascii="Times New Roman" w:hAnsi="Times New Roman" w:cs="Times New Roman"/>
                <w:bCs/>
              </w:rPr>
              <w:instrText xml:space="preserve"> NUMPAGES  </w:instrText>
            </w:r>
            <w:r w:rsidRPr="002E4E9B">
              <w:rPr>
                <w:rFonts w:ascii="Times New Roman" w:hAnsi="Times New Roman" w:cs="Times New Roman"/>
                <w:bCs/>
                <w:sz w:val="24"/>
                <w:szCs w:val="24"/>
              </w:rPr>
              <w:fldChar w:fldCharType="separate"/>
            </w:r>
            <w:r w:rsidR="00EB6872">
              <w:rPr>
                <w:rFonts w:ascii="Times New Roman" w:hAnsi="Times New Roman" w:cs="Times New Roman"/>
                <w:bCs/>
                <w:noProof/>
              </w:rPr>
              <w:t>42</w:t>
            </w:r>
            <w:r w:rsidRPr="002E4E9B">
              <w:rPr>
                <w:rFonts w:ascii="Times New Roman" w:hAnsi="Times New Roman" w:cs="Times New Roman"/>
                <w:bCs/>
                <w:sz w:val="24"/>
                <w:szCs w:val="24"/>
              </w:rPr>
              <w:fldChar w:fldCharType="end"/>
            </w:r>
          </w:p>
        </w:sdtContent>
      </w:sdt>
    </w:sdtContent>
  </w:sdt>
  <w:p w14:paraId="2451CFF5" w14:textId="77777777" w:rsidR="00740B23" w:rsidRPr="00926DA8" w:rsidRDefault="00740B2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1CFE3" w14:textId="77777777" w:rsidR="00740B23" w:rsidRDefault="00740B23" w:rsidP="00B87363">
      <w:r>
        <w:separator/>
      </w:r>
    </w:p>
  </w:footnote>
  <w:footnote w:type="continuationSeparator" w:id="0">
    <w:p w14:paraId="2451CFE4" w14:textId="77777777" w:rsidR="00740B23" w:rsidRDefault="00740B23" w:rsidP="00B87363">
      <w:r>
        <w:continuationSeparator/>
      </w:r>
    </w:p>
  </w:footnote>
  <w:footnote w:id="1">
    <w:p w14:paraId="2451D01E" w14:textId="77777777" w:rsidR="00740B23" w:rsidRPr="00DA6705" w:rsidRDefault="00740B23" w:rsidP="00B214AF">
      <w:pPr>
        <w:pStyle w:val="FootnoteText"/>
        <w:jc w:val="both"/>
        <w:rPr>
          <w:rFonts w:ascii="Times New Roman" w:hAnsi="Times New Roman" w:cs="Times New Roman"/>
        </w:rPr>
      </w:pPr>
      <w:r w:rsidRPr="00DA6705">
        <w:rPr>
          <w:rStyle w:val="FootnoteReference"/>
          <w:rFonts w:ascii="Times New Roman" w:hAnsi="Times New Roman" w:cs="Times New Roman"/>
        </w:rPr>
        <w:footnoteRef/>
      </w:r>
      <w:r w:rsidRPr="00DA6705">
        <w:rPr>
          <w:rFonts w:ascii="Times New Roman" w:hAnsi="Times New Roman" w:cs="Times New Roman"/>
        </w:rPr>
        <w:t xml:space="preserve"> </w:t>
      </w:r>
      <w:r>
        <w:rPr>
          <w:rFonts w:ascii="Times New Roman" w:hAnsi="Times New Roman" w:cs="Times New Roman"/>
        </w:rPr>
        <w:t>Gross reported savings at site.</w:t>
      </w:r>
    </w:p>
  </w:footnote>
  <w:footnote w:id="2">
    <w:p w14:paraId="2451D01F" w14:textId="77777777" w:rsidR="00740B23" w:rsidRPr="00DA6705" w:rsidRDefault="00740B23" w:rsidP="00651340">
      <w:pPr>
        <w:jc w:val="both"/>
      </w:pPr>
      <w:r w:rsidRPr="00DA6705">
        <w:rPr>
          <w:rStyle w:val="FootnoteReference"/>
        </w:rPr>
        <w:footnoteRef/>
      </w:r>
      <w:r w:rsidRPr="00DA6705">
        <w:t xml:space="preserve"> </w:t>
      </w:r>
      <w:r>
        <w:rPr>
          <w:rFonts w:ascii="Times New Roman" w:hAnsi="Times New Roman" w:cs="Times New Roman"/>
          <w:sz w:val="20"/>
          <w:szCs w:val="24"/>
        </w:rPr>
        <w:t>See Planning section for</w:t>
      </w:r>
      <w:r w:rsidRPr="00DA6705">
        <w:rPr>
          <w:rFonts w:ascii="Times New Roman" w:hAnsi="Times New Roman" w:cs="Times New Roman"/>
          <w:sz w:val="20"/>
          <w:szCs w:val="24"/>
        </w:rPr>
        <w:t xml:space="preserve"> explanation on how the capacity contribution savings values are calculated.</w:t>
      </w:r>
    </w:p>
  </w:footnote>
  <w:footnote w:id="3">
    <w:p w14:paraId="2451D020" w14:textId="77777777" w:rsidR="00740B23" w:rsidRPr="00DA6705" w:rsidRDefault="00740B23" w:rsidP="006F2F10">
      <w:pPr>
        <w:pStyle w:val="FootnoteText"/>
        <w:jc w:val="both"/>
        <w:rPr>
          <w:rFonts w:ascii="Times New Roman" w:hAnsi="Times New Roman" w:cs="Times New Roman"/>
        </w:rPr>
      </w:pPr>
      <w:r w:rsidRPr="00DA6705">
        <w:rPr>
          <w:rStyle w:val="FootnoteReference"/>
          <w:rFonts w:ascii="Times New Roman" w:hAnsi="Times New Roman" w:cs="Times New Roman"/>
        </w:rPr>
        <w:footnoteRef/>
      </w:r>
      <w:r w:rsidRPr="00DA6705">
        <w:rPr>
          <w:rFonts w:ascii="Times New Roman" w:hAnsi="Times New Roman" w:cs="Times New Roman"/>
        </w:rPr>
        <w:t xml:space="preserve"> See </w:t>
      </w:r>
      <w:r>
        <w:rPr>
          <w:rFonts w:ascii="Times New Roman" w:hAnsi="Times New Roman" w:cs="Times New Roman"/>
        </w:rPr>
        <w:t>Appendix 1</w:t>
      </w:r>
      <w:r w:rsidRPr="00DA6705">
        <w:rPr>
          <w:rFonts w:ascii="Times New Roman" w:hAnsi="Times New Roman" w:cs="Times New Roman"/>
        </w:rPr>
        <w:t xml:space="preserve"> </w:t>
      </w:r>
      <w:r>
        <w:rPr>
          <w:rFonts w:ascii="Times New Roman" w:hAnsi="Times New Roman" w:cs="Times New Roman"/>
        </w:rPr>
        <w:t>–</w:t>
      </w:r>
      <w:r w:rsidRPr="00DA6705">
        <w:rPr>
          <w:rFonts w:ascii="Times New Roman" w:hAnsi="Times New Roman" w:cs="Times New Roman"/>
        </w:rPr>
        <w:t xml:space="preserve"> </w:t>
      </w:r>
      <w:r>
        <w:rPr>
          <w:rFonts w:ascii="Times New Roman" w:hAnsi="Times New Roman" w:cs="Times New Roman"/>
        </w:rPr>
        <w:t xml:space="preserve">Total Resource Cost </w:t>
      </w:r>
      <w:r w:rsidRPr="00DA6705">
        <w:rPr>
          <w:rFonts w:ascii="Times New Roman" w:hAnsi="Times New Roman" w:cs="Times New Roman"/>
        </w:rPr>
        <w:t xml:space="preserve">Test </w:t>
      </w:r>
      <w:r>
        <w:rPr>
          <w:rFonts w:ascii="Times New Roman" w:hAnsi="Times New Roman" w:cs="Times New Roman"/>
        </w:rPr>
        <w:t xml:space="preserve">plus 10 percent </w:t>
      </w:r>
      <w:r w:rsidRPr="00DA6705">
        <w:rPr>
          <w:rFonts w:ascii="Times New Roman" w:hAnsi="Times New Roman" w:cs="Times New Roman"/>
        </w:rPr>
        <w:t>Net Benefits</w:t>
      </w:r>
      <w:r>
        <w:rPr>
          <w:rFonts w:ascii="Times New Roman" w:hAnsi="Times New Roman" w:cs="Times New Roman"/>
        </w:rPr>
        <w:t xml:space="preserve"> including NEEA and Non-Energy Benefits</w:t>
      </w:r>
      <w:r w:rsidRPr="00DA6705">
        <w:rPr>
          <w:rFonts w:ascii="Times New Roman" w:hAnsi="Times New Roman" w:cs="Times New Roman"/>
        </w:rPr>
        <w:t>.</w:t>
      </w:r>
    </w:p>
  </w:footnote>
  <w:footnote w:id="4">
    <w:p w14:paraId="2451D021" w14:textId="77777777" w:rsidR="00740B23" w:rsidRDefault="00740B23">
      <w:pPr>
        <w:pStyle w:val="FootnoteText"/>
        <w:rPr>
          <w:rFonts w:ascii="Times New Roman" w:hAnsi="Times New Roman" w:cs="Times New Roman"/>
        </w:rPr>
      </w:pPr>
      <w:r w:rsidRPr="00DA6705">
        <w:rPr>
          <w:rStyle w:val="FootnoteReference"/>
          <w:rFonts w:ascii="Times New Roman" w:hAnsi="Times New Roman" w:cs="Times New Roman"/>
        </w:rPr>
        <w:footnoteRef/>
      </w:r>
      <w:r w:rsidRPr="00DA6705">
        <w:rPr>
          <w:rFonts w:ascii="Times New Roman" w:hAnsi="Times New Roman" w:cs="Times New Roman"/>
        </w:rPr>
        <w:t xml:space="preserve"> </w:t>
      </w:r>
      <w:r>
        <w:rPr>
          <w:rFonts w:ascii="Times New Roman" w:hAnsi="Times New Roman" w:cs="Times New Roman"/>
        </w:rPr>
        <w:t>Ratios i</w:t>
      </w:r>
      <w:r w:rsidRPr="00DA6705">
        <w:rPr>
          <w:rFonts w:ascii="Times New Roman" w:hAnsi="Times New Roman" w:cs="Times New Roman"/>
        </w:rPr>
        <w:t>nclude Non-Energy Benefits</w:t>
      </w:r>
      <w:r>
        <w:rPr>
          <w:rFonts w:ascii="Times New Roman" w:hAnsi="Times New Roman" w:cs="Times New Roman"/>
        </w:rPr>
        <w:t xml:space="preserve">, but excludes costs as outlined in the Company’s EM&amp;V Framework </w:t>
      </w:r>
    </w:p>
    <w:p w14:paraId="2451D022" w14:textId="77777777" w:rsidR="00740B23" w:rsidRPr="00AB5151" w:rsidRDefault="00740B23">
      <w:pPr>
        <w:pStyle w:val="FootnoteText"/>
        <w:rPr>
          <w:rFonts w:ascii="Times New Roman" w:hAnsi="Times New Roman" w:cs="Times New Roman"/>
        </w:rPr>
      </w:pPr>
      <w:r>
        <w:rPr>
          <w:rFonts w:ascii="Times New Roman" w:hAnsi="Times New Roman" w:cs="Times New Roman"/>
        </w:rPr>
        <w:t xml:space="preserve">  (e.g. Class 1 &amp; 3 of the potential study).</w:t>
      </w:r>
    </w:p>
  </w:footnote>
  <w:footnote w:id="5">
    <w:p w14:paraId="2451D023" w14:textId="77777777" w:rsidR="00740B23" w:rsidRPr="00DA6705" w:rsidRDefault="00740B23" w:rsidP="00B214AF">
      <w:pPr>
        <w:pStyle w:val="FootnoteText"/>
        <w:jc w:val="both"/>
        <w:rPr>
          <w:rFonts w:ascii="Times New Roman" w:hAnsi="Times New Roman" w:cs="Times New Roman"/>
        </w:rPr>
      </w:pPr>
      <w:r w:rsidRPr="00AB5151">
        <w:rPr>
          <w:rStyle w:val="FootnoteReference"/>
          <w:rFonts w:ascii="Times New Roman" w:hAnsi="Times New Roman" w:cs="Times New Roman"/>
        </w:rPr>
        <w:footnoteRef/>
      </w:r>
      <w:r w:rsidRPr="00AB5151">
        <w:rPr>
          <w:rFonts w:ascii="Times New Roman" w:hAnsi="Times New Roman" w:cs="Times New Roman"/>
        </w:rPr>
        <w:t xml:space="preserve"> The PTRC includes t</w:t>
      </w:r>
      <w:r>
        <w:rPr>
          <w:rFonts w:ascii="Times New Roman" w:hAnsi="Times New Roman" w:cs="Times New Roman"/>
        </w:rPr>
        <w:t xml:space="preserve">he 10 percent conservation benefit and risk adder in addition to quantifiable non-energy benefits. PTRC is consistent with the Northwest Power Council’s cost effectiveness methodology and </w:t>
      </w:r>
      <w:r w:rsidRPr="004C797C">
        <w:rPr>
          <w:rFonts w:ascii="Times New Roman" w:hAnsi="Times New Roman" w:cs="Times New Roman"/>
        </w:rPr>
        <w:t>complies with the cost</w:t>
      </w:r>
      <w:r>
        <w:rPr>
          <w:rFonts w:ascii="Times New Roman" w:hAnsi="Times New Roman" w:cs="Times New Roman"/>
        </w:rPr>
        <w:t xml:space="preserve"> </w:t>
      </w:r>
      <w:r w:rsidRPr="004C797C">
        <w:rPr>
          <w:rFonts w:ascii="Times New Roman" w:hAnsi="Times New Roman" w:cs="Times New Roman"/>
        </w:rPr>
        <w:t>effective</w:t>
      </w:r>
      <w:r>
        <w:rPr>
          <w:rFonts w:ascii="Times New Roman" w:hAnsi="Times New Roman" w:cs="Times New Roman"/>
        </w:rPr>
        <w:t>ness definition (RCW 80.52.030(7</w:t>
      </w:r>
      <w:r w:rsidRPr="004C797C">
        <w:rPr>
          <w:rFonts w:ascii="Times New Roman" w:hAnsi="Times New Roman" w:cs="Times New Roman"/>
        </w:rPr>
        <w:t>)</w:t>
      </w:r>
      <w:r>
        <w:rPr>
          <w:rFonts w:ascii="Times New Roman" w:hAnsi="Times New Roman" w:cs="Times New Roman"/>
        </w:rPr>
        <w:t>).</w:t>
      </w:r>
    </w:p>
  </w:footnote>
  <w:footnote w:id="6">
    <w:p w14:paraId="2451D024" w14:textId="77777777" w:rsidR="00740B23" w:rsidRPr="00DA6705" w:rsidRDefault="00740B23" w:rsidP="00B214AF">
      <w:pPr>
        <w:pStyle w:val="FootnoteText"/>
        <w:jc w:val="both"/>
        <w:rPr>
          <w:rFonts w:ascii="Times New Roman" w:hAnsi="Times New Roman" w:cs="Times New Roman"/>
        </w:rPr>
      </w:pPr>
      <w:r w:rsidRPr="00DA6705">
        <w:rPr>
          <w:rStyle w:val="FootnoteReference"/>
          <w:rFonts w:ascii="Times New Roman" w:hAnsi="Times New Roman" w:cs="Times New Roman"/>
        </w:rPr>
        <w:footnoteRef/>
      </w:r>
      <w:r w:rsidRPr="00DA6705">
        <w:rPr>
          <w:rFonts w:ascii="Times New Roman" w:hAnsi="Times New Roman" w:cs="Times New Roman"/>
        </w:rPr>
        <w:t xml:space="preserve"> The TRC compares the total cost of a supply side resource to the total cost of energy efficiency resources, including costs paid by the customer in excess of the program incentives. The test is used to determine if an energy efficiency program is cost effective from a total cost perspective.</w:t>
      </w:r>
    </w:p>
  </w:footnote>
  <w:footnote w:id="7">
    <w:p w14:paraId="2451D025" w14:textId="77777777" w:rsidR="00740B23" w:rsidRPr="00DA6705" w:rsidRDefault="00740B23" w:rsidP="00B214AF">
      <w:pPr>
        <w:pStyle w:val="FootnoteText"/>
        <w:jc w:val="both"/>
        <w:rPr>
          <w:rFonts w:ascii="Times New Roman" w:hAnsi="Times New Roman" w:cs="Times New Roman"/>
        </w:rPr>
      </w:pPr>
      <w:r w:rsidRPr="00DA6705">
        <w:rPr>
          <w:rStyle w:val="FootnoteReference"/>
          <w:rFonts w:ascii="Times New Roman" w:hAnsi="Times New Roman" w:cs="Times New Roman"/>
        </w:rPr>
        <w:footnoteRef/>
      </w:r>
      <w:r w:rsidRPr="00DA6705">
        <w:rPr>
          <w:rFonts w:ascii="Times New Roman" w:hAnsi="Times New Roman" w:cs="Times New Roman"/>
        </w:rPr>
        <w:t xml:space="preserve"> The UCT compares the total cost incurred by the utility to the benefits associated with displacing or deferring supply side resources.</w:t>
      </w:r>
    </w:p>
  </w:footnote>
  <w:footnote w:id="8">
    <w:p w14:paraId="2451D026" w14:textId="77777777" w:rsidR="00740B23" w:rsidRDefault="00740B23" w:rsidP="00B214AF">
      <w:pPr>
        <w:pStyle w:val="FootnoteText"/>
        <w:jc w:val="both"/>
      </w:pPr>
      <w:r w:rsidRPr="00DA6705">
        <w:rPr>
          <w:rStyle w:val="FootnoteReference"/>
          <w:rFonts w:ascii="Times New Roman" w:hAnsi="Times New Roman" w:cs="Times New Roman"/>
        </w:rPr>
        <w:footnoteRef/>
      </w:r>
      <w:r w:rsidRPr="00DA6705">
        <w:rPr>
          <w:rFonts w:ascii="Times New Roman" w:hAnsi="Times New Roman" w:cs="Times New Roman"/>
        </w:rPr>
        <w:t xml:space="preserve"> The PCT </w:t>
      </w:r>
      <w:r>
        <w:rPr>
          <w:rFonts w:ascii="Times New Roman" w:hAnsi="Times New Roman" w:cs="Times New Roman"/>
        </w:rPr>
        <w:t>compares the portion of the resource paid directly by participants to the savings realized by the participants</w:t>
      </w:r>
      <w:r w:rsidRPr="00DA6705">
        <w:rPr>
          <w:rFonts w:ascii="Times New Roman" w:hAnsi="Times New Roman" w:cs="Times New Roman"/>
        </w:rPr>
        <w:t>.</w:t>
      </w:r>
    </w:p>
  </w:footnote>
  <w:footnote w:id="9">
    <w:p w14:paraId="2451D027" w14:textId="77777777" w:rsidR="00740B23" w:rsidRPr="00C11CD7" w:rsidRDefault="00740B23" w:rsidP="00053FF7">
      <w:pPr>
        <w:pStyle w:val="FootnoteText"/>
        <w:jc w:val="both"/>
        <w:rPr>
          <w:rFonts w:ascii="Times New Roman" w:hAnsi="Times New Roman" w:cs="Times New Roman"/>
        </w:rPr>
      </w:pPr>
      <w:r w:rsidRPr="00CA4A03">
        <w:rPr>
          <w:rStyle w:val="FootnoteReference"/>
          <w:rFonts w:ascii="Times New Roman" w:hAnsi="Times New Roman" w:cs="Times New Roman"/>
        </w:rPr>
        <w:footnoteRef/>
      </w:r>
      <w:r w:rsidRPr="00CA4A03">
        <w:rPr>
          <w:rFonts w:ascii="Times New Roman" w:hAnsi="Times New Roman" w:cs="Times New Roman"/>
        </w:rPr>
        <w:t xml:space="preserve"> </w:t>
      </w:r>
      <w:r>
        <w:rPr>
          <w:rFonts w:ascii="Times New Roman" w:hAnsi="Times New Roman" w:cs="Times New Roman"/>
        </w:rPr>
        <w:t>The RIM examines the impact of energy efficiency expenditures on non-participating ratepayers overall. Unlike supply-side investments, energy efficiency programs reduce energy sales. Reduced energy sales can lower revenue requirements while putting upward pressure on rates as the remaining fixed costs are spread over fewer kilowatt-hours.</w:t>
      </w:r>
    </w:p>
  </w:footnote>
  <w:footnote w:id="10">
    <w:p w14:paraId="2451D028" w14:textId="77777777" w:rsidR="001E47EB" w:rsidRPr="00C11CD7" w:rsidRDefault="001E47EB" w:rsidP="001E47EB">
      <w:pPr>
        <w:pStyle w:val="FootnoteText"/>
        <w:jc w:val="both"/>
        <w:rPr>
          <w:rFonts w:ascii="Times New Roman" w:hAnsi="Times New Roman" w:cs="Times New Roman"/>
        </w:rPr>
      </w:pPr>
      <w:r w:rsidRPr="00CA4A03">
        <w:rPr>
          <w:rStyle w:val="FootnoteReference"/>
          <w:rFonts w:ascii="Times New Roman" w:hAnsi="Times New Roman" w:cs="Times New Roman"/>
        </w:rPr>
        <w:footnoteRef/>
      </w:r>
      <w:r w:rsidRPr="00CA4A03">
        <w:rPr>
          <w:rFonts w:ascii="Times New Roman" w:hAnsi="Times New Roman" w:cs="Times New Roman"/>
        </w:rPr>
        <w:t xml:space="preserve"> See </w:t>
      </w:r>
      <w:r>
        <w:rPr>
          <w:rFonts w:ascii="Times New Roman" w:hAnsi="Times New Roman" w:cs="Times New Roman"/>
        </w:rPr>
        <w:t>program specific section for information</w:t>
      </w:r>
      <w:r w:rsidRPr="00C11CD7">
        <w:rPr>
          <w:rFonts w:ascii="Times New Roman" w:hAnsi="Times New Roman" w:cs="Times New Roman"/>
        </w:rPr>
        <w:t xml:space="preserve"> on third party administrators.</w:t>
      </w:r>
      <w:r w:rsidRPr="00CA4A03">
        <w:rPr>
          <w:rFonts w:ascii="Times New Roman" w:hAnsi="Times New Roman" w:cs="Times New Roman"/>
        </w:rPr>
        <w:t xml:space="preserve"> </w:t>
      </w:r>
    </w:p>
  </w:footnote>
  <w:footnote w:id="11">
    <w:p w14:paraId="2451D029" w14:textId="77777777" w:rsidR="00740B23" w:rsidRPr="00A5309A" w:rsidRDefault="00740B23" w:rsidP="00DD4B5D">
      <w:pPr>
        <w:pStyle w:val="FootnoteText"/>
        <w:rPr>
          <w:rFonts w:ascii="Times New Roman" w:hAnsi="Times New Roman" w:cs="Times New Roman"/>
        </w:rPr>
      </w:pPr>
      <w:r>
        <w:rPr>
          <w:rStyle w:val="FootnoteReference"/>
        </w:rPr>
        <w:footnoteRef/>
      </w:r>
      <w:r>
        <w:t xml:space="preserve"> </w:t>
      </w:r>
      <w:r w:rsidRPr="00A5309A">
        <w:rPr>
          <w:rFonts w:ascii="Times New Roman" w:hAnsi="Times New Roman" w:cs="Times New Roman"/>
        </w:rPr>
        <w:t xml:space="preserve">Information on the </w:t>
      </w:r>
      <w:r>
        <w:rPr>
          <w:rFonts w:ascii="Times New Roman" w:hAnsi="Times New Roman" w:cs="Times New Roman"/>
        </w:rPr>
        <w:t>Company’s i</w:t>
      </w:r>
      <w:r w:rsidRPr="00A5309A">
        <w:rPr>
          <w:rFonts w:ascii="Times New Roman" w:hAnsi="Times New Roman" w:cs="Times New Roman"/>
        </w:rPr>
        <w:t xml:space="preserve">ntegrated </w:t>
      </w:r>
      <w:r>
        <w:rPr>
          <w:rFonts w:ascii="Times New Roman" w:hAnsi="Times New Roman" w:cs="Times New Roman"/>
        </w:rPr>
        <w:t>r</w:t>
      </w:r>
      <w:r w:rsidRPr="00A5309A">
        <w:rPr>
          <w:rFonts w:ascii="Times New Roman" w:hAnsi="Times New Roman" w:cs="Times New Roman"/>
        </w:rPr>
        <w:t xml:space="preserve">esource </w:t>
      </w:r>
      <w:r>
        <w:rPr>
          <w:rFonts w:ascii="Times New Roman" w:hAnsi="Times New Roman" w:cs="Times New Roman"/>
        </w:rPr>
        <w:t>p</w:t>
      </w:r>
      <w:r w:rsidRPr="00A5309A">
        <w:rPr>
          <w:rFonts w:ascii="Times New Roman" w:hAnsi="Times New Roman" w:cs="Times New Roman"/>
        </w:rPr>
        <w:t>lan</w:t>
      </w:r>
      <w:r>
        <w:rPr>
          <w:rFonts w:ascii="Times New Roman" w:hAnsi="Times New Roman" w:cs="Times New Roman"/>
        </w:rPr>
        <w:t>ning</w:t>
      </w:r>
      <w:r w:rsidRPr="00A5309A">
        <w:rPr>
          <w:rFonts w:ascii="Times New Roman" w:hAnsi="Times New Roman" w:cs="Times New Roman"/>
        </w:rPr>
        <w:t xml:space="preserve"> </w:t>
      </w:r>
      <w:r>
        <w:rPr>
          <w:rFonts w:ascii="Times New Roman" w:hAnsi="Times New Roman" w:cs="Times New Roman"/>
        </w:rPr>
        <w:t xml:space="preserve">process can </w:t>
      </w:r>
      <w:r w:rsidRPr="00A5309A">
        <w:rPr>
          <w:rFonts w:ascii="Times New Roman" w:hAnsi="Times New Roman" w:cs="Times New Roman"/>
        </w:rPr>
        <w:t xml:space="preserve">be found </w:t>
      </w:r>
      <w:r>
        <w:rPr>
          <w:rFonts w:ascii="Times New Roman" w:hAnsi="Times New Roman" w:cs="Times New Roman"/>
        </w:rPr>
        <w:t xml:space="preserve">at the following address: </w:t>
      </w:r>
      <w:hyperlink r:id="rId1" w:history="1">
        <w:r w:rsidRPr="00A5309A">
          <w:rPr>
            <w:rStyle w:val="Hyperlink"/>
            <w:rFonts w:ascii="Times New Roman" w:hAnsi="Times New Roman" w:cs="Times New Roman"/>
          </w:rPr>
          <w:t>http://www.pacificorp.com/es/irp.html</w:t>
        </w:r>
      </w:hyperlink>
    </w:p>
  </w:footnote>
  <w:footnote w:id="12">
    <w:p w14:paraId="2451D02A" w14:textId="77777777" w:rsidR="00740B23" w:rsidRDefault="00740B23" w:rsidP="00DD4B5D">
      <w:pPr>
        <w:pStyle w:val="FootnoteText"/>
        <w:jc w:val="both"/>
        <w:rPr>
          <w:rFonts w:ascii="Times New Roman" w:hAnsi="Times New Roman" w:cs="Times New Roman"/>
        </w:rPr>
      </w:pPr>
      <w:r w:rsidRPr="00CA4A03">
        <w:rPr>
          <w:rStyle w:val="FootnoteReference"/>
          <w:rFonts w:ascii="Times New Roman" w:hAnsi="Times New Roman" w:cs="Times New Roman"/>
        </w:rPr>
        <w:footnoteRef/>
      </w:r>
      <w:r>
        <w:rPr>
          <w:rFonts w:ascii="Times New Roman" w:hAnsi="Times New Roman" w:cs="Times New Roman"/>
        </w:rPr>
        <w:t xml:space="preserve"> PacifiCorp Demand-Side Resource Potential Assessment For 2015-2034</w:t>
      </w:r>
      <w:r w:rsidRPr="008051C5">
        <w:rPr>
          <w:rFonts w:ascii="Times New Roman" w:hAnsi="Times New Roman" w:cs="Times New Roman"/>
        </w:rPr>
        <w:t xml:space="preserve">, </w:t>
      </w:r>
      <w:hyperlink r:id="rId2" w:history="1">
        <w:r w:rsidRPr="00E7540B">
          <w:rPr>
            <w:rStyle w:val="Hyperlink"/>
            <w:rFonts w:ascii="Times New Roman" w:hAnsi="Times New Roman" w:cs="Times New Roman"/>
          </w:rPr>
          <w:t>http://www.pacificorp.com/es/dsm.html</w:t>
        </w:r>
      </w:hyperlink>
      <w:r>
        <w:rPr>
          <w:rFonts w:ascii="Times New Roman" w:hAnsi="Times New Roman" w:cs="Times New Roman"/>
        </w:rPr>
        <w:t>.</w:t>
      </w:r>
    </w:p>
    <w:p w14:paraId="2451D02B" w14:textId="77777777" w:rsidR="00740B23" w:rsidRPr="008051C5" w:rsidRDefault="00EB6872" w:rsidP="00DD4B5D">
      <w:pPr>
        <w:pStyle w:val="FootnoteText"/>
        <w:jc w:val="both"/>
        <w:rPr>
          <w:rFonts w:ascii="Times New Roman" w:hAnsi="Times New Roman" w:cs="Times New Roman"/>
        </w:rPr>
      </w:pPr>
      <w:hyperlink w:history="1"/>
    </w:p>
  </w:footnote>
  <w:footnote w:id="13">
    <w:p w14:paraId="2451D02C" w14:textId="77777777" w:rsidR="00740B23" w:rsidRPr="004F2511" w:rsidRDefault="00740B23" w:rsidP="00DD4B5D">
      <w:pPr>
        <w:pStyle w:val="FootnoteText"/>
        <w:rPr>
          <w:rFonts w:ascii="Times New Roman" w:hAnsi="Times New Roman" w:cs="Times New Roman"/>
        </w:rPr>
      </w:pPr>
      <w:r w:rsidRPr="008051C5">
        <w:rPr>
          <w:rStyle w:val="FootnoteReference"/>
          <w:rFonts w:ascii="Times New Roman" w:hAnsi="Times New Roman" w:cs="Times New Roman"/>
        </w:rPr>
        <w:footnoteRef/>
      </w:r>
      <w:r w:rsidRPr="00B22DF1">
        <w:rPr>
          <w:rFonts w:ascii="Times New Roman" w:hAnsi="Times New Roman" w:cs="Times New Roman"/>
        </w:rPr>
        <w:t xml:space="preserve"> </w:t>
      </w:r>
      <w:r>
        <w:rPr>
          <w:rFonts w:ascii="Times New Roman" w:hAnsi="Times New Roman" w:cs="Times New Roman"/>
        </w:rPr>
        <w:t>Ibid, Volume 2, p</w:t>
      </w:r>
      <w:r w:rsidRPr="00B22DF1">
        <w:rPr>
          <w:rFonts w:ascii="Times New Roman" w:hAnsi="Times New Roman" w:cs="Times New Roman"/>
        </w:rPr>
        <w:t xml:space="preserve">age </w:t>
      </w:r>
      <w:r>
        <w:rPr>
          <w:rFonts w:ascii="Times New Roman" w:hAnsi="Times New Roman" w:cs="Times New Roman"/>
        </w:rPr>
        <w:t xml:space="preserve">4-2. </w:t>
      </w:r>
    </w:p>
  </w:footnote>
  <w:footnote w:id="14">
    <w:p w14:paraId="2451D02D" w14:textId="77777777" w:rsidR="00740B23" w:rsidRDefault="00740B23" w:rsidP="00DD4B5D">
      <w:pPr>
        <w:pStyle w:val="FootnoteText"/>
      </w:pPr>
      <w:r w:rsidRPr="00B1000F">
        <w:rPr>
          <w:rStyle w:val="FootnoteReference"/>
          <w:rFonts w:ascii="Times New Roman" w:hAnsi="Times New Roman" w:cs="Times New Roman"/>
        </w:rPr>
        <w:footnoteRef/>
      </w:r>
      <w:r w:rsidRPr="00B1000F">
        <w:rPr>
          <w:rFonts w:ascii="Times New Roman" w:hAnsi="Times New Roman" w:cs="Times New Roman"/>
        </w:rPr>
        <w:t xml:space="preserve"> Oregon</w:t>
      </w:r>
      <w:r>
        <w:t xml:space="preserve"> </w:t>
      </w:r>
      <w:r>
        <w:rPr>
          <w:rFonts w:ascii="Times New Roman" w:hAnsi="Times New Roman" w:cs="Times New Roman"/>
        </w:rPr>
        <w:t xml:space="preserve">energy efficiency </w:t>
      </w:r>
      <w:r w:rsidRPr="00B22DF1">
        <w:rPr>
          <w:rFonts w:ascii="Times New Roman" w:hAnsi="Times New Roman" w:cs="Times New Roman"/>
        </w:rPr>
        <w:t>potential</w:t>
      </w:r>
      <w:r>
        <w:rPr>
          <w:rFonts w:ascii="Times New Roman" w:hAnsi="Times New Roman" w:cs="Times New Roman"/>
        </w:rPr>
        <w:t>s</w:t>
      </w:r>
      <w:r w:rsidRPr="00B22DF1">
        <w:rPr>
          <w:rFonts w:ascii="Times New Roman" w:hAnsi="Times New Roman" w:cs="Times New Roman"/>
        </w:rPr>
        <w:t xml:space="preserve"> </w:t>
      </w:r>
      <w:r>
        <w:rPr>
          <w:rFonts w:ascii="Times New Roman" w:hAnsi="Times New Roman" w:cs="Times New Roman"/>
        </w:rPr>
        <w:t>assessments</w:t>
      </w:r>
      <w:r w:rsidRPr="00B22DF1">
        <w:rPr>
          <w:rFonts w:ascii="Times New Roman" w:hAnsi="Times New Roman" w:cs="Times New Roman"/>
        </w:rPr>
        <w:t xml:space="preserve"> are performed by the Energy Trust of Oregon.</w:t>
      </w:r>
      <w:r>
        <w:t xml:space="preserve"> </w:t>
      </w:r>
    </w:p>
  </w:footnote>
  <w:footnote w:id="15">
    <w:p w14:paraId="2451D02E" w14:textId="77777777" w:rsidR="00740B23" w:rsidRPr="00C11CD7" w:rsidRDefault="00740B23" w:rsidP="00DD4B5D">
      <w:pPr>
        <w:pStyle w:val="FootnoteText"/>
        <w:rPr>
          <w:rFonts w:ascii="Times New Roman" w:hAnsi="Times New Roman" w:cs="Times New Roman"/>
        </w:rPr>
      </w:pPr>
      <w:r w:rsidRPr="00CA4A03">
        <w:rPr>
          <w:rStyle w:val="FootnoteReference"/>
          <w:rFonts w:ascii="Times New Roman" w:hAnsi="Times New Roman" w:cs="Times New Roman"/>
        </w:rPr>
        <w:footnoteRef/>
      </w:r>
      <w:r w:rsidRPr="00CA4A03">
        <w:rPr>
          <w:rFonts w:ascii="Times New Roman" w:hAnsi="Times New Roman" w:cs="Times New Roman"/>
        </w:rPr>
        <w:t xml:space="preserve"> </w:t>
      </w:r>
      <w:r>
        <w:rPr>
          <w:rFonts w:ascii="Times New Roman" w:hAnsi="Times New Roman" w:cs="Times New Roman"/>
        </w:rPr>
        <w:t>Volume 1, Page 4-2, PacifiCorp Demand-Side Resource Potential Assessment for 2015-2034.</w:t>
      </w:r>
    </w:p>
  </w:footnote>
  <w:footnote w:id="16">
    <w:p w14:paraId="2451D02F" w14:textId="77777777" w:rsidR="00740B23" w:rsidRDefault="00740B23">
      <w:pPr>
        <w:pStyle w:val="FootnoteText"/>
      </w:pPr>
      <w:r>
        <w:rPr>
          <w:rStyle w:val="FootnoteReference"/>
        </w:rPr>
        <w:footnoteRef/>
      </w:r>
      <w:r>
        <w:t xml:space="preserve"> </w:t>
      </w:r>
      <w:r w:rsidRPr="004632F2">
        <w:rPr>
          <w:rFonts w:ascii="Times New Roman" w:hAnsi="Times New Roman" w:cs="Times New Roman"/>
        </w:rPr>
        <w:t>Budget from 2014-2015 Busi</w:t>
      </w:r>
      <w:r>
        <w:rPr>
          <w:rFonts w:ascii="Times New Roman" w:hAnsi="Times New Roman" w:cs="Times New Roman"/>
        </w:rPr>
        <w:t>ness Plan filed November 1, 2014.</w:t>
      </w:r>
    </w:p>
  </w:footnote>
  <w:footnote w:id="17">
    <w:p w14:paraId="2451D030" w14:textId="77777777" w:rsidR="00740B23" w:rsidRPr="00DF2F23" w:rsidRDefault="00740B23">
      <w:pPr>
        <w:pStyle w:val="FootnoteText"/>
        <w:rPr>
          <w:rFonts w:ascii="Times New Roman" w:hAnsi="Times New Roman" w:cs="Times New Roman"/>
        </w:rPr>
      </w:pPr>
      <w:r w:rsidRPr="00DF2F23">
        <w:rPr>
          <w:rStyle w:val="FootnoteReference"/>
          <w:rFonts w:ascii="Times New Roman" w:hAnsi="Times New Roman" w:cs="Times New Roman"/>
        </w:rPr>
        <w:footnoteRef/>
      </w:r>
      <w:r>
        <w:rPr>
          <w:rFonts w:ascii="Times New Roman" w:hAnsi="Times New Roman" w:cs="Times New Roman"/>
        </w:rPr>
        <w:t xml:space="preserve"> SBC expenditures represent</w:t>
      </w:r>
      <w:r w:rsidRPr="00DF2F23">
        <w:rPr>
          <w:rFonts w:ascii="Times New Roman" w:hAnsi="Times New Roman" w:cs="Times New Roman"/>
        </w:rPr>
        <w:t xml:space="preserve"> total program costs for savings claimed 201</w:t>
      </w:r>
      <w:r>
        <w:rPr>
          <w:rFonts w:ascii="Times New Roman" w:hAnsi="Times New Roman" w:cs="Times New Roman"/>
        </w:rPr>
        <w:t>5.</w:t>
      </w:r>
    </w:p>
  </w:footnote>
  <w:footnote w:id="18">
    <w:p w14:paraId="2451D031" w14:textId="77777777" w:rsidR="00740B23" w:rsidRPr="00E2008B" w:rsidRDefault="00740B23">
      <w:pPr>
        <w:pStyle w:val="FootnoteText"/>
        <w:rPr>
          <w:rFonts w:ascii="Times New Roman" w:hAnsi="Times New Roman" w:cs="Times New Roman"/>
        </w:rPr>
      </w:pPr>
      <w:r w:rsidRPr="00E2008B">
        <w:rPr>
          <w:rStyle w:val="FootnoteReference"/>
          <w:rFonts w:ascii="Times New Roman" w:hAnsi="Times New Roman" w:cs="Times New Roman"/>
        </w:rPr>
        <w:footnoteRef/>
      </w:r>
      <w:r w:rsidRPr="00E2008B">
        <w:rPr>
          <w:rFonts w:ascii="Times New Roman" w:hAnsi="Times New Roman" w:cs="Times New Roman"/>
        </w:rPr>
        <w:t xml:space="preserve"> </w:t>
      </w:r>
      <w:r>
        <w:rPr>
          <w:rFonts w:ascii="Times New Roman" w:hAnsi="Times New Roman" w:cs="Times New Roman"/>
        </w:rPr>
        <w:t>Excludes Low Income Weatherization.</w:t>
      </w:r>
    </w:p>
  </w:footnote>
  <w:footnote w:id="19">
    <w:p w14:paraId="2451D032" w14:textId="77777777" w:rsidR="00740B23" w:rsidRPr="00E2008B" w:rsidRDefault="00740B23" w:rsidP="0046336B">
      <w:pPr>
        <w:pStyle w:val="FootnoteText"/>
        <w:rPr>
          <w:rFonts w:ascii="Times New Roman" w:hAnsi="Times New Roman" w:cs="Times New Roman"/>
        </w:rPr>
      </w:pPr>
      <w:r w:rsidRPr="00E2008B">
        <w:rPr>
          <w:rStyle w:val="FootnoteReference"/>
          <w:rFonts w:ascii="Times New Roman" w:hAnsi="Times New Roman" w:cs="Times New Roman"/>
        </w:rPr>
        <w:footnoteRef/>
      </w:r>
      <w:r w:rsidRPr="00E2008B">
        <w:rPr>
          <w:rFonts w:ascii="Times New Roman" w:hAnsi="Times New Roman" w:cs="Times New Roman"/>
        </w:rPr>
        <w:t xml:space="preserve"> Includes Non-Energy Benefits</w:t>
      </w:r>
      <w:r>
        <w:rPr>
          <w:rFonts w:ascii="Times New Roman" w:hAnsi="Times New Roman" w:cs="Times New Roman"/>
        </w:rPr>
        <w:t>.</w:t>
      </w:r>
    </w:p>
  </w:footnote>
  <w:footnote w:id="20">
    <w:p w14:paraId="2451D033" w14:textId="77777777" w:rsidR="00740B23" w:rsidRPr="00CA0CB5" w:rsidRDefault="00740B23" w:rsidP="00DD4B5D">
      <w:pPr>
        <w:pStyle w:val="FootnoteText"/>
        <w:rPr>
          <w:rFonts w:ascii="Times New Roman" w:hAnsi="Times New Roman" w:cs="Times New Roman"/>
        </w:rPr>
      </w:pPr>
      <w:r w:rsidRPr="0000216E">
        <w:rPr>
          <w:rStyle w:val="FootnoteReference"/>
          <w:rFonts w:ascii="Times New Roman" w:hAnsi="Times New Roman" w:cs="Times New Roman"/>
        </w:rPr>
        <w:footnoteRef/>
      </w:r>
      <w:r w:rsidRPr="0000216E">
        <w:rPr>
          <w:rFonts w:ascii="Times New Roman" w:hAnsi="Times New Roman" w:cs="Times New Roman"/>
        </w:rPr>
        <w:t xml:space="preserve"> </w:t>
      </w:r>
      <w:r w:rsidRPr="00CA0CB5">
        <w:rPr>
          <w:rFonts w:ascii="Times New Roman" w:hAnsi="Times New Roman" w:cs="Times New Roman"/>
        </w:rPr>
        <w:t>As of the end of 2015 approximately 10,100 customers in the legacy group were still participating and receiving home energy reports.</w:t>
      </w:r>
    </w:p>
  </w:footnote>
  <w:footnote w:id="21">
    <w:p w14:paraId="2451D034" w14:textId="77777777" w:rsidR="00740B23" w:rsidRPr="0000216E" w:rsidRDefault="00740B23" w:rsidP="00DD4B5D">
      <w:pPr>
        <w:pStyle w:val="FootnoteText"/>
        <w:rPr>
          <w:rFonts w:ascii="Times New Roman" w:hAnsi="Times New Roman" w:cs="Times New Roman"/>
        </w:rPr>
      </w:pPr>
      <w:r w:rsidRPr="0000216E">
        <w:rPr>
          <w:rStyle w:val="FootnoteReference"/>
          <w:rFonts w:ascii="Times New Roman" w:hAnsi="Times New Roman" w:cs="Times New Roman"/>
        </w:rPr>
        <w:footnoteRef/>
      </w:r>
      <w:r w:rsidRPr="0000216E">
        <w:rPr>
          <w:rFonts w:ascii="Times New Roman" w:hAnsi="Times New Roman" w:cs="Times New Roman"/>
        </w:rPr>
        <w:t xml:space="preserve">  As of the end of 2015, approximately 32,000 customers in the expansion group were still participating and receiving home energy reports</w:t>
      </w:r>
      <w:r w:rsidRPr="00CA0CB5">
        <w:rPr>
          <w:rFonts w:ascii="Times New Roman" w:hAnsi="Times New Roman" w:cs="Times New Roman"/>
        </w:rPr>
        <w:t>.</w:t>
      </w:r>
      <w:r w:rsidRPr="0000216E">
        <w:rPr>
          <w:rFonts w:ascii="Times New Roman" w:hAnsi="Times New Roman" w:cs="Times New Roman"/>
        </w:rPr>
        <w:t xml:space="preserve"> </w:t>
      </w:r>
    </w:p>
  </w:footnote>
  <w:footnote w:id="22">
    <w:p w14:paraId="2451D035" w14:textId="77777777" w:rsidR="00740B23" w:rsidRPr="00575E4D" w:rsidRDefault="00740B23">
      <w:pPr>
        <w:pStyle w:val="Foot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w:t>
      </w:r>
      <w:hyperlink r:id="rId3" w:history="1">
        <w:r w:rsidRPr="00575E4D">
          <w:rPr>
            <w:rStyle w:val="Hyperlink"/>
            <w:rFonts w:ascii="Times New Roman" w:hAnsi="Times New Roman" w:cs="Times New Roman"/>
          </w:rPr>
          <w:t>http://www.commerce.wa.gov/Documents/HIP-Weatherization-2015-Income-Eligibility-Guidelines.pdf</w:t>
        </w:r>
      </w:hyperlink>
    </w:p>
  </w:footnote>
  <w:footnote w:id="23">
    <w:p w14:paraId="2451D036" w14:textId="77777777" w:rsidR="00740B23" w:rsidRDefault="00740B23">
      <w:pPr>
        <w:pStyle w:val="FootnoteText"/>
      </w:pPr>
      <w:r w:rsidRPr="00575E4D">
        <w:rPr>
          <w:rStyle w:val="FootnoteReference"/>
          <w:rFonts w:ascii="Times New Roman" w:hAnsi="Times New Roman" w:cs="Times New Roman"/>
        </w:rPr>
        <w:footnoteRef/>
      </w:r>
      <w:r w:rsidRPr="00575E4D">
        <w:rPr>
          <w:rFonts w:ascii="Times New Roman" w:hAnsi="Times New Roman" w:cs="Times New Roman"/>
        </w:rPr>
        <w:t xml:space="preserve"> </w:t>
      </w:r>
      <w:hyperlink r:id="rId4" w:history="1">
        <w:r w:rsidRPr="00575E4D">
          <w:rPr>
            <w:rStyle w:val="Hyperlink"/>
            <w:rFonts w:ascii="Times New Roman" w:hAnsi="Times New Roman" w:cs="Times New Roman"/>
          </w:rPr>
          <w:t>http://www.pacificorp.com/es/dsm/washington.html</w:t>
        </w:r>
      </w:hyperlink>
      <w:r w:rsidRPr="00575E4D">
        <w:rPr>
          <w:rFonts w:ascii="Times New Roman" w:hAnsi="Times New Roman" w:cs="Times New Roman"/>
        </w:rPr>
        <w:t xml:space="preserve"> </w:t>
      </w:r>
    </w:p>
  </w:footnote>
  <w:footnote w:id="24">
    <w:p w14:paraId="2451D037" w14:textId="77777777" w:rsidR="00740B23" w:rsidRPr="00575E4D" w:rsidRDefault="00740B23" w:rsidP="0090617D">
      <w:pPr>
        <w:autoSpaceDE w:val="0"/>
        <w:autoSpaceDN w:val="0"/>
        <w:adjustRightInd w:val="0"/>
        <w:rPr>
          <w:rFonts w:ascii="Times New Roman" w:hAnsi="Times New Roman" w:cs="Times New Roman"/>
          <w:sz w:val="20"/>
          <w:szCs w:val="20"/>
        </w:rPr>
      </w:pPr>
      <w:r w:rsidRPr="00575E4D">
        <w:rPr>
          <w:rStyle w:val="FootnoteReference"/>
          <w:rFonts w:ascii="Times New Roman" w:hAnsi="Times New Roman" w:cs="Times New Roman"/>
          <w:sz w:val="20"/>
          <w:szCs w:val="20"/>
        </w:rPr>
        <w:footnoteRef/>
      </w:r>
      <w:r w:rsidRPr="00575E4D">
        <w:rPr>
          <w:rFonts w:ascii="Times New Roman" w:hAnsi="Times New Roman" w:cs="Times New Roman"/>
          <w:sz w:val="20"/>
          <w:szCs w:val="20"/>
        </w:rPr>
        <w:t xml:space="preserve"> Northwest Energy </w:t>
      </w:r>
      <w:r w:rsidRPr="00575E4D">
        <w:rPr>
          <w:rFonts w:ascii="Times New Roman" w:hAnsi="Times New Roman" w:cs="Times New Roman"/>
          <w:color w:val="262626"/>
          <w:sz w:val="20"/>
          <w:szCs w:val="20"/>
        </w:rPr>
        <w:t>Efficiency Alliance 2015-2019 Business Plan, July, 2014, http://neea.org/docs/default-source/default-document-library/neea-2015-19-business-plan---board-approved.pdf?sfvrsn=2. This is in addition to the estimated 750 aMW of total regional savings expected to be delivered during the same period of time as a result of prior market transformation investments made in NEEA.</w:t>
      </w:r>
    </w:p>
  </w:footnote>
  <w:footnote w:id="25">
    <w:p w14:paraId="2451D038" w14:textId="77777777" w:rsidR="00740B23" w:rsidRPr="00575E4D" w:rsidRDefault="00740B23" w:rsidP="002005D1">
      <w:pPr>
        <w:pStyle w:val="Foot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The program brochure is available at </w:t>
      </w:r>
      <w:hyperlink r:id="rId5" w:history="1">
        <w:r w:rsidRPr="00575E4D">
          <w:rPr>
            <w:rStyle w:val="Hyperlink"/>
            <w:rFonts w:ascii="Times New Roman" w:hAnsi="Times New Roman" w:cs="Times New Roman"/>
          </w:rPr>
          <w:t>https://www.pacificpower.net/content/dam/pacific_power/doc/Business/Save_Energy_Money/WA_wattsmartBusiness_Brochure.pdf</w:t>
        </w:r>
      </w:hyperlink>
      <w:r w:rsidRPr="00575E4D">
        <w:rPr>
          <w:rFonts w:ascii="Times New Roman" w:hAnsi="Times New Roman" w:cs="Times New Roman"/>
        </w:rPr>
        <w:t xml:space="preserve"> .  Program detail (in addition to the program tariff, Schedule 140) maintained on the Company website is available at </w:t>
      </w:r>
      <w:hyperlink r:id="rId6" w:history="1">
        <w:r w:rsidRPr="00575E4D">
          <w:rPr>
            <w:rStyle w:val="Hyperlink"/>
            <w:rFonts w:ascii="Times New Roman" w:hAnsi="Times New Roman" w:cs="Times New Roman"/>
          </w:rPr>
          <w:t>https://www.pacificpower.net/content/dam/pacific_power/doc/Business/Save_Energy_Money/WA_wattsmartBusiness_Incentive_tables_information.pdf</w:t>
        </w:r>
      </w:hyperlink>
      <w:r w:rsidRPr="00575E4D">
        <w:rPr>
          <w:rFonts w:ascii="Times New Roman" w:hAnsi="Times New Roman" w:cs="Times New Roman"/>
        </w:rPr>
        <w:t>.</w:t>
      </w:r>
    </w:p>
    <w:p w14:paraId="2451D039" w14:textId="77777777" w:rsidR="00740B23" w:rsidRDefault="00740B23" w:rsidP="002005D1">
      <w:pPr>
        <w:pStyle w:val="FootnoteText"/>
      </w:pPr>
    </w:p>
  </w:footnote>
  <w:footnote w:id="26">
    <w:p w14:paraId="2451D03A" w14:textId="77777777" w:rsidR="00740B23" w:rsidRDefault="00740B23">
      <w:pPr>
        <w:pStyle w:val="FootnoteText"/>
      </w:pPr>
      <w:r w:rsidRPr="00575E4D">
        <w:rPr>
          <w:rStyle w:val="FootnoteReference"/>
          <w:rFonts w:ascii="Times New Roman" w:hAnsi="Times New Roman" w:cs="Times New Roman"/>
        </w:rPr>
        <w:footnoteRef/>
      </w:r>
      <w:r w:rsidRPr="00575E4D">
        <w:rPr>
          <w:rFonts w:ascii="Times New Roman" w:hAnsi="Times New Roman" w:cs="Times New Roman"/>
        </w:rPr>
        <w:t xml:space="preserve"> The total count of projects is less than the sum of the measure category counts because a project can have measures in more than one category.</w:t>
      </w:r>
    </w:p>
  </w:footnote>
  <w:footnote w:id="27">
    <w:p w14:paraId="2451D03B" w14:textId="77777777" w:rsidR="00740B23" w:rsidRPr="00575E4D" w:rsidRDefault="00740B23" w:rsidP="002005D1">
      <w:pPr>
        <w:pStyle w:val="Foot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The Company contracts with firms from the energy engineering consultant list to perform required pre- and post-installation inspections for lighting projects.</w:t>
      </w:r>
    </w:p>
  </w:footnote>
  <w:footnote w:id="28">
    <w:p w14:paraId="2451D03C" w14:textId="77777777" w:rsidR="00740B23" w:rsidRPr="00575E4D" w:rsidRDefault="00740B23" w:rsidP="002005D1">
      <w:pPr>
        <w:pStyle w:val="Foot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Regional business managers are responsible for directly working with Washington commercial and industrial/ag customers.</w:t>
      </w:r>
    </w:p>
  </w:footnote>
  <w:footnote w:id="29">
    <w:p w14:paraId="2451D03D" w14:textId="77777777" w:rsidR="00740B23" w:rsidRPr="00575E4D" w:rsidRDefault="00740B23" w:rsidP="002005D1">
      <w:pPr>
        <w:pStyle w:val="Foot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Searchable participating vendor lists are available from the Company website.  Direct link to the “Find a Vendor” search tool: </w:t>
      </w:r>
      <w:hyperlink r:id="rId7" w:history="1">
        <w:r w:rsidRPr="00575E4D">
          <w:rPr>
            <w:rStyle w:val="Hyperlink"/>
            <w:rFonts w:ascii="Times New Roman" w:hAnsi="Times New Roman" w:cs="Times New Roman"/>
          </w:rPr>
          <w:t>http://pacificpower-tradeally.energyefficiencyalliance.net/tradeally/jspx/Contractor_Search/ContractorSearch.jspx</w:t>
        </w:r>
      </w:hyperlink>
    </w:p>
  </w:footnote>
  <w:footnote w:id="30">
    <w:p w14:paraId="2451D03E" w14:textId="77777777" w:rsidR="00740B23" w:rsidRDefault="00740B23" w:rsidP="002005D1">
      <w:pPr>
        <w:pStyle w:val="FootnoteText"/>
      </w:pPr>
      <w:r w:rsidRPr="00575E4D">
        <w:rPr>
          <w:rStyle w:val="FootnoteReference"/>
          <w:rFonts w:ascii="Times New Roman" w:hAnsi="Times New Roman" w:cs="Times New Roman"/>
        </w:rPr>
        <w:footnoteRef/>
      </w:r>
      <w:r w:rsidRPr="00575E4D">
        <w:rPr>
          <w:rFonts w:ascii="Times New Roman" w:hAnsi="Times New Roman" w:cs="Times New Roman"/>
        </w:rPr>
        <w:t xml:space="preserve"> For the wattsmart Small Business enhanced incentives, customers are required to choose one of the approved contractors for this offer.</w:t>
      </w:r>
    </w:p>
  </w:footnote>
  <w:footnote w:id="31">
    <w:p w14:paraId="2451D03F" w14:textId="77777777" w:rsidR="00740B23" w:rsidRDefault="00740B23" w:rsidP="002005D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trade allies may participate in more than one technology so the count of unique participating firms is less than the total count provided above.</w:t>
      </w:r>
    </w:p>
  </w:footnote>
  <w:footnote w:id="32">
    <w:p w14:paraId="2451D040" w14:textId="77777777" w:rsidR="00740B23" w:rsidRDefault="00740B23" w:rsidP="00256FBD">
      <w:pPr>
        <w:pStyle w:val="FootnoteText"/>
      </w:pPr>
      <w:r w:rsidRPr="00B844D8">
        <w:rPr>
          <w:rStyle w:val="FootnoteReference"/>
          <w:rFonts w:ascii="Times New Roman" w:hAnsi="Times New Roman" w:cs="Times New Roman"/>
          <w:sz w:val="22"/>
          <w:szCs w:val="22"/>
        </w:rPr>
        <w:footnoteRef/>
      </w:r>
      <w:r w:rsidRPr="00B844D8">
        <w:rPr>
          <w:rFonts w:ascii="Times New Roman" w:hAnsi="Times New Roman" w:cs="Times New Roman"/>
          <w:sz w:val="22"/>
          <w:szCs w:val="22"/>
        </w:rPr>
        <w:t xml:space="preserve"> </w:t>
      </w:r>
      <w:hyperlink r:id="rId8" w:history="1">
        <w:r w:rsidRPr="00575E4D">
          <w:rPr>
            <w:rStyle w:val="Hyperlink"/>
            <w:rFonts w:ascii="Times New Roman" w:hAnsi="Times New Roman" w:cs="Times New Roman"/>
          </w:rPr>
          <w:t>http://www.pacificorp.com/es/dsm/washington.html</w:t>
        </w:r>
      </w:hyperlink>
      <w:r w:rsidRPr="00575E4D">
        <w:rPr>
          <w:rFonts w:ascii="Times New Roman" w:hAnsi="Times New Roman" w:cs="Times New Roman"/>
        </w:rPr>
        <w:t xml:space="preserve"> </w:t>
      </w:r>
    </w:p>
  </w:footnote>
  <w:footnote w:id="33">
    <w:p w14:paraId="2451D041" w14:textId="77777777" w:rsidR="00740B23" w:rsidRPr="00575E4D" w:rsidRDefault="00740B23" w:rsidP="002005D1">
      <w:pPr>
        <w:pStyle w:val="EndnoteText"/>
        <w:rPr>
          <w:rFonts w:ascii="Times New Roman" w:hAnsi="Times New Roman" w:cs="Times New Roman"/>
        </w:rPr>
      </w:pPr>
      <w:r w:rsidRPr="00575E4D">
        <w:rPr>
          <w:rStyle w:val="FootnoteReference"/>
          <w:rFonts w:ascii="Times New Roman" w:hAnsi="Times New Roman" w:cs="Times New Roman"/>
        </w:rPr>
        <w:footnoteRef/>
      </w:r>
      <w:r w:rsidRPr="00575E4D">
        <w:rPr>
          <w:rFonts w:ascii="Times New Roman" w:hAnsi="Times New Roman" w:cs="Times New Roman"/>
        </w:rPr>
        <w:t xml:space="preserve"> www.pacificpower.net/wasave</w:t>
      </w:r>
    </w:p>
    <w:p w14:paraId="2451D042" w14:textId="77777777" w:rsidR="00740B23" w:rsidRDefault="00740B23" w:rsidP="002005D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7" w14:textId="77777777" w:rsidR="005D0A66" w:rsidRDefault="005D0A6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B" w14:textId="77777777" w:rsidR="00740B23" w:rsidRPr="000323C3" w:rsidRDefault="00740B23" w:rsidP="00FB39B6">
    <w:pPr>
      <w:pStyle w:val="Header"/>
    </w:pPr>
    <w:r>
      <w:t>Pacific</w:t>
    </w:r>
    <w:r w:rsidRPr="000323C3">
      <w:t xml:space="preserve"> Power</w:t>
    </w:r>
    <w:r w:rsidRPr="000323C3">
      <w:tab/>
    </w:r>
    <w:r>
      <w:t>Washington</w:t>
    </w:r>
    <w:r w:rsidRPr="000323C3">
      <w:t xml:space="preserve"> Report</w:t>
    </w:r>
    <w:r w:rsidRPr="000323C3">
      <w:tab/>
    </w:r>
    <w:r w:rsidRPr="004D1B50">
      <w:t>Executive Summary</w:t>
    </w:r>
  </w:p>
  <w:p w14:paraId="2451CFFC" w14:textId="77777777" w:rsidR="00740B23" w:rsidRDefault="00740B23" w:rsidP="00D713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D" w14:textId="77777777" w:rsidR="00740B23" w:rsidRPr="000323C3" w:rsidRDefault="00740B23" w:rsidP="00FB39B6">
    <w:pPr>
      <w:pStyle w:val="Header"/>
    </w:pPr>
    <w:r>
      <w:t>Pacific</w:t>
    </w:r>
    <w:r w:rsidRPr="000323C3">
      <w:t xml:space="preserve"> Power</w:t>
    </w:r>
    <w:r w:rsidRPr="000323C3">
      <w:tab/>
    </w:r>
    <w:r>
      <w:t xml:space="preserve">Washington </w:t>
    </w:r>
    <w:r w:rsidRPr="000323C3">
      <w:t>Report</w:t>
    </w:r>
    <w:r w:rsidRPr="000323C3">
      <w:tab/>
    </w:r>
    <w:r>
      <w:t>Regulatory Activities</w:t>
    </w:r>
  </w:p>
  <w:p w14:paraId="2451CFFE" w14:textId="77777777" w:rsidR="00740B23" w:rsidRDefault="00740B23" w:rsidP="00FB39B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F" w14:textId="77777777" w:rsidR="00740B23" w:rsidRPr="000323C3" w:rsidRDefault="00740B23" w:rsidP="00FB39B6">
    <w:pPr>
      <w:pStyle w:val="Header"/>
    </w:pPr>
    <w:r>
      <w:t>Pacific</w:t>
    </w:r>
    <w:r w:rsidRPr="000323C3">
      <w:t xml:space="preserve"> Power</w:t>
    </w:r>
    <w:r w:rsidRPr="000323C3">
      <w:tab/>
    </w:r>
    <w:r>
      <w:t>Washington</w:t>
    </w:r>
    <w:r w:rsidRPr="000323C3">
      <w:t xml:space="preserve"> Report</w:t>
    </w:r>
    <w:r w:rsidRPr="000323C3">
      <w:tab/>
    </w:r>
    <w:r w:rsidRPr="002C2146">
      <w:t>Regulatory Activities</w:t>
    </w:r>
  </w:p>
  <w:p w14:paraId="2451D000" w14:textId="77777777" w:rsidR="00740B23" w:rsidRDefault="00740B23" w:rsidP="00D713F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1" w14:textId="77777777" w:rsidR="00740B23" w:rsidRPr="000323C3" w:rsidRDefault="00740B23" w:rsidP="00FB39B6">
    <w:pPr>
      <w:pStyle w:val="Header"/>
    </w:pPr>
    <w:r>
      <w:t>Pacific</w:t>
    </w:r>
    <w:r w:rsidRPr="000323C3">
      <w:t xml:space="preserve"> Power</w:t>
    </w:r>
    <w:r w:rsidRPr="000323C3">
      <w:tab/>
    </w:r>
    <w:r>
      <w:t xml:space="preserve">Washington </w:t>
    </w:r>
    <w:r w:rsidRPr="000323C3">
      <w:t>Report</w:t>
    </w:r>
    <w:r w:rsidRPr="000323C3">
      <w:tab/>
    </w:r>
    <w:r>
      <w:t>DSM Expenditures</w:t>
    </w:r>
  </w:p>
  <w:p w14:paraId="2451D002" w14:textId="77777777" w:rsidR="00740B23" w:rsidRDefault="00740B23" w:rsidP="00FB39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3" w14:textId="77777777" w:rsidR="00740B23" w:rsidRPr="000323C3" w:rsidRDefault="00740B23" w:rsidP="00FB39B6">
    <w:pPr>
      <w:pStyle w:val="Header"/>
    </w:pPr>
    <w:r>
      <w:t>Pacific</w:t>
    </w:r>
    <w:r w:rsidRPr="000323C3">
      <w:t xml:space="preserve"> Power</w:t>
    </w:r>
    <w:r w:rsidRPr="000323C3">
      <w:tab/>
    </w:r>
    <w:r>
      <w:t>Washington</w:t>
    </w:r>
    <w:r w:rsidRPr="000323C3">
      <w:t xml:space="preserve"> Report</w:t>
    </w:r>
    <w:r w:rsidRPr="000323C3">
      <w:tab/>
    </w:r>
    <w:r>
      <w:t>DSM Expenditures</w:t>
    </w:r>
  </w:p>
  <w:p w14:paraId="2451D004" w14:textId="77777777" w:rsidR="00740B23" w:rsidRDefault="00740B23" w:rsidP="00D713F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5" w14:textId="77777777" w:rsidR="00740B23" w:rsidRDefault="00740B23" w:rsidP="00FB39B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6" w14:textId="77777777" w:rsidR="00740B23" w:rsidRPr="000323C3" w:rsidRDefault="00740B23" w:rsidP="00D713F9">
    <w:pPr>
      <w:pStyle w:val="Header"/>
    </w:pPr>
    <w:r>
      <w:t>Pacific</w:t>
    </w:r>
    <w:r w:rsidRPr="000323C3">
      <w:t xml:space="preserve"> Power</w:t>
    </w:r>
    <w:r>
      <w:t xml:space="preserve">                       Washington</w:t>
    </w:r>
    <w:r w:rsidRPr="000323C3">
      <w:t xml:space="preserve"> Report</w:t>
    </w:r>
    <w:r w:rsidRPr="000323C3">
      <w:tab/>
    </w:r>
    <w:r>
      <w:t xml:space="preserve">                    </w:t>
    </w:r>
    <w:r>
      <w:tab/>
      <w:t>Planning Process</w:t>
    </w:r>
  </w:p>
  <w:p w14:paraId="2451D007" w14:textId="77777777" w:rsidR="00740B23" w:rsidRDefault="00740B23" w:rsidP="00FB39B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8" w14:textId="77777777" w:rsidR="00740B23" w:rsidRPr="000323C3" w:rsidRDefault="00740B23" w:rsidP="00FB39B6">
    <w:pPr>
      <w:pStyle w:val="Header"/>
    </w:pPr>
    <w:r>
      <w:t>Pacific</w:t>
    </w:r>
    <w:r w:rsidRPr="000323C3">
      <w:t xml:space="preserve"> Power</w:t>
    </w:r>
    <w:r>
      <w:t xml:space="preserve">                       Washington</w:t>
    </w:r>
    <w:r w:rsidRPr="000323C3">
      <w:t xml:space="preserve"> Report</w:t>
    </w:r>
    <w:r w:rsidRPr="000323C3">
      <w:tab/>
    </w:r>
    <w:r>
      <w:tab/>
      <w:t>Planning Process</w:t>
    </w:r>
  </w:p>
  <w:p w14:paraId="2451D009" w14:textId="77777777" w:rsidR="00740B23" w:rsidRDefault="00740B23" w:rsidP="00FB39B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A" w14:textId="77777777" w:rsidR="00740B23" w:rsidRPr="000323C3" w:rsidRDefault="00740B23" w:rsidP="00FB39B6">
    <w:pPr>
      <w:pStyle w:val="Header"/>
    </w:pPr>
    <w:r>
      <w:t>Pacific</w:t>
    </w:r>
    <w:r w:rsidRPr="000323C3">
      <w:t xml:space="preserve"> Power</w:t>
    </w:r>
    <w:r>
      <w:t xml:space="preserve">                       </w:t>
    </w:r>
    <w:r>
      <w:tab/>
      <w:t>Washington</w:t>
    </w:r>
    <w:r w:rsidRPr="000323C3">
      <w:t xml:space="preserve"> Report</w:t>
    </w:r>
    <w:r w:rsidRPr="000323C3">
      <w:tab/>
    </w:r>
    <w:r>
      <w:t>Energy Efficiency Programs</w:t>
    </w:r>
  </w:p>
  <w:p w14:paraId="2451D00B" w14:textId="77777777" w:rsidR="00740B23" w:rsidRDefault="00740B23" w:rsidP="00FB39B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C" w14:textId="77777777" w:rsidR="00740B23" w:rsidRPr="000323C3" w:rsidRDefault="00740B23" w:rsidP="00D713F9">
    <w:pPr>
      <w:pStyle w:val="Header"/>
    </w:pPr>
    <w:r>
      <w:t>Pacific</w:t>
    </w:r>
    <w:r w:rsidRPr="000323C3">
      <w:t xml:space="preserve"> Power</w:t>
    </w:r>
    <w:r>
      <w:t xml:space="preserve">                       Washington</w:t>
    </w:r>
    <w:r w:rsidRPr="000323C3">
      <w:t xml:space="preserve"> Report</w:t>
    </w:r>
    <w:r w:rsidRPr="000323C3">
      <w:tab/>
    </w:r>
    <w:r>
      <w:t xml:space="preserve">                    </w:t>
    </w:r>
    <w:r>
      <w:tab/>
      <w:t>Non-Residential</w:t>
    </w:r>
  </w:p>
  <w:p w14:paraId="2451D00D" w14:textId="77777777" w:rsidR="00740B23" w:rsidRDefault="00740B23" w:rsidP="00FB3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8" w14:textId="77777777" w:rsidR="005D0A66" w:rsidRDefault="005D0A6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0E" w14:textId="77777777" w:rsidR="00740B23" w:rsidRPr="000323C3" w:rsidRDefault="00740B23" w:rsidP="00FB39B6">
    <w:pPr>
      <w:pStyle w:val="Header"/>
    </w:pPr>
    <w:r>
      <w:t>Pacific</w:t>
    </w:r>
    <w:r w:rsidRPr="000323C3">
      <w:t xml:space="preserve"> Power</w:t>
    </w:r>
    <w:r>
      <w:t xml:space="preserve">                       </w:t>
    </w:r>
    <w:r>
      <w:tab/>
      <w:t>Washington</w:t>
    </w:r>
    <w:r w:rsidRPr="000323C3">
      <w:t xml:space="preserve"> Report</w:t>
    </w:r>
    <w:r w:rsidRPr="000323C3">
      <w:tab/>
    </w:r>
    <w:r>
      <w:t>Residential Programs</w:t>
    </w:r>
  </w:p>
  <w:p w14:paraId="2451D00F" w14:textId="77777777" w:rsidR="00740B23" w:rsidRDefault="00740B23" w:rsidP="00FB39B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0" w14:textId="77777777" w:rsidR="00740B23" w:rsidRPr="000323C3" w:rsidRDefault="00740B23" w:rsidP="00D713F9">
    <w:pPr>
      <w:pStyle w:val="Header"/>
    </w:pPr>
    <w:r>
      <w:t>Pacific</w:t>
    </w:r>
    <w:r w:rsidRPr="000323C3">
      <w:t xml:space="preserve"> Power</w:t>
    </w:r>
    <w:r>
      <w:t xml:space="preserve">                       Washington</w:t>
    </w:r>
    <w:r w:rsidRPr="000323C3">
      <w:t xml:space="preserve"> Report</w:t>
    </w:r>
    <w:r w:rsidRPr="000323C3">
      <w:tab/>
    </w:r>
    <w:r>
      <w:t xml:space="preserve">                    </w:t>
    </w:r>
    <w:r>
      <w:tab/>
      <w:t>Residential Programs</w:t>
    </w:r>
  </w:p>
  <w:p w14:paraId="2451D011" w14:textId="77777777" w:rsidR="00740B23" w:rsidRDefault="00740B23" w:rsidP="00FB39B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2" w14:textId="77777777" w:rsidR="00740B23" w:rsidRDefault="00740B23" w:rsidP="00FB39B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3" w14:textId="77777777" w:rsidR="00740B23" w:rsidRPr="000323C3" w:rsidRDefault="00740B23" w:rsidP="00D713F9">
    <w:pPr>
      <w:pStyle w:val="Header"/>
    </w:pPr>
    <w:r>
      <w:t>Pacific</w:t>
    </w:r>
    <w:r w:rsidRPr="000323C3">
      <w:t xml:space="preserve"> Power</w:t>
    </w:r>
    <w:r>
      <w:t xml:space="preserve">                       Washington</w:t>
    </w:r>
    <w:r w:rsidRPr="000323C3">
      <w:t xml:space="preserve"> Report</w:t>
    </w:r>
    <w:r w:rsidRPr="000323C3">
      <w:tab/>
    </w:r>
    <w:r>
      <w:t xml:space="preserve">                    </w:t>
    </w:r>
    <w:r>
      <w:tab/>
      <w:t>Non-Residential</w:t>
    </w:r>
  </w:p>
  <w:p w14:paraId="2451D014" w14:textId="77777777" w:rsidR="00740B23" w:rsidRDefault="00740B23" w:rsidP="00FB39B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5" w14:textId="77777777" w:rsidR="00740B23" w:rsidRPr="000323C3" w:rsidRDefault="00740B23" w:rsidP="00FB39B6">
    <w:pPr>
      <w:pStyle w:val="Header"/>
    </w:pPr>
    <w:r>
      <w:t>Pacific</w:t>
    </w:r>
    <w:r w:rsidRPr="000323C3">
      <w:t xml:space="preserve"> Power</w:t>
    </w:r>
    <w:r w:rsidRPr="000323C3">
      <w:tab/>
      <w:t>W</w:t>
    </w:r>
    <w:r>
      <w:t>ashington</w:t>
    </w:r>
    <w:r w:rsidRPr="000323C3">
      <w:t xml:space="preserve"> Report</w:t>
    </w:r>
    <w:r w:rsidRPr="000323C3">
      <w:tab/>
    </w:r>
    <w:r>
      <w:t>Non-Residential</w:t>
    </w:r>
  </w:p>
  <w:p w14:paraId="2451D016" w14:textId="77777777" w:rsidR="00740B23" w:rsidRDefault="00740B23" w:rsidP="00FB39B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7" w14:textId="77777777" w:rsidR="00740B23" w:rsidRDefault="00740B23" w:rsidP="00FB39B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8" w14:textId="77777777" w:rsidR="00740B23" w:rsidRPr="000323C3" w:rsidRDefault="00740B23" w:rsidP="00D713F9">
    <w:pPr>
      <w:pStyle w:val="Header"/>
    </w:pPr>
    <w:r>
      <w:t>Pacific</w:t>
    </w:r>
    <w:r w:rsidRPr="000323C3">
      <w:t xml:space="preserve"> Power</w:t>
    </w:r>
    <w:r>
      <w:t xml:space="preserve">                       Washington</w:t>
    </w:r>
    <w:r w:rsidRPr="000323C3">
      <w:t xml:space="preserve"> Report</w:t>
    </w:r>
    <w:r w:rsidRPr="000323C3">
      <w:tab/>
    </w:r>
    <w:r>
      <w:t xml:space="preserve">                    </w:t>
    </w:r>
    <w:r>
      <w:tab/>
      <w:t>Communications</w:t>
    </w:r>
  </w:p>
  <w:p w14:paraId="2451D019" w14:textId="77777777" w:rsidR="00740B23" w:rsidRDefault="00740B23" w:rsidP="00FB39B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A" w14:textId="77777777" w:rsidR="00740B23" w:rsidRPr="000323C3" w:rsidRDefault="00740B23" w:rsidP="00FB39B6">
    <w:pPr>
      <w:pStyle w:val="Header"/>
    </w:pPr>
    <w:r>
      <w:t>Pacific</w:t>
    </w:r>
    <w:r w:rsidRPr="000323C3">
      <w:t xml:space="preserve"> Power</w:t>
    </w:r>
    <w:r w:rsidRPr="000323C3">
      <w:tab/>
      <w:t>W</w:t>
    </w:r>
    <w:r>
      <w:t>ashington</w:t>
    </w:r>
    <w:r w:rsidRPr="000323C3">
      <w:t xml:space="preserve"> Report</w:t>
    </w:r>
    <w:r w:rsidRPr="000323C3">
      <w:tab/>
    </w:r>
    <w:r>
      <w:t>Communications</w:t>
    </w:r>
  </w:p>
  <w:p w14:paraId="2451D01B" w14:textId="77777777" w:rsidR="00740B23" w:rsidRDefault="00740B23" w:rsidP="00FB39B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D01C" w14:textId="77777777" w:rsidR="00740B23" w:rsidRPr="000323C3" w:rsidRDefault="00740B23" w:rsidP="00FB39B6">
    <w:pPr>
      <w:pStyle w:val="Header"/>
    </w:pPr>
    <w:r>
      <w:t>Pacific</w:t>
    </w:r>
    <w:r w:rsidRPr="000323C3">
      <w:t xml:space="preserve"> Power</w:t>
    </w:r>
    <w:r w:rsidRPr="000323C3">
      <w:tab/>
      <w:t>W</w:t>
    </w:r>
    <w:r>
      <w:t>ashington</w:t>
    </w:r>
    <w:r w:rsidRPr="000323C3">
      <w:t xml:space="preserve"> Report</w:t>
    </w:r>
    <w:r w:rsidRPr="000323C3">
      <w:tab/>
    </w:r>
    <w:r>
      <w:t>Evaluations</w:t>
    </w:r>
  </w:p>
  <w:p w14:paraId="2451D01D" w14:textId="77777777" w:rsidR="00740B23" w:rsidRDefault="00740B23" w:rsidP="00FB39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C" w14:textId="77777777" w:rsidR="005D0A66" w:rsidRDefault="005D0A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EF" w14:textId="77777777" w:rsidR="00740B23" w:rsidRDefault="00740B23" w:rsidP="00FB39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0" w14:textId="77777777" w:rsidR="00740B23" w:rsidRPr="000323C3" w:rsidRDefault="00740B23" w:rsidP="00FB39B6">
    <w:pPr>
      <w:pStyle w:val="Header"/>
    </w:pPr>
    <w:r>
      <w:t xml:space="preserve">Pacific </w:t>
    </w:r>
    <w:r w:rsidRPr="000323C3">
      <w:t>Power</w:t>
    </w:r>
    <w:r w:rsidRPr="000323C3">
      <w:tab/>
    </w:r>
    <w:r>
      <w:t>Washington</w:t>
    </w:r>
    <w:r w:rsidRPr="000323C3">
      <w:t xml:space="preserve"> Report</w:t>
    </w:r>
    <w:r w:rsidRPr="000323C3">
      <w:tab/>
      <w:t>Table of Contents</w:t>
    </w:r>
  </w:p>
  <w:p w14:paraId="2451CFF1" w14:textId="77777777" w:rsidR="00740B23" w:rsidRDefault="00740B23" w:rsidP="00FB39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2" w14:textId="77777777" w:rsidR="00740B23" w:rsidRPr="000323C3" w:rsidRDefault="00740B23" w:rsidP="00FB39B6">
    <w:pPr>
      <w:pStyle w:val="Header"/>
    </w:pPr>
    <w:r>
      <w:t>Pacific</w:t>
    </w:r>
    <w:r w:rsidRPr="000323C3">
      <w:t xml:space="preserve"> Power</w:t>
    </w:r>
    <w:r w:rsidRPr="000323C3">
      <w:tab/>
    </w:r>
    <w:r>
      <w:t>Washington</w:t>
    </w:r>
    <w:r w:rsidRPr="000323C3">
      <w:t xml:space="preserve"> Report</w:t>
    </w:r>
    <w:r w:rsidRPr="000323C3">
      <w:tab/>
      <w:t>Table of Contents</w:t>
    </w:r>
  </w:p>
  <w:p w14:paraId="2451CFF3" w14:textId="77777777" w:rsidR="00740B23" w:rsidRDefault="00740B23" w:rsidP="00FB39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6" w14:textId="77777777" w:rsidR="00740B23" w:rsidRDefault="00740B23" w:rsidP="00FB39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7" w14:textId="77777777" w:rsidR="00740B23" w:rsidRPr="000323C3" w:rsidRDefault="00740B23" w:rsidP="00FB39B6">
    <w:pPr>
      <w:pStyle w:val="Header"/>
    </w:pPr>
    <w:r>
      <w:t>Pacific</w:t>
    </w:r>
    <w:r w:rsidRPr="000323C3">
      <w:t xml:space="preserve"> Power</w:t>
    </w:r>
    <w:r w:rsidRPr="000323C3">
      <w:tab/>
    </w:r>
    <w:r>
      <w:t xml:space="preserve">Washington </w:t>
    </w:r>
    <w:r w:rsidRPr="000323C3">
      <w:t>Report</w:t>
    </w:r>
    <w:r w:rsidRPr="000323C3">
      <w:tab/>
    </w:r>
    <w:r>
      <w:t>Executive Summary</w:t>
    </w:r>
  </w:p>
  <w:p w14:paraId="2451CFF8" w14:textId="77777777" w:rsidR="00740B23" w:rsidRDefault="00740B23" w:rsidP="00FB39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CFF9" w14:textId="77777777" w:rsidR="00740B23" w:rsidRPr="000323C3" w:rsidRDefault="00740B23" w:rsidP="00FB39B6">
    <w:pPr>
      <w:pStyle w:val="Header"/>
    </w:pPr>
    <w:r>
      <w:t>Pacific</w:t>
    </w:r>
    <w:r w:rsidRPr="000323C3">
      <w:t xml:space="preserve"> Power</w:t>
    </w:r>
    <w:r w:rsidRPr="000323C3">
      <w:tab/>
    </w:r>
    <w:r>
      <w:t>Washington</w:t>
    </w:r>
    <w:r w:rsidRPr="000323C3">
      <w:t xml:space="preserve"> Report</w:t>
    </w:r>
    <w:r w:rsidRPr="000323C3">
      <w:tab/>
    </w:r>
    <w:r w:rsidRPr="00A607A2">
      <w:t>Abbreviations and Acronyms</w:t>
    </w:r>
  </w:p>
  <w:p w14:paraId="2451CFFA" w14:textId="77777777" w:rsidR="00740B23" w:rsidRDefault="00740B23" w:rsidP="00D71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864B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43571"/>
    <w:multiLevelType w:val="hybridMultilevel"/>
    <w:tmpl w:val="FF34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8BE"/>
    <w:multiLevelType w:val="hybridMultilevel"/>
    <w:tmpl w:val="F33CC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294A"/>
    <w:multiLevelType w:val="hybridMultilevel"/>
    <w:tmpl w:val="646015FA"/>
    <w:lvl w:ilvl="0" w:tplc="6CB4B39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A3604"/>
    <w:multiLevelType w:val="hybridMultilevel"/>
    <w:tmpl w:val="C818E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0970E0"/>
    <w:multiLevelType w:val="hybridMultilevel"/>
    <w:tmpl w:val="12DE2728"/>
    <w:lvl w:ilvl="0" w:tplc="6CB4B39C">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970ED8"/>
    <w:multiLevelType w:val="hybridMultilevel"/>
    <w:tmpl w:val="2EF6FEAE"/>
    <w:lvl w:ilvl="0" w:tplc="04090001">
      <w:start w:val="1"/>
      <w:numFmt w:val="bullet"/>
      <w:lvlText w:val=""/>
      <w:lvlJc w:val="left"/>
      <w:pPr>
        <w:ind w:left="720" w:hanging="360"/>
      </w:pPr>
      <w:rPr>
        <w:rFonts w:ascii="Symbol" w:hAnsi="Symbol" w:hint="default"/>
      </w:rPr>
    </w:lvl>
    <w:lvl w:ilvl="1" w:tplc="6CB4B3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40DBB"/>
    <w:multiLevelType w:val="hybridMultilevel"/>
    <w:tmpl w:val="086E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612B5"/>
    <w:multiLevelType w:val="hybridMultilevel"/>
    <w:tmpl w:val="6BA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B180A"/>
    <w:multiLevelType w:val="hybridMultilevel"/>
    <w:tmpl w:val="EAD444D6"/>
    <w:lvl w:ilvl="0" w:tplc="04090001">
      <w:start w:val="1"/>
      <w:numFmt w:val="bullet"/>
      <w:lvlText w:val=""/>
      <w:lvlJc w:val="left"/>
      <w:pPr>
        <w:tabs>
          <w:tab w:val="num" w:pos="720"/>
        </w:tabs>
        <w:ind w:left="720" w:hanging="360"/>
      </w:pPr>
      <w:rPr>
        <w:rFonts w:ascii="Symbol" w:hAnsi="Symbol" w:hint="default"/>
      </w:rPr>
    </w:lvl>
    <w:lvl w:ilvl="1" w:tplc="90B4B772" w:tentative="1">
      <w:start w:val="1"/>
      <w:numFmt w:val="bullet"/>
      <w:lvlText w:val="•"/>
      <w:lvlJc w:val="left"/>
      <w:pPr>
        <w:tabs>
          <w:tab w:val="num" w:pos="1440"/>
        </w:tabs>
        <w:ind w:left="1440" w:hanging="360"/>
      </w:pPr>
      <w:rPr>
        <w:rFonts w:ascii="Arial" w:hAnsi="Arial" w:hint="default"/>
      </w:rPr>
    </w:lvl>
    <w:lvl w:ilvl="2" w:tplc="0BFE7322" w:tentative="1">
      <w:start w:val="1"/>
      <w:numFmt w:val="bullet"/>
      <w:lvlText w:val="•"/>
      <w:lvlJc w:val="left"/>
      <w:pPr>
        <w:tabs>
          <w:tab w:val="num" w:pos="2160"/>
        </w:tabs>
        <w:ind w:left="2160" w:hanging="360"/>
      </w:pPr>
      <w:rPr>
        <w:rFonts w:ascii="Arial" w:hAnsi="Arial" w:hint="default"/>
      </w:rPr>
    </w:lvl>
    <w:lvl w:ilvl="3" w:tplc="403210C8" w:tentative="1">
      <w:start w:val="1"/>
      <w:numFmt w:val="bullet"/>
      <w:lvlText w:val="•"/>
      <w:lvlJc w:val="left"/>
      <w:pPr>
        <w:tabs>
          <w:tab w:val="num" w:pos="2880"/>
        </w:tabs>
        <w:ind w:left="2880" w:hanging="360"/>
      </w:pPr>
      <w:rPr>
        <w:rFonts w:ascii="Arial" w:hAnsi="Arial" w:hint="default"/>
      </w:rPr>
    </w:lvl>
    <w:lvl w:ilvl="4" w:tplc="4F62C238" w:tentative="1">
      <w:start w:val="1"/>
      <w:numFmt w:val="bullet"/>
      <w:lvlText w:val="•"/>
      <w:lvlJc w:val="left"/>
      <w:pPr>
        <w:tabs>
          <w:tab w:val="num" w:pos="3600"/>
        </w:tabs>
        <w:ind w:left="3600" w:hanging="360"/>
      </w:pPr>
      <w:rPr>
        <w:rFonts w:ascii="Arial" w:hAnsi="Arial" w:hint="default"/>
      </w:rPr>
    </w:lvl>
    <w:lvl w:ilvl="5" w:tplc="6D388420" w:tentative="1">
      <w:start w:val="1"/>
      <w:numFmt w:val="bullet"/>
      <w:lvlText w:val="•"/>
      <w:lvlJc w:val="left"/>
      <w:pPr>
        <w:tabs>
          <w:tab w:val="num" w:pos="4320"/>
        </w:tabs>
        <w:ind w:left="4320" w:hanging="360"/>
      </w:pPr>
      <w:rPr>
        <w:rFonts w:ascii="Arial" w:hAnsi="Arial" w:hint="default"/>
      </w:rPr>
    </w:lvl>
    <w:lvl w:ilvl="6" w:tplc="341A4ACE" w:tentative="1">
      <w:start w:val="1"/>
      <w:numFmt w:val="bullet"/>
      <w:lvlText w:val="•"/>
      <w:lvlJc w:val="left"/>
      <w:pPr>
        <w:tabs>
          <w:tab w:val="num" w:pos="5040"/>
        </w:tabs>
        <w:ind w:left="5040" w:hanging="360"/>
      </w:pPr>
      <w:rPr>
        <w:rFonts w:ascii="Arial" w:hAnsi="Arial" w:hint="default"/>
      </w:rPr>
    </w:lvl>
    <w:lvl w:ilvl="7" w:tplc="36189756" w:tentative="1">
      <w:start w:val="1"/>
      <w:numFmt w:val="bullet"/>
      <w:lvlText w:val="•"/>
      <w:lvlJc w:val="left"/>
      <w:pPr>
        <w:tabs>
          <w:tab w:val="num" w:pos="5760"/>
        </w:tabs>
        <w:ind w:left="5760" w:hanging="360"/>
      </w:pPr>
      <w:rPr>
        <w:rFonts w:ascii="Arial" w:hAnsi="Arial" w:hint="default"/>
      </w:rPr>
    </w:lvl>
    <w:lvl w:ilvl="8" w:tplc="2AD495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6F798C"/>
    <w:multiLevelType w:val="hybridMultilevel"/>
    <w:tmpl w:val="70A86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0E2BAB"/>
    <w:multiLevelType w:val="hybridMultilevel"/>
    <w:tmpl w:val="D8D0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5729F"/>
    <w:multiLevelType w:val="hybridMultilevel"/>
    <w:tmpl w:val="0C1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2695"/>
    <w:multiLevelType w:val="hybridMultilevel"/>
    <w:tmpl w:val="65D8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35872"/>
    <w:multiLevelType w:val="hybridMultilevel"/>
    <w:tmpl w:val="665C6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064A8"/>
    <w:multiLevelType w:val="hybridMultilevel"/>
    <w:tmpl w:val="E6700876"/>
    <w:lvl w:ilvl="0" w:tplc="5B58B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761D7"/>
    <w:multiLevelType w:val="hybridMultilevel"/>
    <w:tmpl w:val="A1E0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83C0C"/>
    <w:multiLevelType w:val="hybridMultilevel"/>
    <w:tmpl w:val="2A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60BB3"/>
    <w:multiLevelType w:val="hybridMultilevel"/>
    <w:tmpl w:val="6B5C3E12"/>
    <w:lvl w:ilvl="0" w:tplc="04090001">
      <w:start w:val="1"/>
      <w:numFmt w:val="bullet"/>
      <w:lvlText w:val=""/>
      <w:lvlJc w:val="left"/>
      <w:pPr>
        <w:ind w:left="720" w:hanging="360"/>
      </w:pPr>
      <w:rPr>
        <w:rFonts w:ascii="Symbol" w:hAnsi="Symbol" w:hint="default"/>
      </w:rPr>
    </w:lvl>
    <w:lvl w:ilvl="1" w:tplc="6CB4B39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F7447"/>
    <w:multiLevelType w:val="hybridMultilevel"/>
    <w:tmpl w:val="526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153EB"/>
    <w:multiLevelType w:val="hybridMultilevel"/>
    <w:tmpl w:val="91BEC924"/>
    <w:lvl w:ilvl="0" w:tplc="6CAC7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C66D2"/>
    <w:multiLevelType w:val="hybridMultilevel"/>
    <w:tmpl w:val="81BEC00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42F65"/>
    <w:multiLevelType w:val="hybridMultilevel"/>
    <w:tmpl w:val="61124710"/>
    <w:lvl w:ilvl="0" w:tplc="7EBEB9B0">
      <w:start w:val="1"/>
      <w:numFmt w:val="decimal"/>
      <w:pStyle w:val="newlevel1"/>
      <w:lvlText w:val="%1."/>
      <w:lvlJc w:val="left"/>
      <w:pPr>
        <w:ind w:left="720" w:hanging="360"/>
      </w:pPr>
      <w:rPr>
        <w:rFonts w:hint="default"/>
      </w:rPr>
    </w:lvl>
    <w:lvl w:ilvl="1" w:tplc="9BCE9CD6">
      <w:start w:val="1"/>
      <w:numFmt w:val="lowerLetter"/>
      <w:pStyle w:val="newlevel2"/>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E5B23"/>
    <w:multiLevelType w:val="hybridMultilevel"/>
    <w:tmpl w:val="1CA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F70C8"/>
    <w:multiLevelType w:val="hybridMultilevel"/>
    <w:tmpl w:val="DBEE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15367A"/>
    <w:multiLevelType w:val="hybridMultilevel"/>
    <w:tmpl w:val="5DFA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E5DFA"/>
    <w:multiLevelType w:val="hybridMultilevel"/>
    <w:tmpl w:val="398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605249F"/>
    <w:multiLevelType w:val="hybridMultilevel"/>
    <w:tmpl w:val="3CEA352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67420D8D"/>
    <w:multiLevelType w:val="hybridMultilevel"/>
    <w:tmpl w:val="CA08265A"/>
    <w:lvl w:ilvl="0" w:tplc="86C4916E">
      <w:start w:val="5"/>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A7FE8"/>
    <w:multiLevelType w:val="hybridMultilevel"/>
    <w:tmpl w:val="983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0051D"/>
    <w:multiLevelType w:val="hybridMultilevel"/>
    <w:tmpl w:val="9364E6F8"/>
    <w:lvl w:ilvl="0" w:tplc="3650F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75654"/>
    <w:multiLevelType w:val="hybridMultilevel"/>
    <w:tmpl w:val="4FE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4807"/>
    <w:multiLevelType w:val="hybridMultilevel"/>
    <w:tmpl w:val="00168510"/>
    <w:lvl w:ilvl="0" w:tplc="04090001">
      <w:start w:val="1"/>
      <w:numFmt w:val="bullet"/>
      <w:lvlText w:val=""/>
      <w:lvlJc w:val="left"/>
      <w:pPr>
        <w:ind w:left="720" w:hanging="360"/>
      </w:pPr>
      <w:rPr>
        <w:rFonts w:ascii="Symbol" w:hAnsi="Symbol" w:hint="default"/>
      </w:rPr>
    </w:lvl>
    <w:lvl w:ilvl="1" w:tplc="6CB4B3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C6ADF"/>
    <w:multiLevelType w:val="hybridMultilevel"/>
    <w:tmpl w:val="9BA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A717D"/>
    <w:multiLevelType w:val="hybridMultilevel"/>
    <w:tmpl w:val="9198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96B08"/>
    <w:multiLevelType w:val="hybridMultilevel"/>
    <w:tmpl w:val="D96E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10E81"/>
    <w:multiLevelType w:val="hybridMultilevel"/>
    <w:tmpl w:val="2E06F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A90A4A"/>
    <w:multiLevelType w:val="hybridMultilevel"/>
    <w:tmpl w:val="91A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26"/>
  </w:num>
  <w:num w:numId="4">
    <w:abstractNumId w:val="14"/>
  </w:num>
  <w:num w:numId="5">
    <w:abstractNumId w:val="35"/>
  </w:num>
  <w:num w:numId="6">
    <w:abstractNumId w:val="28"/>
  </w:num>
  <w:num w:numId="7">
    <w:abstractNumId w:val="24"/>
  </w:num>
  <w:num w:numId="8">
    <w:abstractNumId w:val="32"/>
  </w:num>
  <w:num w:numId="9">
    <w:abstractNumId w:val="30"/>
  </w:num>
  <w:num w:numId="10">
    <w:abstractNumId w:val="22"/>
  </w:num>
  <w:num w:numId="11">
    <w:abstractNumId w:val="8"/>
  </w:num>
  <w:num w:numId="12">
    <w:abstractNumId w:val="16"/>
  </w:num>
  <w:num w:numId="13">
    <w:abstractNumId w:val="15"/>
  </w:num>
  <w:num w:numId="14">
    <w:abstractNumId w:val="29"/>
  </w:num>
  <w:num w:numId="15">
    <w:abstractNumId w:val="27"/>
  </w:num>
  <w:num w:numId="16">
    <w:abstractNumId w:val="11"/>
  </w:num>
  <w:num w:numId="17">
    <w:abstractNumId w:val="35"/>
  </w:num>
  <w:num w:numId="18">
    <w:abstractNumId w:val="21"/>
  </w:num>
  <w:num w:numId="19">
    <w:abstractNumId w:val="23"/>
  </w:num>
  <w:num w:numId="20">
    <w:abstractNumId w:val="37"/>
  </w:num>
  <w:num w:numId="21">
    <w:abstractNumId w:val="18"/>
  </w:num>
  <w:num w:numId="22">
    <w:abstractNumId w:val="3"/>
  </w:num>
  <w:num w:numId="23">
    <w:abstractNumId w:val="2"/>
  </w:num>
  <w:num w:numId="24">
    <w:abstractNumId w:val="5"/>
  </w:num>
  <w:num w:numId="25">
    <w:abstractNumId w:val="6"/>
  </w:num>
  <w:num w:numId="26">
    <w:abstractNumId w:val="33"/>
  </w:num>
  <w:num w:numId="27">
    <w:abstractNumId w:val="9"/>
  </w:num>
  <w:num w:numId="28">
    <w:abstractNumId w:val="35"/>
  </w:num>
  <w:num w:numId="29">
    <w:abstractNumId w:val="25"/>
  </w:num>
  <w:num w:numId="30">
    <w:abstractNumId w:val="12"/>
  </w:num>
  <w:num w:numId="31">
    <w:abstractNumId w:val="1"/>
  </w:num>
  <w:num w:numId="32">
    <w:abstractNumId w:val="4"/>
  </w:num>
  <w:num w:numId="33">
    <w:abstractNumId w:val="13"/>
  </w:num>
  <w:num w:numId="34">
    <w:abstractNumId w:val="38"/>
  </w:num>
  <w:num w:numId="35">
    <w:abstractNumId w:val="17"/>
  </w:num>
  <w:num w:numId="36">
    <w:abstractNumId w:val="31"/>
  </w:num>
  <w:num w:numId="37">
    <w:abstractNumId w:val="20"/>
  </w:num>
  <w:num w:numId="38">
    <w:abstractNumId w:val="38"/>
  </w:num>
  <w:num w:numId="39">
    <w:abstractNumId w:val="7"/>
  </w:num>
  <w:num w:numId="40">
    <w:abstractNumId w:val="10"/>
  </w:num>
  <w:num w:numId="41">
    <w:abstractNumId w:val="17"/>
  </w:num>
  <w:num w:numId="42">
    <w:abstractNumId w:val="32"/>
  </w:num>
  <w:num w:numId="43">
    <w:abstractNumId w:val="19"/>
  </w:num>
  <w:num w:numId="44">
    <w:abstractNumId w:val="0"/>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63"/>
    <w:rsid w:val="00000100"/>
    <w:rsid w:val="0000077C"/>
    <w:rsid w:val="00000A3F"/>
    <w:rsid w:val="00002EB7"/>
    <w:rsid w:val="0000454A"/>
    <w:rsid w:val="0000747E"/>
    <w:rsid w:val="00007940"/>
    <w:rsid w:val="00007D31"/>
    <w:rsid w:val="000106C6"/>
    <w:rsid w:val="00010714"/>
    <w:rsid w:val="0001220B"/>
    <w:rsid w:val="00012F57"/>
    <w:rsid w:val="00015CB8"/>
    <w:rsid w:val="00020157"/>
    <w:rsid w:val="000214C9"/>
    <w:rsid w:val="00022276"/>
    <w:rsid w:val="00022F42"/>
    <w:rsid w:val="000279D8"/>
    <w:rsid w:val="00030E62"/>
    <w:rsid w:val="0003224C"/>
    <w:rsid w:val="0003345A"/>
    <w:rsid w:val="00034BCB"/>
    <w:rsid w:val="00040AD8"/>
    <w:rsid w:val="00043E08"/>
    <w:rsid w:val="00045F88"/>
    <w:rsid w:val="0004661B"/>
    <w:rsid w:val="00046699"/>
    <w:rsid w:val="000467E0"/>
    <w:rsid w:val="00046FD1"/>
    <w:rsid w:val="00050677"/>
    <w:rsid w:val="00052400"/>
    <w:rsid w:val="0005279C"/>
    <w:rsid w:val="00052B05"/>
    <w:rsid w:val="00053FF7"/>
    <w:rsid w:val="00056859"/>
    <w:rsid w:val="00057006"/>
    <w:rsid w:val="00061DE8"/>
    <w:rsid w:val="00062490"/>
    <w:rsid w:val="0006385B"/>
    <w:rsid w:val="00063B7F"/>
    <w:rsid w:val="00065961"/>
    <w:rsid w:val="000661AE"/>
    <w:rsid w:val="000712D2"/>
    <w:rsid w:val="00075C45"/>
    <w:rsid w:val="00076EB5"/>
    <w:rsid w:val="00083FF0"/>
    <w:rsid w:val="0008467A"/>
    <w:rsid w:val="00086BB5"/>
    <w:rsid w:val="0009117F"/>
    <w:rsid w:val="00091BE1"/>
    <w:rsid w:val="00091E1C"/>
    <w:rsid w:val="00093A39"/>
    <w:rsid w:val="000957FB"/>
    <w:rsid w:val="000A2AFF"/>
    <w:rsid w:val="000A3AB0"/>
    <w:rsid w:val="000A3C49"/>
    <w:rsid w:val="000A3DFC"/>
    <w:rsid w:val="000A4215"/>
    <w:rsid w:val="000A498E"/>
    <w:rsid w:val="000A4C3E"/>
    <w:rsid w:val="000A537F"/>
    <w:rsid w:val="000A7329"/>
    <w:rsid w:val="000B0D84"/>
    <w:rsid w:val="000B3857"/>
    <w:rsid w:val="000B3D26"/>
    <w:rsid w:val="000B3F7C"/>
    <w:rsid w:val="000B3FDE"/>
    <w:rsid w:val="000B5748"/>
    <w:rsid w:val="000B7680"/>
    <w:rsid w:val="000B7B93"/>
    <w:rsid w:val="000C21A1"/>
    <w:rsid w:val="000C4EF3"/>
    <w:rsid w:val="000C54B6"/>
    <w:rsid w:val="000C59D7"/>
    <w:rsid w:val="000C5C6B"/>
    <w:rsid w:val="000C5D85"/>
    <w:rsid w:val="000C652E"/>
    <w:rsid w:val="000C736A"/>
    <w:rsid w:val="000C785D"/>
    <w:rsid w:val="000D07B6"/>
    <w:rsid w:val="000D1DEC"/>
    <w:rsid w:val="000D2653"/>
    <w:rsid w:val="000D35AA"/>
    <w:rsid w:val="000D4FF8"/>
    <w:rsid w:val="000E2024"/>
    <w:rsid w:val="000E2B5E"/>
    <w:rsid w:val="000E4954"/>
    <w:rsid w:val="000E4BC9"/>
    <w:rsid w:val="000E5E0D"/>
    <w:rsid w:val="000E5F2C"/>
    <w:rsid w:val="000E7AE2"/>
    <w:rsid w:val="000F3D30"/>
    <w:rsid w:val="000F4898"/>
    <w:rsid w:val="000F536E"/>
    <w:rsid w:val="000F58CB"/>
    <w:rsid w:val="000F66F7"/>
    <w:rsid w:val="000F7809"/>
    <w:rsid w:val="000F7C2A"/>
    <w:rsid w:val="00102D21"/>
    <w:rsid w:val="001030D9"/>
    <w:rsid w:val="001041C2"/>
    <w:rsid w:val="00104D1A"/>
    <w:rsid w:val="001058A7"/>
    <w:rsid w:val="00105A4B"/>
    <w:rsid w:val="00107211"/>
    <w:rsid w:val="0011122F"/>
    <w:rsid w:val="0011163A"/>
    <w:rsid w:val="00112EBF"/>
    <w:rsid w:val="00112F3E"/>
    <w:rsid w:val="00113FC4"/>
    <w:rsid w:val="00114D60"/>
    <w:rsid w:val="00115525"/>
    <w:rsid w:val="00116C9C"/>
    <w:rsid w:val="001215C4"/>
    <w:rsid w:val="00121D01"/>
    <w:rsid w:val="00122F7B"/>
    <w:rsid w:val="001258E5"/>
    <w:rsid w:val="00125E40"/>
    <w:rsid w:val="00126C2B"/>
    <w:rsid w:val="00127298"/>
    <w:rsid w:val="001313E6"/>
    <w:rsid w:val="00132D37"/>
    <w:rsid w:val="00134BF3"/>
    <w:rsid w:val="001403A0"/>
    <w:rsid w:val="0014141E"/>
    <w:rsid w:val="0014575B"/>
    <w:rsid w:val="00150F52"/>
    <w:rsid w:val="00155A02"/>
    <w:rsid w:val="00155D88"/>
    <w:rsid w:val="0015715D"/>
    <w:rsid w:val="001577AE"/>
    <w:rsid w:val="001612C9"/>
    <w:rsid w:val="00172451"/>
    <w:rsid w:val="00172A14"/>
    <w:rsid w:val="00173289"/>
    <w:rsid w:val="001741EB"/>
    <w:rsid w:val="0017482B"/>
    <w:rsid w:val="00174AA2"/>
    <w:rsid w:val="00176846"/>
    <w:rsid w:val="00177A1F"/>
    <w:rsid w:val="00182EB0"/>
    <w:rsid w:val="00184C97"/>
    <w:rsid w:val="00190B85"/>
    <w:rsid w:val="00192254"/>
    <w:rsid w:val="00193674"/>
    <w:rsid w:val="00195798"/>
    <w:rsid w:val="00196D0B"/>
    <w:rsid w:val="001A119B"/>
    <w:rsid w:val="001A1A43"/>
    <w:rsid w:val="001A3A4D"/>
    <w:rsid w:val="001A4B8A"/>
    <w:rsid w:val="001A510B"/>
    <w:rsid w:val="001A6C99"/>
    <w:rsid w:val="001A7437"/>
    <w:rsid w:val="001A7DAF"/>
    <w:rsid w:val="001B12D9"/>
    <w:rsid w:val="001B3B48"/>
    <w:rsid w:val="001B4B40"/>
    <w:rsid w:val="001B5412"/>
    <w:rsid w:val="001B5916"/>
    <w:rsid w:val="001B624B"/>
    <w:rsid w:val="001B68A3"/>
    <w:rsid w:val="001B70F9"/>
    <w:rsid w:val="001C0D33"/>
    <w:rsid w:val="001C0DED"/>
    <w:rsid w:val="001C177E"/>
    <w:rsid w:val="001C2544"/>
    <w:rsid w:val="001C5460"/>
    <w:rsid w:val="001C6500"/>
    <w:rsid w:val="001C7026"/>
    <w:rsid w:val="001C71AC"/>
    <w:rsid w:val="001C7BB8"/>
    <w:rsid w:val="001D043B"/>
    <w:rsid w:val="001D095E"/>
    <w:rsid w:val="001D1158"/>
    <w:rsid w:val="001D5A86"/>
    <w:rsid w:val="001D5BB1"/>
    <w:rsid w:val="001D63BC"/>
    <w:rsid w:val="001E0592"/>
    <w:rsid w:val="001E1B5A"/>
    <w:rsid w:val="001E2F7B"/>
    <w:rsid w:val="001E47EB"/>
    <w:rsid w:val="001F03B4"/>
    <w:rsid w:val="001F274C"/>
    <w:rsid w:val="001F46B9"/>
    <w:rsid w:val="001F5994"/>
    <w:rsid w:val="001F5CC3"/>
    <w:rsid w:val="001F68F8"/>
    <w:rsid w:val="001F7D26"/>
    <w:rsid w:val="002005D1"/>
    <w:rsid w:val="00203563"/>
    <w:rsid w:val="00204951"/>
    <w:rsid w:val="00205BDD"/>
    <w:rsid w:val="002060BC"/>
    <w:rsid w:val="002108F6"/>
    <w:rsid w:val="00210B55"/>
    <w:rsid w:val="002115B2"/>
    <w:rsid w:val="00212735"/>
    <w:rsid w:val="00213BD4"/>
    <w:rsid w:val="00214AA5"/>
    <w:rsid w:val="00214C10"/>
    <w:rsid w:val="00214D39"/>
    <w:rsid w:val="00215BDE"/>
    <w:rsid w:val="00216E6A"/>
    <w:rsid w:val="00216F83"/>
    <w:rsid w:val="00217D71"/>
    <w:rsid w:val="00220417"/>
    <w:rsid w:val="00221514"/>
    <w:rsid w:val="0022386F"/>
    <w:rsid w:val="00223FB2"/>
    <w:rsid w:val="00225AE2"/>
    <w:rsid w:val="002275C1"/>
    <w:rsid w:val="00234CF0"/>
    <w:rsid w:val="002361BB"/>
    <w:rsid w:val="00237AC9"/>
    <w:rsid w:val="002412A3"/>
    <w:rsid w:val="002414BD"/>
    <w:rsid w:val="002425B7"/>
    <w:rsid w:val="00243F90"/>
    <w:rsid w:val="002469DF"/>
    <w:rsid w:val="00250084"/>
    <w:rsid w:val="00253D75"/>
    <w:rsid w:val="002549CE"/>
    <w:rsid w:val="00256FBD"/>
    <w:rsid w:val="00260F82"/>
    <w:rsid w:val="00264FFC"/>
    <w:rsid w:val="0026624A"/>
    <w:rsid w:val="002674B6"/>
    <w:rsid w:val="00273FA1"/>
    <w:rsid w:val="0027518A"/>
    <w:rsid w:val="00275F78"/>
    <w:rsid w:val="002760C8"/>
    <w:rsid w:val="002762A2"/>
    <w:rsid w:val="00276459"/>
    <w:rsid w:val="00277459"/>
    <w:rsid w:val="00277910"/>
    <w:rsid w:val="00277DE8"/>
    <w:rsid w:val="00277EDB"/>
    <w:rsid w:val="00280F74"/>
    <w:rsid w:val="0028193F"/>
    <w:rsid w:val="0028246E"/>
    <w:rsid w:val="00284DE1"/>
    <w:rsid w:val="00286887"/>
    <w:rsid w:val="00287323"/>
    <w:rsid w:val="00291878"/>
    <w:rsid w:val="00294086"/>
    <w:rsid w:val="00294247"/>
    <w:rsid w:val="00294843"/>
    <w:rsid w:val="00294C7A"/>
    <w:rsid w:val="00296948"/>
    <w:rsid w:val="002A2B97"/>
    <w:rsid w:val="002A392B"/>
    <w:rsid w:val="002A6DA0"/>
    <w:rsid w:val="002B1003"/>
    <w:rsid w:val="002B1AF8"/>
    <w:rsid w:val="002B22E6"/>
    <w:rsid w:val="002B2D60"/>
    <w:rsid w:val="002B2ECD"/>
    <w:rsid w:val="002B3655"/>
    <w:rsid w:val="002B5429"/>
    <w:rsid w:val="002B5FEC"/>
    <w:rsid w:val="002C0E27"/>
    <w:rsid w:val="002C122D"/>
    <w:rsid w:val="002C1FB9"/>
    <w:rsid w:val="002C2146"/>
    <w:rsid w:val="002C2E52"/>
    <w:rsid w:val="002C50C4"/>
    <w:rsid w:val="002C541B"/>
    <w:rsid w:val="002C7320"/>
    <w:rsid w:val="002D388E"/>
    <w:rsid w:val="002D3F72"/>
    <w:rsid w:val="002D4817"/>
    <w:rsid w:val="002D5F71"/>
    <w:rsid w:val="002D60AB"/>
    <w:rsid w:val="002D77A6"/>
    <w:rsid w:val="002E00D4"/>
    <w:rsid w:val="002E22FD"/>
    <w:rsid w:val="002E318A"/>
    <w:rsid w:val="002E3A0E"/>
    <w:rsid w:val="002E3BB4"/>
    <w:rsid w:val="002E41AA"/>
    <w:rsid w:val="002E46C8"/>
    <w:rsid w:val="002E4E9B"/>
    <w:rsid w:val="002E56F0"/>
    <w:rsid w:val="002E7182"/>
    <w:rsid w:val="002E7BC1"/>
    <w:rsid w:val="002F2C13"/>
    <w:rsid w:val="002F3806"/>
    <w:rsid w:val="002F570F"/>
    <w:rsid w:val="002F58A6"/>
    <w:rsid w:val="002F6B4B"/>
    <w:rsid w:val="00301A76"/>
    <w:rsid w:val="00301B32"/>
    <w:rsid w:val="00301D6A"/>
    <w:rsid w:val="00302689"/>
    <w:rsid w:val="00303A30"/>
    <w:rsid w:val="00304D6C"/>
    <w:rsid w:val="0030703F"/>
    <w:rsid w:val="00307400"/>
    <w:rsid w:val="00311A50"/>
    <w:rsid w:val="00311DA4"/>
    <w:rsid w:val="00312375"/>
    <w:rsid w:val="00313832"/>
    <w:rsid w:val="0031762C"/>
    <w:rsid w:val="0032408A"/>
    <w:rsid w:val="00324A45"/>
    <w:rsid w:val="0032549A"/>
    <w:rsid w:val="003264A0"/>
    <w:rsid w:val="00330AA5"/>
    <w:rsid w:val="00330C14"/>
    <w:rsid w:val="00331569"/>
    <w:rsid w:val="00332607"/>
    <w:rsid w:val="00332E99"/>
    <w:rsid w:val="00333165"/>
    <w:rsid w:val="00334706"/>
    <w:rsid w:val="00334BF5"/>
    <w:rsid w:val="00335208"/>
    <w:rsid w:val="0033564F"/>
    <w:rsid w:val="00335EFA"/>
    <w:rsid w:val="00336D05"/>
    <w:rsid w:val="0033707A"/>
    <w:rsid w:val="00337177"/>
    <w:rsid w:val="00341881"/>
    <w:rsid w:val="00345C8A"/>
    <w:rsid w:val="0034744F"/>
    <w:rsid w:val="00350151"/>
    <w:rsid w:val="00356384"/>
    <w:rsid w:val="003618B3"/>
    <w:rsid w:val="00361B58"/>
    <w:rsid w:val="00364EE5"/>
    <w:rsid w:val="0036607C"/>
    <w:rsid w:val="003705E1"/>
    <w:rsid w:val="00373121"/>
    <w:rsid w:val="003732FC"/>
    <w:rsid w:val="00376251"/>
    <w:rsid w:val="00377B37"/>
    <w:rsid w:val="003805E5"/>
    <w:rsid w:val="00380F9D"/>
    <w:rsid w:val="00382FC4"/>
    <w:rsid w:val="003848BE"/>
    <w:rsid w:val="00384D0E"/>
    <w:rsid w:val="003901E8"/>
    <w:rsid w:val="00391BF1"/>
    <w:rsid w:val="0039272D"/>
    <w:rsid w:val="00393EC4"/>
    <w:rsid w:val="00395C65"/>
    <w:rsid w:val="003A1E48"/>
    <w:rsid w:val="003A2C92"/>
    <w:rsid w:val="003A303F"/>
    <w:rsid w:val="003A70CE"/>
    <w:rsid w:val="003B1D27"/>
    <w:rsid w:val="003B3685"/>
    <w:rsid w:val="003B4343"/>
    <w:rsid w:val="003B4BE3"/>
    <w:rsid w:val="003B4BED"/>
    <w:rsid w:val="003B4D39"/>
    <w:rsid w:val="003C4968"/>
    <w:rsid w:val="003C65FF"/>
    <w:rsid w:val="003C6E46"/>
    <w:rsid w:val="003D06CE"/>
    <w:rsid w:val="003D11B2"/>
    <w:rsid w:val="003D1557"/>
    <w:rsid w:val="003D1759"/>
    <w:rsid w:val="003D24C7"/>
    <w:rsid w:val="003D4A94"/>
    <w:rsid w:val="003D5B2A"/>
    <w:rsid w:val="003D6999"/>
    <w:rsid w:val="003D7C37"/>
    <w:rsid w:val="003E012C"/>
    <w:rsid w:val="003E0211"/>
    <w:rsid w:val="003E1E35"/>
    <w:rsid w:val="003E20F0"/>
    <w:rsid w:val="003E3961"/>
    <w:rsid w:val="003E3BF6"/>
    <w:rsid w:val="003E486E"/>
    <w:rsid w:val="003E4AD6"/>
    <w:rsid w:val="003E664E"/>
    <w:rsid w:val="003E6A0C"/>
    <w:rsid w:val="003E742C"/>
    <w:rsid w:val="003E797B"/>
    <w:rsid w:val="003F0EB1"/>
    <w:rsid w:val="003F1C00"/>
    <w:rsid w:val="003F2FE5"/>
    <w:rsid w:val="003F7111"/>
    <w:rsid w:val="003F7150"/>
    <w:rsid w:val="00400674"/>
    <w:rsid w:val="00400D8D"/>
    <w:rsid w:val="0040136B"/>
    <w:rsid w:val="00401687"/>
    <w:rsid w:val="0040504A"/>
    <w:rsid w:val="00405AF2"/>
    <w:rsid w:val="004068AB"/>
    <w:rsid w:val="00407A23"/>
    <w:rsid w:val="00411AF9"/>
    <w:rsid w:val="00411B45"/>
    <w:rsid w:val="00413872"/>
    <w:rsid w:val="00413FDA"/>
    <w:rsid w:val="00414E82"/>
    <w:rsid w:val="00417079"/>
    <w:rsid w:val="004178EC"/>
    <w:rsid w:val="00422D60"/>
    <w:rsid w:val="00423C8C"/>
    <w:rsid w:val="00426249"/>
    <w:rsid w:val="00431061"/>
    <w:rsid w:val="00431E8B"/>
    <w:rsid w:val="0043279E"/>
    <w:rsid w:val="004426D5"/>
    <w:rsid w:val="00442C81"/>
    <w:rsid w:val="0044367E"/>
    <w:rsid w:val="00450C82"/>
    <w:rsid w:val="004515A8"/>
    <w:rsid w:val="00451CB6"/>
    <w:rsid w:val="00452C50"/>
    <w:rsid w:val="00453241"/>
    <w:rsid w:val="004536AF"/>
    <w:rsid w:val="00453A5B"/>
    <w:rsid w:val="004551EE"/>
    <w:rsid w:val="00455367"/>
    <w:rsid w:val="004571D3"/>
    <w:rsid w:val="0046082D"/>
    <w:rsid w:val="00460DF6"/>
    <w:rsid w:val="00462447"/>
    <w:rsid w:val="004632F2"/>
    <w:rsid w:val="0046336B"/>
    <w:rsid w:val="0046430D"/>
    <w:rsid w:val="00470457"/>
    <w:rsid w:val="00470D54"/>
    <w:rsid w:val="00472057"/>
    <w:rsid w:val="0047394F"/>
    <w:rsid w:val="004751DD"/>
    <w:rsid w:val="0048026A"/>
    <w:rsid w:val="00480672"/>
    <w:rsid w:val="00480B40"/>
    <w:rsid w:val="00481F52"/>
    <w:rsid w:val="00483C0A"/>
    <w:rsid w:val="00485629"/>
    <w:rsid w:val="00486317"/>
    <w:rsid w:val="00490FD9"/>
    <w:rsid w:val="00491D66"/>
    <w:rsid w:val="00495A73"/>
    <w:rsid w:val="0049685A"/>
    <w:rsid w:val="004968EB"/>
    <w:rsid w:val="00497904"/>
    <w:rsid w:val="004A2978"/>
    <w:rsid w:val="004A5894"/>
    <w:rsid w:val="004A6E54"/>
    <w:rsid w:val="004B481C"/>
    <w:rsid w:val="004B561F"/>
    <w:rsid w:val="004B64E1"/>
    <w:rsid w:val="004B7D5C"/>
    <w:rsid w:val="004C04B4"/>
    <w:rsid w:val="004C228A"/>
    <w:rsid w:val="004C6B5F"/>
    <w:rsid w:val="004C797C"/>
    <w:rsid w:val="004D0832"/>
    <w:rsid w:val="004D1B50"/>
    <w:rsid w:val="004D2A56"/>
    <w:rsid w:val="004D2A5E"/>
    <w:rsid w:val="004D3B14"/>
    <w:rsid w:val="004D3C9D"/>
    <w:rsid w:val="004D43BE"/>
    <w:rsid w:val="004D4790"/>
    <w:rsid w:val="004D4DA3"/>
    <w:rsid w:val="004D57F5"/>
    <w:rsid w:val="004E30BA"/>
    <w:rsid w:val="004E3A32"/>
    <w:rsid w:val="004E40F4"/>
    <w:rsid w:val="004E41B5"/>
    <w:rsid w:val="004E6C5C"/>
    <w:rsid w:val="004F1629"/>
    <w:rsid w:val="004F16C8"/>
    <w:rsid w:val="004F2E80"/>
    <w:rsid w:val="004F3EF1"/>
    <w:rsid w:val="004F546C"/>
    <w:rsid w:val="004F57F9"/>
    <w:rsid w:val="004F75CF"/>
    <w:rsid w:val="005010C8"/>
    <w:rsid w:val="00501922"/>
    <w:rsid w:val="00501AE9"/>
    <w:rsid w:val="005034FA"/>
    <w:rsid w:val="00505250"/>
    <w:rsid w:val="0051018C"/>
    <w:rsid w:val="00512757"/>
    <w:rsid w:val="005133EC"/>
    <w:rsid w:val="005139AA"/>
    <w:rsid w:val="00515753"/>
    <w:rsid w:val="00516A2A"/>
    <w:rsid w:val="00516E63"/>
    <w:rsid w:val="0051762F"/>
    <w:rsid w:val="00520CB2"/>
    <w:rsid w:val="0052299B"/>
    <w:rsid w:val="00522E0B"/>
    <w:rsid w:val="00523162"/>
    <w:rsid w:val="005237D1"/>
    <w:rsid w:val="00523BBA"/>
    <w:rsid w:val="00523CDA"/>
    <w:rsid w:val="00525B1F"/>
    <w:rsid w:val="00530217"/>
    <w:rsid w:val="00530E58"/>
    <w:rsid w:val="00531A92"/>
    <w:rsid w:val="00532698"/>
    <w:rsid w:val="005340C2"/>
    <w:rsid w:val="005340D2"/>
    <w:rsid w:val="0053691D"/>
    <w:rsid w:val="00537936"/>
    <w:rsid w:val="00537CD3"/>
    <w:rsid w:val="00540355"/>
    <w:rsid w:val="00540E42"/>
    <w:rsid w:val="005420F9"/>
    <w:rsid w:val="00544BC5"/>
    <w:rsid w:val="005456BA"/>
    <w:rsid w:val="00547E5B"/>
    <w:rsid w:val="00551C89"/>
    <w:rsid w:val="00553AA1"/>
    <w:rsid w:val="005545D2"/>
    <w:rsid w:val="0055548D"/>
    <w:rsid w:val="005578B0"/>
    <w:rsid w:val="005627BF"/>
    <w:rsid w:val="005637AF"/>
    <w:rsid w:val="00563B7D"/>
    <w:rsid w:val="00565AE1"/>
    <w:rsid w:val="00573B85"/>
    <w:rsid w:val="00574D87"/>
    <w:rsid w:val="00575E4D"/>
    <w:rsid w:val="00581235"/>
    <w:rsid w:val="00582CFC"/>
    <w:rsid w:val="0058438B"/>
    <w:rsid w:val="0059043F"/>
    <w:rsid w:val="00590D6B"/>
    <w:rsid w:val="0059220E"/>
    <w:rsid w:val="005934EA"/>
    <w:rsid w:val="00593AB8"/>
    <w:rsid w:val="005953C6"/>
    <w:rsid w:val="00596519"/>
    <w:rsid w:val="005A1E18"/>
    <w:rsid w:val="005A5750"/>
    <w:rsid w:val="005B1374"/>
    <w:rsid w:val="005B5D91"/>
    <w:rsid w:val="005B5F6B"/>
    <w:rsid w:val="005B6174"/>
    <w:rsid w:val="005B66EA"/>
    <w:rsid w:val="005C07D1"/>
    <w:rsid w:val="005C10A8"/>
    <w:rsid w:val="005C1BD4"/>
    <w:rsid w:val="005C492A"/>
    <w:rsid w:val="005C50D3"/>
    <w:rsid w:val="005C5BEA"/>
    <w:rsid w:val="005C5C7D"/>
    <w:rsid w:val="005C6274"/>
    <w:rsid w:val="005C77BE"/>
    <w:rsid w:val="005D0A66"/>
    <w:rsid w:val="005D0A8B"/>
    <w:rsid w:val="005D1979"/>
    <w:rsid w:val="005D2B63"/>
    <w:rsid w:val="005D3B7B"/>
    <w:rsid w:val="005D60F6"/>
    <w:rsid w:val="005E016C"/>
    <w:rsid w:val="005E1813"/>
    <w:rsid w:val="005E2D3F"/>
    <w:rsid w:val="005E3EDA"/>
    <w:rsid w:val="005E66E5"/>
    <w:rsid w:val="005E7747"/>
    <w:rsid w:val="005F0253"/>
    <w:rsid w:val="005F3AB9"/>
    <w:rsid w:val="005F4C9E"/>
    <w:rsid w:val="005F4E27"/>
    <w:rsid w:val="005F73DD"/>
    <w:rsid w:val="005F7ACC"/>
    <w:rsid w:val="005F7DDE"/>
    <w:rsid w:val="00600ACC"/>
    <w:rsid w:val="00604A5B"/>
    <w:rsid w:val="006053B8"/>
    <w:rsid w:val="00607A3A"/>
    <w:rsid w:val="006107EF"/>
    <w:rsid w:val="006123C6"/>
    <w:rsid w:val="0061339D"/>
    <w:rsid w:val="006133CA"/>
    <w:rsid w:val="006135C2"/>
    <w:rsid w:val="00614827"/>
    <w:rsid w:val="006155A2"/>
    <w:rsid w:val="00615857"/>
    <w:rsid w:val="00616952"/>
    <w:rsid w:val="00617040"/>
    <w:rsid w:val="00620EF0"/>
    <w:rsid w:val="00625F4B"/>
    <w:rsid w:val="00627BFA"/>
    <w:rsid w:val="00633088"/>
    <w:rsid w:val="006331FF"/>
    <w:rsid w:val="006340B2"/>
    <w:rsid w:val="00635282"/>
    <w:rsid w:val="00641446"/>
    <w:rsid w:val="006422F9"/>
    <w:rsid w:val="00642377"/>
    <w:rsid w:val="006424C6"/>
    <w:rsid w:val="00644F61"/>
    <w:rsid w:val="00645738"/>
    <w:rsid w:val="006457D1"/>
    <w:rsid w:val="00650C4C"/>
    <w:rsid w:val="00651340"/>
    <w:rsid w:val="00651471"/>
    <w:rsid w:val="00651D1C"/>
    <w:rsid w:val="00654B71"/>
    <w:rsid w:val="00655555"/>
    <w:rsid w:val="00657FBA"/>
    <w:rsid w:val="00660981"/>
    <w:rsid w:val="00660E12"/>
    <w:rsid w:val="00661A4F"/>
    <w:rsid w:val="0066634B"/>
    <w:rsid w:val="00666500"/>
    <w:rsid w:val="006667CA"/>
    <w:rsid w:val="00666CC6"/>
    <w:rsid w:val="00667C13"/>
    <w:rsid w:val="00675D36"/>
    <w:rsid w:val="00676F41"/>
    <w:rsid w:val="00677448"/>
    <w:rsid w:val="0068241C"/>
    <w:rsid w:val="00682F7B"/>
    <w:rsid w:val="00683039"/>
    <w:rsid w:val="00683208"/>
    <w:rsid w:val="0068342B"/>
    <w:rsid w:val="00683A0E"/>
    <w:rsid w:val="00683BD5"/>
    <w:rsid w:val="0068621E"/>
    <w:rsid w:val="00687EF4"/>
    <w:rsid w:val="00690610"/>
    <w:rsid w:val="00691FF3"/>
    <w:rsid w:val="00692CDD"/>
    <w:rsid w:val="00694DAC"/>
    <w:rsid w:val="0069792F"/>
    <w:rsid w:val="006A03F5"/>
    <w:rsid w:val="006A1B78"/>
    <w:rsid w:val="006A37F0"/>
    <w:rsid w:val="006A41A0"/>
    <w:rsid w:val="006A4BFB"/>
    <w:rsid w:val="006A6AE0"/>
    <w:rsid w:val="006B0836"/>
    <w:rsid w:val="006B1461"/>
    <w:rsid w:val="006B3BF9"/>
    <w:rsid w:val="006B4216"/>
    <w:rsid w:val="006B61A7"/>
    <w:rsid w:val="006B7AB6"/>
    <w:rsid w:val="006C0C99"/>
    <w:rsid w:val="006C26C1"/>
    <w:rsid w:val="006C3F6C"/>
    <w:rsid w:val="006C6BDC"/>
    <w:rsid w:val="006C72B3"/>
    <w:rsid w:val="006C75B0"/>
    <w:rsid w:val="006D34C6"/>
    <w:rsid w:val="006D4A7F"/>
    <w:rsid w:val="006D7534"/>
    <w:rsid w:val="006E0069"/>
    <w:rsid w:val="006E037B"/>
    <w:rsid w:val="006E0548"/>
    <w:rsid w:val="006F0A09"/>
    <w:rsid w:val="006F29DD"/>
    <w:rsid w:val="006F2F10"/>
    <w:rsid w:val="006F3B19"/>
    <w:rsid w:val="006F432A"/>
    <w:rsid w:val="006F4719"/>
    <w:rsid w:val="006F6F7A"/>
    <w:rsid w:val="006F7DA3"/>
    <w:rsid w:val="00700D24"/>
    <w:rsid w:val="007012E2"/>
    <w:rsid w:val="00703504"/>
    <w:rsid w:val="0070678F"/>
    <w:rsid w:val="00706BB9"/>
    <w:rsid w:val="00706C04"/>
    <w:rsid w:val="0071111B"/>
    <w:rsid w:val="00714040"/>
    <w:rsid w:val="00714292"/>
    <w:rsid w:val="0071674C"/>
    <w:rsid w:val="00720941"/>
    <w:rsid w:val="00721175"/>
    <w:rsid w:val="00721EA9"/>
    <w:rsid w:val="007246DF"/>
    <w:rsid w:val="007258AA"/>
    <w:rsid w:val="0072601B"/>
    <w:rsid w:val="00727170"/>
    <w:rsid w:val="0073010F"/>
    <w:rsid w:val="00730B09"/>
    <w:rsid w:val="007328F4"/>
    <w:rsid w:val="00734CD7"/>
    <w:rsid w:val="0073700C"/>
    <w:rsid w:val="00737C0B"/>
    <w:rsid w:val="0074091D"/>
    <w:rsid w:val="00740B23"/>
    <w:rsid w:val="0074315D"/>
    <w:rsid w:val="00744196"/>
    <w:rsid w:val="00744A53"/>
    <w:rsid w:val="007454E8"/>
    <w:rsid w:val="00746E44"/>
    <w:rsid w:val="00754E57"/>
    <w:rsid w:val="00755D6B"/>
    <w:rsid w:val="00756780"/>
    <w:rsid w:val="007600BE"/>
    <w:rsid w:val="007612D8"/>
    <w:rsid w:val="00763FA0"/>
    <w:rsid w:val="007641EE"/>
    <w:rsid w:val="007716B1"/>
    <w:rsid w:val="007717B3"/>
    <w:rsid w:val="00774494"/>
    <w:rsid w:val="007755D7"/>
    <w:rsid w:val="00780576"/>
    <w:rsid w:val="00785B27"/>
    <w:rsid w:val="00785D73"/>
    <w:rsid w:val="00785D8F"/>
    <w:rsid w:val="007866C9"/>
    <w:rsid w:val="00786D3A"/>
    <w:rsid w:val="00791F18"/>
    <w:rsid w:val="00792E81"/>
    <w:rsid w:val="00794C12"/>
    <w:rsid w:val="0079559C"/>
    <w:rsid w:val="007968A8"/>
    <w:rsid w:val="00796E99"/>
    <w:rsid w:val="007A0803"/>
    <w:rsid w:val="007A2C62"/>
    <w:rsid w:val="007A32D5"/>
    <w:rsid w:val="007A74DC"/>
    <w:rsid w:val="007A7643"/>
    <w:rsid w:val="007B2365"/>
    <w:rsid w:val="007B2AFF"/>
    <w:rsid w:val="007B2B88"/>
    <w:rsid w:val="007C0933"/>
    <w:rsid w:val="007C178E"/>
    <w:rsid w:val="007C18F5"/>
    <w:rsid w:val="007C19A3"/>
    <w:rsid w:val="007C5DC3"/>
    <w:rsid w:val="007C7989"/>
    <w:rsid w:val="007D458E"/>
    <w:rsid w:val="007D51AC"/>
    <w:rsid w:val="007D7F16"/>
    <w:rsid w:val="007E037A"/>
    <w:rsid w:val="007E08CC"/>
    <w:rsid w:val="007E0A3C"/>
    <w:rsid w:val="007E2694"/>
    <w:rsid w:val="007E35D5"/>
    <w:rsid w:val="007E534A"/>
    <w:rsid w:val="007E5731"/>
    <w:rsid w:val="007E7F84"/>
    <w:rsid w:val="007F0DB2"/>
    <w:rsid w:val="007F1586"/>
    <w:rsid w:val="007F2818"/>
    <w:rsid w:val="007F2B7F"/>
    <w:rsid w:val="007F537A"/>
    <w:rsid w:val="007F5D77"/>
    <w:rsid w:val="007F632F"/>
    <w:rsid w:val="007F6B8C"/>
    <w:rsid w:val="007F7941"/>
    <w:rsid w:val="00802B05"/>
    <w:rsid w:val="008030B8"/>
    <w:rsid w:val="00805D44"/>
    <w:rsid w:val="00806114"/>
    <w:rsid w:val="008065C6"/>
    <w:rsid w:val="0080697B"/>
    <w:rsid w:val="008079B5"/>
    <w:rsid w:val="00810BDF"/>
    <w:rsid w:val="00810E06"/>
    <w:rsid w:val="0081497B"/>
    <w:rsid w:val="0081782A"/>
    <w:rsid w:val="00817C0C"/>
    <w:rsid w:val="00817C24"/>
    <w:rsid w:val="00817D1E"/>
    <w:rsid w:val="00817F34"/>
    <w:rsid w:val="00820389"/>
    <w:rsid w:val="00820E32"/>
    <w:rsid w:val="008220A3"/>
    <w:rsid w:val="008259C6"/>
    <w:rsid w:val="008265D5"/>
    <w:rsid w:val="008301A0"/>
    <w:rsid w:val="0083121E"/>
    <w:rsid w:val="00832609"/>
    <w:rsid w:val="00833AD4"/>
    <w:rsid w:val="0083416B"/>
    <w:rsid w:val="0083556F"/>
    <w:rsid w:val="008361E9"/>
    <w:rsid w:val="00840428"/>
    <w:rsid w:val="008465BE"/>
    <w:rsid w:val="0084773A"/>
    <w:rsid w:val="008554B0"/>
    <w:rsid w:val="0085568B"/>
    <w:rsid w:val="008567AD"/>
    <w:rsid w:val="00856E71"/>
    <w:rsid w:val="00860C48"/>
    <w:rsid w:val="00860C75"/>
    <w:rsid w:val="00860E7D"/>
    <w:rsid w:val="00863F5F"/>
    <w:rsid w:val="00870ED8"/>
    <w:rsid w:val="00873B1D"/>
    <w:rsid w:val="00875475"/>
    <w:rsid w:val="008817CE"/>
    <w:rsid w:val="0088217A"/>
    <w:rsid w:val="00883465"/>
    <w:rsid w:val="008838B5"/>
    <w:rsid w:val="00884999"/>
    <w:rsid w:val="00886184"/>
    <w:rsid w:val="00886FB1"/>
    <w:rsid w:val="00887AD1"/>
    <w:rsid w:val="00887D4F"/>
    <w:rsid w:val="00892B3C"/>
    <w:rsid w:val="00892C35"/>
    <w:rsid w:val="00894199"/>
    <w:rsid w:val="00894285"/>
    <w:rsid w:val="008946E8"/>
    <w:rsid w:val="0089576B"/>
    <w:rsid w:val="00895B9E"/>
    <w:rsid w:val="008A2452"/>
    <w:rsid w:val="008A362E"/>
    <w:rsid w:val="008A3C2C"/>
    <w:rsid w:val="008A5DC1"/>
    <w:rsid w:val="008B21E2"/>
    <w:rsid w:val="008B3656"/>
    <w:rsid w:val="008B4F40"/>
    <w:rsid w:val="008B5286"/>
    <w:rsid w:val="008B5320"/>
    <w:rsid w:val="008B5D0D"/>
    <w:rsid w:val="008B6E10"/>
    <w:rsid w:val="008B7E83"/>
    <w:rsid w:val="008C0A05"/>
    <w:rsid w:val="008C3DF6"/>
    <w:rsid w:val="008D0555"/>
    <w:rsid w:val="008D064E"/>
    <w:rsid w:val="008D21C9"/>
    <w:rsid w:val="008D5946"/>
    <w:rsid w:val="008E0F2F"/>
    <w:rsid w:val="008E0F72"/>
    <w:rsid w:val="008E1548"/>
    <w:rsid w:val="008E19E8"/>
    <w:rsid w:val="008E1C6A"/>
    <w:rsid w:val="008E3392"/>
    <w:rsid w:val="008E4FB9"/>
    <w:rsid w:val="008E6D86"/>
    <w:rsid w:val="008E7F48"/>
    <w:rsid w:val="008F1304"/>
    <w:rsid w:val="008F2FA5"/>
    <w:rsid w:val="008F3266"/>
    <w:rsid w:val="008F3BD4"/>
    <w:rsid w:val="008F3BD6"/>
    <w:rsid w:val="008F4661"/>
    <w:rsid w:val="008F6282"/>
    <w:rsid w:val="008F70B6"/>
    <w:rsid w:val="008F7983"/>
    <w:rsid w:val="009051D2"/>
    <w:rsid w:val="0090562D"/>
    <w:rsid w:val="0090617D"/>
    <w:rsid w:val="00907B46"/>
    <w:rsid w:val="00911894"/>
    <w:rsid w:val="009119DE"/>
    <w:rsid w:val="00911A97"/>
    <w:rsid w:val="009129D8"/>
    <w:rsid w:val="0091392A"/>
    <w:rsid w:val="00913DE4"/>
    <w:rsid w:val="00914D24"/>
    <w:rsid w:val="00917AB6"/>
    <w:rsid w:val="00923B19"/>
    <w:rsid w:val="00924982"/>
    <w:rsid w:val="00925B36"/>
    <w:rsid w:val="0092667F"/>
    <w:rsid w:val="00926DA8"/>
    <w:rsid w:val="009276AF"/>
    <w:rsid w:val="009362D6"/>
    <w:rsid w:val="00936563"/>
    <w:rsid w:val="00940AFF"/>
    <w:rsid w:val="0094176C"/>
    <w:rsid w:val="00942597"/>
    <w:rsid w:val="00942599"/>
    <w:rsid w:val="00942D60"/>
    <w:rsid w:val="00944062"/>
    <w:rsid w:val="00947156"/>
    <w:rsid w:val="00947EE7"/>
    <w:rsid w:val="0095065C"/>
    <w:rsid w:val="009522E3"/>
    <w:rsid w:val="009525D1"/>
    <w:rsid w:val="00953C7D"/>
    <w:rsid w:val="00954308"/>
    <w:rsid w:val="00956425"/>
    <w:rsid w:val="0095661A"/>
    <w:rsid w:val="009579F1"/>
    <w:rsid w:val="00962F3C"/>
    <w:rsid w:val="00962FBF"/>
    <w:rsid w:val="00970182"/>
    <w:rsid w:val="009723AE"/>
    <w:rsid w:val="00973033"/>
    <w:rsid w:val="0097345C"/>
    <w:rsid w:val="0097396C"/>
    <w:rsid w:val="009775CF"/>
    <w:rsid w:val="009806D7"/>
    <w:rsid w:val="00981E20"/>
    <w:rsid w:val="0098385A"/>
    <w:rsid w:val="00983E92"/>
    <w:rsid w:val="0098417E"/>
    <w:rsid w:val="00984BDC"/>
    <w:rsid w:val="00986796"/>
    <w:rsid w:val="00986EBF"/>
    <w:rsid w:val="009927F1"/>
    <w:rsid w:val="009951F0"/>
    <w:rsid w:val="009957B7"/>
    <w:rsid w:val="00995A78"/>
    <w:rsid w:val="00996BB6"/>
    <w:rsid w:val="009976AD"/>
    <w:rsid w:val="009A2E74"/>
    <w:rsid w:val="009A40CB"/>
    <w:rsid w:val="009A7654"/>
    <w:rsid w:val="009B1851"/>
    <w:rsid w:val="009B19BB"/>
    <w:rsid w:val="009B2283"/>
    <w:rsid w:val="009B3B2B"/>
    <w:rsid w:val="009B3EDB"/>
    <w:rsid w:val="009C0C88"/>
    <w:rsid w:val="009C1C0C"/>
    <w:rsid w:val="009C2780"/>
    <w:rsid w:val="009C2D06"/>
    <w:rsid w:val="009C2E64"/>
    <w:rsid w:val="009C3BDF"/>
    <w:rsid w:val="009C4C9A"/>
    <w:rsid w:val="009C6C36"/>
    <w:rsid w:val="009C776E"/>
    <w:rsid w:val="009C7FEA"/>
    <w:rsid w:val="009D10C8"/>
    <w:rsid w:val="009D1338"/>
    <w:rsid w:val="009D1B07"/>
    <w:rsid w:val="009D48F0"/>
    <w:rsid w:val="009D5E70"/>
    <w:rsid w:val="009D66F0"/>
    <w:rsid w:val="009D6F2D"/>
    <w:rsid w:val="009E1E34"/>
    <w:rsid w:val="009E3048"/>
    <w:rsid w:val="009E4953"/>
    <w:rsid w:val="009E5D33"/>
    <w:rsid w:val="009E6E2A"/>
    <w:rsid w:val="009F13A0"/>
    <w:rsid w:val="009F3575"/>
    <w:rsid w:val="009F5340"/>
    <w:rsid w:val="009F6083"/>
    <w:rsid w:val="009F6151"/>
    <w:rsid w:val="009F6964"/>
    <w:rsid w:val="009F6A88"/>
    <w:rsid w:val="009F6B7B"/>
    <w:rsid w:val="009F739A"/>
    <w:rsid w:val="009F7888"/>
    <w:rsid w:val="00A005D1"/>
    <w:rsid w:val="00A00E07"/>
    <w:rsid w:val="00A01D3F"/>
    <w:rsid w:val="00A02A52"/>
    <w:rsid w:val="00A02B60"/>
    <w:rsid w:val="00A02C77"/>
    <w:rsid w:val="00A0345E"/>
    <w:rsid w:val="00A116D0"/>
    <w:rsid w:val="00A11EE0"/>
    <w:rsid w:val="00A12537"/>
    <w:rsid w:val="00A12709"/>
    <w:rsid w:val="00A14B0C"/>
    <w:rsid w:val="00A2140E"/>
    <w:rsid w:val="00A214C4"/>
    <w:rsid w:val="00A2197D"/>
    <w:rsid w:val="00A22725"/>
    <w:rsid w:val="00A320C1"/>
    <w:rsid w:val="00A326CF"/>
    <w:rsid w:val="00A34865"/>
    <w:rsid w:val="00A3746F"/>
    <w:rsid w:val="00A42112"/>
    <w:rsid w:val="00A450CE"/>
    <w:rsid w:val="00A46795"/>
    <w:rsid w:val="00A46B36"/>
    <w:rsid w:val="00A47025"/>
    <w:rsid w:val="00A47653"/>
    <w:rsid w:val="00A47D7C"/>
    <w:rsid w:val="00A50FDC"/>
    <w:rsid w:val="00A51B5F"/>
    <w:rsid w:val="00A54E92"/>
    <w:rsid w:val="00A55357"/>
    <w:rsid w:val="00A553F5"/>
    <w:rsid w:val="00A55D65"/>
    <w:rsid w:val="00A5740C"/>
    <w:rsid w:val="00A57D58"/>
    <w:rsid w:val="00A606BF"/>
    <w:rsid w:val="00A607A2"/>
    <w:rsid w:val="00A607DE"/>
    <w:rsid w:val="00A63140"/>
    <w:rsid w:val="00A63F62"/>
    <w:rsid w:val="00A65151"/>
    <w:rsid w:val="00A66F75"/>
    <w:rsid w:val="00A67A9F"/>
    <w:rsid w:val="00A70F43"/>
    <w:rsid w:val="00A74EA6"/>
    <w:rsid w:val="00A75DEA"/>
    <w:rsid w:val="00A80C91"/>
    <w:rsid w:val="00A80DA4"/>
    <w:rsid w:val="00A82780"/>
    <w:rsid w:val="00A82942"/>
    <w:rsid w:val="00A833D9"/>
    <w:rsid w:val="00A85735"/>
    <w:rsid w:val="00A92F84"/>
    <w:rsid w:val="00A938F1"/>
    <w:rsid w:val="00A95551"/>
    <w:rsid w:val="00AA1312"/>
    <w:rsid w:val="00AA1A47"/>
    <w:rsid w:val="00AA4203"/>
    <w:rsid w:val="00AA58FE"/>
    <w:rsid w:val="00AB1378"/>
    <w:rsid w:val="00AB1DBF"/>
    <w:rsid w:val="00AB1F2B"/>
    <w:rsid w:val="00AB31C9"/>
    <w:rsid w:val="00AB5151"/>
    <w:rsid w:val="00AB5A3C"/>
    <w:rsid w:val="00AB6DC6"/>
    <w:rsid w:val="00AB7434"/>
    <w:rsid w:val="00AC0407"/>
    <w:rsid w:val="00AC06C8"/>
    <w:rsid w:val="00AC094C"/>
    <w:rsid w:val="00AC10DE"/>
    <w:rsid w:val="00AC2E1F"/>
    <w:rsid w:val="00AC3F17"/>
    <w:rsid w:val="00AC4A56"/>
    <w:rsid w:val="00AC745D"/>
    <w:rsid w:val="00AD174B"/>
    <w:rsid w:val="00AD3F92"/>
    <w:rsid w:val="00AD5793"/>
    <w:rsid w:val="00AD6417"/>
    <w:rsid w:val="00AE30AB"/>
    <w:rsid w:val="00AE548A"/>
    <w:rsid w:val="00AE5A72"/>
    <w:rsid w:val="00AE5AC5"/>
    <w:rsid w:val="00AE6347"/>
    <w:rsid w:val="00AE7E7A"/>
    <w:rsid w:val="00AF01C2"/>
    <w:rsid w:val="00AF0576"/>
    <w:rsid w:val="00AF404D"/>
    <w:rsid w:val="00AF55B9"/>
    <w:rsid w:val="00B001B7"/>
    <w:rsid w:val="00B03681"/>
    <w:rsid w:val="00B04D1D"/>
    <w:rsid w:val="00B05EFC"/>
    <w:rsid w:val="00B07674"/>
    <w:rsid w:val="00B110A2"/>
    <w:rsid w:val="00B12940"/>
    <w:rsid w:val="00B1373F"/>
    <w:rsid w:val="00B14D7F"/>
    <w:rsid w:val="00B15041"/>
    <w:rsid w:val="00B170CF"/>
    <w:rsid w:val="00B214AF"/>
    <w:rsid w:val="00B21B2D"/>
    <w:rsid w:val="00B21DA8"/>
    <w:rsid w:val="00B223DC"/>
    <w:rsid w:val="00B235D2"/>
    <w:rsid w:val="00B24613"/>
    <w:rsid w:val="00B269B3"/>
    <w:rsid w:val="00B33EDF"/>
    <w:rsid w:val="00B343DB"/>
    <w:rsid w:val="00B367D1"/>
    <w:rsid w:val="00B374A8"/>
    <w:rsid w:val="00B37D5D"/>
    <w:rsid w:val="00B412A0"/>
    <w:rsid w:val="00B42063"/>
    <w:rsid w:val="00B425B2"/>
    <w:rsid w:val="00B456C0"/>
    <w:rsid w:val="00B45E0F"/>
    <w:rsid w:val="00B52A3B"/>
    <w:rsid w:val="00B55504"/>
    <w:rsid w:val="00B56B63"/>
    <w:rsid w:val="00B576FF"/>
    <w:rsid w:val="00B578A2"/>
    <w:rsid w:val="00B57D7B"/>
    <w:rsid w:val="00B60A51"/>
    <w:rsid w:val="00B61BA9"/>
    <w:rsid w:val="00B6314E"/>
    <w:rsid w:val="00B635A2"/>
    <w:rsid w:val="00B6396F"/>
    <w:rsid w:val="00B63AF8"/>
    <w:rsid w:val="00B6508D"/>
    <w:rsid w:val="00B70F9C"/>
    <w:rsid w:val="00B73AEC"/>
    <w:rsid w:val="00B73D1F"/>
    <w:rsid w:val="00B742F1"/>
    <w:rsid w:val="00B746F7"/>
    <w:rsid w:val="00B76135"/>
    <w:rsid w:val="00B7620E"/>
    <w:rsid w:val="00B8183C"/>
    <w:rsid w:val="00B83136"/>
    <w:rsid w:val="00B8413B"/>
    <w:rsid w:val="00B844D8"/>
    <w:rsid w:val="00B85D5A"/>
    <w:rsid w:val="00B869B3"/>
    <w:rsid w:val="00B87363"/>
    <w:rsid w:val="00B90738"/>
    <w:rsid w:val="00BA005F"/>
    <w:rsid w:val="00BA1FE8"/>
    <w:rsid w:val="00BA2B86"/>
    <w:rsid w:val="00BA32FD"/>
    <w:rsid w:val="00BA3BCF"/>
    <w:rsid w:val="00BA6800"/>
    <w:rsid w:val="00BB069D"/>
    <w:rsid w:val="00BB29E6"/>
    <w:rsid w:val="00BB2CCE"/>
    <w:rsid w:val="00BB45CD"/>
    <w:rsid w:val="00BB5AB2"/>
    <w:rsid w:val="00BC1CBF"/>
    <w:rsid w:val="00BC1F7E"/>
    <w:rsid w:val="00BC2064"/>
    <w:rsid w:val="00BC3332"/>
    <w:rsid w:val="00BC488D"/>
    <w:rsid w:val="00BC5681"/>
    <w:rsid w:val="00BC5B54"/>
    <w:rsid w:val="00BC6EAE"/>
    <w:rsid w:val="00BD09D0"/>
    <w:rsid w:val="00BD2CA2"/>
    <w:rsid w:val="00BD39BE"/>
    <w:rsid w:val="00BD583A"/>
    <w:rsid w:val="00BD6703"/>
    <w:rsid w:val="00BD7D3A"/>
    <w:rsid w:val="00BE141C"/>
    <w:rsid w:val="00BE1DF6"/>
    <w:rsid w:val="00BE2826"/>
    <w:rsid w:val="00BE2C55"/>
    <w:rsid w:val="00BE353B"/>
    <w:rsid w:val="00BE3D85"/>
    <w:rsid w:val="00BE56A5"/>
    <w:rsid w:val="00BE57C5"/>
    <w:rsid w:val="00BF0F2B"/>
    <w:rsid w:val="00BF1736"/>
    <w:rsid w:val="00BF38BC"/>
    <w:rsid w:val="00BF3CDA"/>
    <w:rsid w:val="00BF3E17"/>
    <w:rsid w:val="00BF48A3"/>
    <w:rsid w:val="00BF4E36"/>
    <w:rsid w:val="00BF7A39"/>
    <w:rsid w:val="00C05585"/>
    <w:rsid w:val="00C05623"/>
    <w:rsid w:val="00C064C5"/>
    <w:rsid w:val="00C105F0"/>
    <w:rsid w:val="00C11C6C"/>
    <w:rsid w:val="00C11CD7"/>
    <w:rsid w:val="00C130E1"/>
    <w:rsid w:val="00C15F8B"/>
    <w:rsid w:val="00C177A2"/>
    <w:rsid w:val="00C17EE5"/>
    <w:rsid w:val="00C20EA6"/>
    <w:rsid w:val="00C21EA1"/>
    <w:rsid w:val="00C27FCB"/>
    <w:rsid w:val="00C32870"/>
    <w:rsid w:val="00C355C8"/>
    <w:rsid w:val="00C35B2F"/>
    <w:rsid w:val="00C3657A"/>
    <w:rsid w:val="00C37639"/>
    <w:rsid w:val="00C406F2"/>
    <w:rsid w:val="00C42D9A"/>
    <w:rsid w:val="00C42E42"/>
    <w:rsid w:val="00C43CED"/>
    <w:rsid w:val="00C45A35"/>
    <w:rsid w:val="00C45CDB"/>
    <w:rsid w:val="00C45FA3"/>
    <w:rsid w:val="00C4721A"/>
    <w:rsid w:val="00C522DA"/>
    <w:rsid w:val="00C534A4"/>
    <w:rsid w:val="00C579BD"/>
    <w:rsid w:val="00C57B04"/>
    <w:rsid w:val="00C6083B"/>
    <w:rsid w:val="00C60A16"/>
    <w:rsid w:val="00C60DA0"/>
    <w:rsid w:val="00C61877"/>
    <w:rsid w:val="00C6202A"/>
    <w:rsid w:val="00C6316F"/>
    <w:rsid w:val="00C6696A"/>
    <w:rsid w:val="00C700D3"/>
    <w:rsid w:val="00C7057B"/>
    <w:rsid w:val="00C70854"/>
    <w:rsid w:val="00C70B00"/>
    <w:rsid w:val="00C7217B"/>
    <w:rsid w:val="00C75F4E"/>
    <w:rsid w:val="00C81DB1"/>
    <w:rsid w:val="00C841D2"/>
    <w:rsid w:val="00C847DC"/>
    <w:rsid w:val="00C857A3"/>
    <w:rsid w:val="00C85F7A"/>
    <w:rsid w:val="00C86545"/>
    <w:rsid w:val="00C86799"/>
    <w:rsid w:val="00C94E44"/>
    <w:rsid w:val="00C9561C"/>
    <w:rsid w:val="00C95981"/>
    <w:rsid w:val="00C96691"/>
    <w:rsid w:val="00C97102"/>
    <w:rsid w:val="00CA1283"/>
    <w:rsid w:val="00CA4A03"/>
    <w:rsid w:val="00CA5EA4"/>
    <w:rsid w:val="00CA71FC"/>
    <w:rsid w:val="00CA7DC8"/>
    <w:rsid w:val="00CB0D52"/>
    <w:rsid w:val="00CB0D9F"/>
    <w:rsid w:val="00CB1948"/>
    <w:rsid w:val="00CB1F11"/>
    <w:rsid w:val="00CB50A1"/>
    <w:rsid w:val="00CB51EC"/>
    <w:rsid w:val="00CB58C4"/>
    <w:rsid w:val="00CB600D"/>
    <w:rsid w:val="00CB7337"/>
    <w:rsid w:val="00CB7CCC"/>
    <w:rsid w:val="00CC10D9"/>
    <w:rsid w:val="00CC166B"/>
    <w:rsid w:val="00CC1F01"/>
    <w:rsid w:val="00CC3948"/>
    <w:rsid w:val="00CC3F40"/>
    <w:rsid w:val="00CC622A"/>
    <w:rsid w:val="00CC6966"/>
    <w:rsid w:val="00CD2D76"/>
    <w:rsid w:val="00CD362F"/>
    <w:rsid w:val="00CD559C"/>
    <w:rsid w:val="00CD56EF"/>
    <w:rsid w:val="00CD66E0"/>
    <w:rsid w:val="00CD713F"/>
    <w:rsid w:val="00CE0B1A"/>
    <w:rsid w:val="00CE0ED2"/>
    <w:rsid w:val="00CE2B6C"/>
    <w:rsid w:val="00CE321D"/>
    <w:rsid w:val="00CE3EB3"/>
    <w:rsid w:val="00CE433D"/>
    <w:rsid w:val="00CE6855"/>
    <w:rsid w:val="00CE71A0"/>
    <w:rsid w:val="00CE7AE8"/>
    <w:rsid w:val="00CF07D9"/>
    <w:rsid w:val="00CF3383"/>
    <w:rsid w:val="00CF426C"/>
    <w:rsid w:val="00CF494C"/>
    <w:rsid w:val="00CF537C"/>
    <w:rsid w:val="00CF75BD"/>
    <w:rsid w:val="00CF784C"/>
    <w:rsid w:val="00CF7C30"/>
    <w:rsid w:val="00D00920"/>
    <w:rsid w:val="00D01765"/>
    <w:rsid w:val="00D0197E"/>
    <w:rsid w:val="00D01A75"/>
    <w:rsid w:val="00D023D1"/>
    <w:rsid w:val="00D07773"/>
    <w:rsid w:val="00D10C3B"/>
    <w:rsid w:val="00D12CC6"/>
    <w:rsid w:val="00D14ECD"/>
    <w:rsid w:val="00D15DF3"/>
    <w:rsid w:val="00D15E24"/>
    <w:rsid w:val="00D20E20"/>
    <w:rsid w:val="00D20E33"/>
    <w:rsid w:val="00D212B5"/>
    <w:rsid w:val="00D227AC"/>
    <w:rsid w:val="00D22EC6"/>
    <w:rsid w:val="00D23AA6"/>
    <w:rsid w:val="00D23BF6"/>
    <w:rsid w:val="00D24E0C"/>
    <w:rsid w:val="00D27000"/>
    <w:rsid w:val="00D27198"/>
    <w:rsid w:val="00D317F6"/>
    <w:rsid w:val="00D32788"/>
    <w:rsid w:val="00D33542"/>
    <w:rsid w:val="00D4247A"/>
    <w:rsid w:val="00D42DD0"/>
    <w:rsid w:val="00D46C50"/>
    <w:rsid w:val="00D46F17"/>
    <w:rsid w:val="00D47965"/>
    <w:rsid w:val="00D50FE6"/>
    <w:rsid w:val="00D51810"/>
    <w:rsid w:val="00D523C1"/>
    <w:rsid w:val="00D54563"/>
    <w:rsid w:val="00D54B0A"/>
    <w:rsid w:val="00D62F94"/>
    <w:rsid w:val="00D63669"/>
    <w:rsid w:val="00D63DC5"/>
    <w:rsid w:val="00D64D8B"/>
    <w:rsid w:val="00D663F1"/>
    <w:rsid w:val="00D66BD1"/>
    <w:rsid w:val="00D67CB4"/>
    <w:rsid w:val="00D7055E"/>
    <w:rsid w:val="00D713F9"/>
    <w:rsid w:val="00D7161B"/>
    <w:rsid w:val="00D7174F"/>
    <w:rsid w:val="00D72487"/>
    <w:rsid w:val="00D72BEE"/>
    <w:rsid w:val="00D73030"/>
    <w:rsid w:val="00D731BC"/>
    <w:rsid w:val="00D77A31"/>
    <w:rsid w:val="00D8270D"/>
    <w:rsid w:val="00D84978"/>
    <w:rsid w:val="00D85CD3"/>
    <w:rsid w:val="00D90ED3"/>
    <w:rsid w:val="00D914F3"/>
    <w:rsid w:val="00D92E4A"/>
    <w:rsid w:val="00D93C70"/>
    <w:rsid w:val="00D93DC6"/>
    <w:rsid w:val="00D93EBA"/>
    <w:rsid w:val="00D95175"/>
    <w:rsid w:val="00D95C20"/>
    <w:rsid w:val="00D96B39"/>
    <w:rsid w:val="00D97D09"/>
    <w:rsid w:val="00DA2E4B"/>
    <w:rsid w:val="00DA457A"/>
    <w:rsid w:val="00DA4EF0"/>
    <w:rsid w:val="00DA55EF"/>
    <w:rsid w:val="00DA6705"/>
    <w:rsid w:val="00DA6EB9"/>
    <w:rsid w:val="00DA717E"/>
    <w:rsid w:val="00DA7969"/>
    <w:rsid w:val="00DA7CCC"/>
    <w:rsid w:val="00DB012C"/>
    <w:rsid w:val="00DB0A63"/>
    <w:rsid w:val="00DB288D"/>
    <w:rsid w:val="00DB39D5"/>
    <w:rsid w:val="00DB49A9"/>
    <w:rsid w:val="00DB4CB0"/>
    <w:rsid w:val="00DB4F5F"/>
    <w:rsid w:val="00DB569C"/>
    <w:rsid w:val="00DB585F"/>
    <w:rsid w:val="00DB7ABB"/>
    <w:rsid w:val="00DC0516"/>
    <w:rsid w:val="00DC16B9"/>
    <w:rsid w:val="00DC2765"/>
    <w:rsid w:val="00DC40E5"/>
    <w:rsid w:val="00DC4A1E"/>
    <w:rsid w:val="00DC5F72"/>
    <w:rsid w:val="00DC6D55"/>
    <w:rsid w:val="00DD120A"/>
    <w:rsid w:val="00DD272D"/>
    <w:rsid w:val="00DD40CF"/>
    <w:rsid w:val="00DD42D3"/>
    <w:rsid w:val="00DD4747"/>
    <w:rsid w:val="00DD4B5D"/>
    <w:rsid w:val="00DE1C9A"/>
    <w:rsid w:val="00DE23B5"/>
    <w:rsid w:val="00DE2A07"/>
    <w:rsid w:val="00DE4E5B"/>
    <w:rsid w:val="00DE4F15"/>
    <w:rsid w:val="00DE52A4"/>
    <w:rsid w:val="00DE5CF3"/>
    <w:rsid w:val="00DF06B7"/>
    <w:rsid w:val="00DF13A8"/>
    <w:rsid w:val="00DF18F3"/>
    <w:rsid w:val="00DF2F23"/>
    <w:rsid w:val="00DF7378"/>
    <w:rsid w:val="00E00A76"/>
    <w:rsid w:val="00E01CCC"/>
    <w:rsid w:val="00E03341"/>
    <w:rsid w:val="00E03E53"/>
    <w:rsid w:val="00E0439A"/>
    <w:rsid w:val="00E06273"/>
    <w:rsid w:val="00E06B0E"/>
    <w:rsid w:val="00E07462"/>
    <w:rsid w:val="00E07E64"/>
    <w:rsid w:val="00E10404"/>
    <w:rsid w:val="00E10BEF"/>
    <w:rsid w:val="00E10D9B"/>
    <w:rsid w:val="00E119EE"/>
    <w:rsid w:val="00E11DD6"/>
    <w:rsid w:val="00E12872"/>
    <w:rsid w:val="00E13A6F"/>
    <w:rsid w:val="00E149E1"/>
    <w:rsid w:val="00E2008B"/>
    <w:rsid w:val="00E21C49"/>
    <w:rsid w:val="00E236C0"/>
    <w:rsid w:val="00E23D84"/>
    <w:rsid w:val="00E2470B"/>
    <w:rsid w:val="00E2497C"/>
    <w:rsid w:val="00E24FDC"/>
    <w:rsid w:val="00E256F4"/>
    <w:rsid w:val="00E26B6B"/>
    <w:rsid w:val="00E3159D"/>
    <w:rsid w:val="00E339DF"/>
    <w:rsid w:val="00E3470A"/>
    <w:rsid w:val="00E35F30"/>
    <w:rsid w:val="00E371D1"/>
    <w:rsid w:val="00E375D3"/>
    <w:rsid w:val="00E41110"/>
    <w:rsid w:val="00E41D27"/>
    <w:rsid w:val="00E41FF1"/>
    <w:rsid w:val="00E4202F"/>
    <w:rsid w:val="00E42553"/>
    <w:rsid w:val="00E43C30"/>
    <w:rsid w:val="00E50F70"/>
    <w:rsid w:val="00E53A9C"/>
    <w:rsid w:val="00E54173"/>
    <w:rsid w:val="00E54716"/>
    <w:rsid w:val="00E54F5E"/>
    <w:rsid w:val="00E56631"/>
    <w:rsid w:val="00E56DE7"/>
    <w:rsid w:val="00E573E9"/>
    <w:rsid w:val="00E60558"/>
    <w:rsid w:val="00E60F61"/>
    <w:rsid w:val="00E6114C"/>
    <w:rsid w:val="00E62215"/>
    <w:rsid w:val="00E626B3"/>
    <w:rsid w:val="00E634F6"/>
    <w:rsid w:val="00E64736"/>
    <w:rsid w:val="00E65816"/>
    <w:rsid w:val="00E670B7"/>
    <w:rsid w:val="00E6747B"/>
    <w:rsid w:val="00E720BD"/>
    <w:rsid w:val="00E7487E"/>
    <w:rsid w:val="00E767EC"/>
    <w:rsid w:val="00E81AD3"/>
    <w:rsid w:val="00E81B5E"/>
    <w:rsid w:val="00E8600B"/>
    <w:rsid w:val="00E90777"/>
    <w:rsid w:val="00E91A17"/>
    <w:rsid w:val="00E95DC3"/>
    <w:rsid w:val="00E964DD"/>
    <w:rsid w:val="00EA363A"/>
    <w:rsid w:val="00EA3B6E"/>
    <w:rsid w:val="00EA5BB4"/>
    <w:rsid w:val="00EA7163"/>
    <w:rsid w:val="00EB16BE"/>
    <w:rsid w:val="00EB21E4"/>
    <w:rsid w:val="00EB25EB"/>
    <w:rsid w:val="00EB3153"/>
    <w:rsid w:val="00EB3D6E"/>
    <w:rsid w:val="00EB4C61"/>
    <w:rsid w:val="00EB5C0B"/>
    <w:rsid w:val="00EB6872"/>
    <w:rsid w:val="00EB6B23"/>
    <w:rsid w:val="00EB6D6A"/>
    <w:rsid w:val="00EB7445"/>
    <w:rsid w:val="00EC1906"/>
    <w:rsid w:val="00EC29B3"/>
    <w:rsid w:val="00EC4AE0"/>
    <w:rsid w:val="00EC7689"/>
    <w:rsid w:val="00ED1D8F"/>
    <w:rsid w:val="00ED1DB0"/>
    <w:rsid w:val="00ED1F05"/>
    <w:rsid w:val="00ED43A4"/>
    <w:rsid w:val="00ED528B"/>
    <w:rsid w:val="00ED640C"/>
    <w:rsid w:val="00ED748C"/>
    <w:rsid w:val="00EE016E"/>
    <w:rsid w:val="00EE1206"/>
    <w:rsid w:val="00EE6DB6"/>
    <w:rsid w:val="00EF26DB"/>
    <w:rsid w:val="00EF5F73"/>
    <w:rsid w:val="00EF615A"/>
    <w:rsid w:val="00EF6D8E"/>
    <w:rsid w:val="00EF7EC7"/>
    <w:rsid w:val="00F000BD"/>
    <w:rsid w:val="00F029AB"/>
    <w:rsid w:val="00F036EA"/>
    <w:rsid w:val="00F04F9C"/>
    <w:rsid w:val="00F05A85"/>
    <w:rsid w:val="00F0617C"/>
    <w:rsid w:val="00F11B9B"/>
    <w:rsid w:val="00F1286C"/>
    <w:rsid w:val="00F13DC9"/>
    <w:rsid w:val="00F143F8"/>
    <w:rsid w:val="00F14B07"/>
    <w:rsid w:val="00F14DE0"/>
    <w:rsid w:val="00F159E0"/>
    <w:rsid w:val="00F15A5A"/>
    <w:rsid w:val="00F1756B"/>
    <w:rsid w:val="00F21D40"/>
    <w:rsid w:val="00F22CEA"/>
    <w:rsid w:val="00F25AB2"/>
    <w:rsid w:val="00F30917"/>
    <w:rsid w:val="00F310F4"/>
    <w:rsid w:val="00F32BAF"/>
    <w:rsid w:val="00F33971"/>
    <w:rsid w:val="00F347D3"/>
    <w:rsid w:val="00F37368"/>
    <w:rsid w:val="00F37C58"/>
    <w:rsid w:val="00F40B52"/>
    <w:rsid w:val="00F40C02"/>
    <w:rsid w:val="00F4198B"/>
    <w:rsid w:val="00F47771"/>
    <w:rsid w:val="00F564FF"/>
    <w:rsid w:val="00F5691C"/>
    <w:rsid w:val="00F57C7C"/>
    <w:rsid w:val="00F61D9E"/>
    <w:rsid w:val="00F63E42"/>
    <w:rsid w:val="00F646C7"/>
    <w:rsid w:val="00F67217"/>
    <w:rsid w:val="00F8037D"/>
    <w:rsid w:val="00F83174"/>
    <w:rsid w:val="00F84736"/>
    <w:rsid w:val="00F84D67"/>
    <w:rsid w:val="00F870DF"/>
    <w:rsid w:val="00F923C3"/>
    <w:rsid w:val="00F94237"/>
    <w:rsid w:val="00F95513"/>
    <w:rsid w:val="00F96CD9"/>
    <w:rsid w:val="00F97848"/>
    <w:rsid w:val="00FA1373"/>
    <w:rsid w:val="00FA3E8A"/>
    <w:rsid w:val="00FA46B0"/>
    <w:rsid w:val="00FA4CA0"/>
    <w:rsid w:val="00FA4D81"/>
    <w:rsid w:val="00FA4F37"/>
    <w:rsid w:val="00FA59A8"/>
    <w:rsid w:val="00FA6C11"/>
    <w:rsid w:val="00FA748A"/>
    <w:rsid w:val="00FB069B"/>
    <w:rsid w:val="00FB14F5"/>
    <w:rsid w:val="00FB1A77"/>
    <w:rsid w:val="00FB1F53"/>
    <w:rsid w:val="00FB216D"/>
    <w:rsid w:val="00FB2AAE"/>
    <w:rsid w:val="00FB39B6"/>
    <w:rsid w:val="00FB4622"/>
    <w:rsid w:val="00FB53AB"/>
    <w:rsid w:val="00FB7384"/>
    <w:rsid w:val="00FB7987"/>
    <w:rsid w:val="00FC3268"/>
    <w:rsid w:val="00FC4BD2"/>
    <w:rsid w:val="00FC5CC6"/>
    <w:rsid w:val="00FC6D0D"/>
    <w:rsid w:val="00FC6E5F"/>
    <w:rsid w:val="00FD110F"/>
    <w:rsid w:val="00FD1180"/>
    <w:rsid w:val="00FD1614"/>
    <w:rsid w:val="00FD42F8"/>
    <w:rsid w:val="00FD4955"/>
    <w:rsid w:val="00FD613D"/>
    <w:rsid w:val="00FD7EB8"/>
    <w:rsid w:val="00FE1CE0"/>
    <w:rsid w:val="00FE2F8A"/>
    <w:rsid w:val="00FE345F"/>
    <w:rsid w:val="00FE57B3"/>
    <w:rsid w:val="00FE6575"/>
    <w:rsid w:val="00FE6CB7"/>
    <w:rsid w:val="00FE7018"/>
    <w:rsid w:val="00FE7614"/>
    <w:rsid w:val="00FE7DBB"/>
    <w:rsid w:val="00FF0775"/>
    <w:rsid w:val="00FF0FF4"/>
    <w:rsid w:val="00FF11A9"/>
    <w:rsid w:val="00FF26AD"/>
    <w:rsid w:val="00FF5A8F"/>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5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C13"/>
  </w:style>
  <w:style w:type="paragraph" w:styleId="Heading1">
    <w:name w:val="heading 1"/>
    <w:basedOn w:val="Normal"/>
    <w:next w:val="Normal"/>
    <w:link w:val="Heading1Char"/>
    <w:uiPriority w:val="9"/>
    <w:qFormat/>
    <w:rsid w:val="00CE0B1A"/>
    <w:pPr>
      <w:keepNext/>
      <w:keepLines/>
      <w:spacing w:before="480"/>
      <w:jc w:val="center"/>
      <w:outlineLvl w:val="0"/>
    </w:pPr>
    <w:rPr>
      <w:rFonts w:ascii="Times New Roman" w:eastAsiaTheme="majorEastAsia" w:hAnsi="Times New Roman" w:cstheme="majorBidi"/>
      <w:b/>
      <w:bCs/>
      <w:color w:val="4F81BD" w:themeColor="accent1"/>
      <w:sz w:val="28"/>
      <w:szCs w:val="28"/>
    </w:rPr>
  </w:style>
  <w:style w:type="paragraph" w:styleId="Heading2">
    <w:name w:val="heading 2"/>
    <w:basedOn w:val="Normal"/>
    <w:next w:val="Normal"/>
    <w:link w:val="Heading2Char"/>
    <w:uiPriority w:val="9"/>
    <w:unhideWhenUsed/>
    <w:qFormat/>
    <w:rsid w:val="00CE0B1A"/>
    <w:pPr>
      <w:keepNext/>
      <w:keepLines/>
      <w:spacing w:before="200"/>
      <w:outlineLvl w:val="1"/>
    </w:pPr>
    <w:rPr>
      <w:rFonts w:ascii="Times New Roman" w:eastAsiaTheme="majorEastAsia" w:hAnsi="Times New Roman" w:cstheme="majorBidi"/>
      <w:b/>
      <w:bCs/>
      <w:i/>
      <w:color w:val="4F81BD" w:themeColor="accent1"/>
      <w:sz w:val="24"/>
      <w:szCs w:val="26"/>
    </w:rPr>
  </w:style>
  <w:style w:type="paragraph" w:styleId="Heading3">
    <w:name w:val="heading 3"/>
    <w:basedOn w:val="Normal"/>
    <w:next w:val="Normal"/>
    <w:link w:val="Heading3Char"/>
    <w:uiPriority w:val="9"/>
    <w:unhideWhenUsed/>
    <w:qFormat/>
    <w:rsid w:val="00CE0B1A"/>
    <w:pPr>
      <w:keepNext/>
      <w:keepLines/>
      <w:spacing w:before="200"/>
      <w:outlineLvl w:val="2"/>
    </w:pPr>
    <w:rPr>
      <w:rFonts w:ascii="Times New Roman" w:eastAsiaTheme="majorEastAsia" w:hAnsi="Times New Roman" w:cstheme="majorBidi"/>
      <w:bCs/>
      <w:u w:val="single"/>
    </w:rPr>
  </w:style>
  <w:style w:type="paragraph" w:styleId="Heading4">
    <w:name w:val="heading 4"/>
    <w:basedOn w:val="Normal"/>
    <w:next w:val="Normal"/>
    <w:link w:val="Heading4Char"/>
    <w:uiPriority w:val="9"/>
    <w:unhideWhenUsed/>
    <w:qFormat/>
    <w:rsid w:val="001C0D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363"/>
    <w:rPr>
      <w:rFonts w:eastAsiaTheme="minorEastAsia"/>
    </w:rPr>
  </w:style>
  <w:style w:type="character" w:customStyle="1" w:styleId="NoSpacingChar">
    <w:name w:val="No Spacing Char"/>
    <w:basedOn w:val="DefaultParagraphFont"/>
    <w:link w:val="NoSpacing"/>
    <w:uiPriority w:val="1"/>
    <w:rsid w:val="00B87363"/>
    <w:rPr>
      <w:rFonts w:eastAsiaTheme="minorEastAsia"/>
    </w:rPr>
  </w:style>
  <w:style w:type="paragraph" w:styleId="Header">
    <w:name w:val="header"/>
    <w:basedOn w:val="Normal"/>
    <w:link w:val="HeaderChar"/>
    <w:uiPriority w:val="99"/>
    <w:unhideWhenUsed/>
    <w:rsid w:val="00FB39B6"/>
    <w:pPr>
      <w:pBdr>
        <w:between w:val="single" w:sz="4" w:space="1" w:color="4F81BD" w:themeColor="accent1"/>
      </w:pBdr>
      <w:tabs>
        <w:tab w:val="center" w:pos="4680"/>
        <w:tab w:val="right" w:pos="9360"/>
      </w:tabs>
      <w:spacing w:line="276" w:lineRule="auto"/>
    </w:pPr>
    <w:rPr>
      <w:rFonts w:ascii="Times New Roman" w:hAnsi="Times New Roman" w:cs="Times New Roman"/>
      <w:sz w:val="24"/>
    </w:rPr>
  </w:style>
  <w:style w:type="character" w:customStyle="1" w:styleId="HeaderChar">
    <w:name w:val="Header Char"/>
    <w:basedOn w:val="DefaultParagraphFont"/>
    <w:link w:val="Header"/>
    <w:uiPriority w:val="99"/>
    <w:rsid w:val="00FB39B6"/>
    <w:rPr>
      <w:rFonts w:ascii="Times New Roman" w:hAnsi="Times New Roman" w:cs="Times New Roman"/>
      <w:sz w:val="24"/>
    </w:rPr>
  </w:style>
  <w:style w:type="paragraph" w:styleId="Footer">
    <w:name w:val="footer"/>
    <w:basedOn w:val="Normal"/>
    <w:link w:val="FooterChar"/>
    <w:uiPriority w:val="99"/>
    <w:unhideWhenUsed/>
    <w:rsid w:val="00B87363"/>
    <w:pPr>
      <w:tabs>
        <w:tab w:val="center" w:pos="4680"/>
        <w:tab w:val="right" w:pos="9360"/>
      </w:tabs>
    </w:pPr>
  </w:style>
  <w:style w:type="character" w:customStyle="1" w:styleId="FooterChar">
    <w:name w:val="Footer Char"/>
    <w:basedOn w:val="DefaultParagraphFont"/>
    <w:link w:val="Footer"/>
    <w:uiPriority w:val="99"/>
    <w:rsid w:val="00B87363"/>
  </w:style>
  <w:style w:type="paragraph" w:styleId="BalloonText">
    <w:name w:val="Balloon Text"/>
    <w:basedOn w:val="Normal"/>
    <w:link w:val="BalloonTextChar"/>
    <w:uiPriority w:val="99"/>
    <w:semiHidden/>
    <w:unhideWhenUsed/>
    <w:rsid w:val="00296948"/>
    <w:rPr>
      <w:rFonts w:ascii="Tahoma" w:hAnsi="Tahoma" w:cs="Tahoma"/>
      <w:sz w:val="16"/>
      <w:szCs w:val="16"/>
    </w:rPr>
  </w:style>
  <w:style w:type="character" w:customStyle="1" w:styleId="BalloonTextChar">
    <w:name w:val="Balloon Text Char"/>
    <w:basedOn w:val="DefaultParagraphFont"/>
    <w:link w:val="BalloonText"/>
    <w:uiPriority w:val="99"/>
    <w:semiHidden/>
    <w:rsid w:val="00296948"/>
    <w:rPr>
      <w:rFonts w:ascii="Tahoma" w:hAnsi="Tahoma" w:cs="Tahoma"/>
      <w:sz w:val="16"/>
      <w:szCs w:val="16"/>
    </w:rPr>
  </w:style>
  <w:style w:type="paragraph" w:styleId="FootnoteText">
    <w:name w:val="footnote text"/>
    <w:aliases w:val="Footnote Text1 Char,Footnote Text Char Ch,EMI Footnote Text,Footnote Text Char Ch Char Char Char,Footnote Text Char Ch Char Char,Footnote Text1 Char Char Char"/>
    <w:basedOn w:val="Normal"/>
    <w:link w:val="FootnoteTextChar"/>
    <w:uiPriority w:val="99"/>
    <w:unhideWhenUsed/>
    <w:rsid w:val="005F73DD"/>
    <w:rPr>
      <w:sz w:val="20"/>
      <w:szCs w:val="20"/>
    </w:rPr>
  </w:style>
  <w:style w:type="character" w:customStyle="1" w:styleId="FootnoteTextChar">
    <w:name w:val="Footnote Text Char"/>
    <w:aliases w:val="Footnote Text1 Char Char,Footnote Text Char Ch Char,EMI Footnote Text Char,Footnote Text Char Ch Char Char Char Char,Footnote Text Char Ch Char Char Char1,Footnote Text1 Char Char Char Char"/>
    <w:basedOn w:val="DefaultParagraphFont"/>
    <w:link w:val="FootnoteText"/>
    <w:uiPriority w:val="99"/>
    <w:rsid w:val="005F73DD"/>
    <w:rPr>
      <w:sz w:val="20"/>
      <w:szCs w:val="20"/>
    </w:rPr>
  </w:style>
  <w:style w:type="character" w:styleId="FootnoteReference">
    <w:name w:val="footnote reference"/>
    <w:basedOn w:val="DefaultParagraphFont"/>
    <w:uiPriority w:val="99"/>
    <w:unhideWhenUsed/>
    <w:rsid w:val="005F73DD"/>
    <w:rPr>
      <w:vertAlign w:val="superscript"/>
    </w:rPr>
  </w:style>
  <w:style w:type="table" w:styleId="TableGrid">
    <w:name w:val="Table Grid"/>
    <w:basedOn w:val="TableNormal"/>
    <w:uiPriority w:val="59"/>
    <w:rsid w:val="00C62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55D7"/>
    <w:pPr>
      <w:ind w:left="720"/>
      <w:contextualSpacing/>
    </w:pPr>
  </w:style>
  <w:style w:type="character" w:styleId="Hyperlink">
    <w:name w:val="Hyperlink"/>
    <w:basedOn w:val="DefaultParagraphFont"/>
    <w:uiPriority w:val="99"/>
    <w:unhideWhenUsed/>
    <w:rsid w:val="001F46B9"/>
    <w:rPr>
      <w:color w:val="0000FF" w:themeColor="hyperlink"/>
      <w:u w:val="single"/>
    </w:rPr>
  </w:style>
  <w:style w:type="paragraph" w:styleId="NormalWeb">
    <w:name w:val="Normal (Web)"/>
    <w:basedOn w:val="Normal"/>
    <w:uiPriority w:val="99"/>
    <w:unhideWhenUsed/>
    <w:rsid w:val="000C54B6"/>
    <w:pPr>
      <w:spacing w:before="100" w:beforeAutospacing="1" w:after="100" w:afterAutospacing="1"/>
    </w:pPr>
    <w:rPr>
      <w:rFonts w:ascii="Verdana" w:eastAsia="Times New Roman" w:hAnsi="Verdana" w:cs="Times New Roman"/>
      <w:color w:val="363636"/>
      <w:sz w:val="18"/>
      <w:szCs w:val="18"/>
    </w:rPr>
  </w:style>
  <w:style w:type="character" w:styleId="CommentReference">
    <w:name w:val="annotation reference"/>
    <w:basedOn w:val="DefaultParagraphFont"/>
    <w:uiPriority w:val="99"/>
    <w:semiHidden/>
    <w:unhideWhenUsed/>
    <w:rsid w:val="00A214C4"/>
    <w:rPr>
      <w:sz w:val="16"/>
      <w:szCs w:val="16"/>
    </w:rPr>
  </w:style>
  <w:style w:type="paragraph" w:styleId="CommentText">
    <w:name w:val="annotation text"/>
    <w:basedOn w:val="Normal"/>
    <w:link w:val="CommentTextChar"/>
    <w:uiPriority w:val="99"/>
    <w:semiHidden/>
    <w:unhideWhenUsed/>
    <w:rsid w:val="00A214C4"/>
    <w:rPr>
      <w:sz w:val="20"/>
      <w:szCs w:val="20"/>
    </w:rPr>
  </w:style>
  <w:style w:type="character" w:customStyle="1" w:styleId="CommentTextChar">
    <w:name w:val="Comment Text Char"/>
    <w:basedOn w:val="DefaultParagraphFont"/>
    <w:link w:val="CommentText"/>
    <w:uiPriority w:val="99"/>
    <w:semiHidden/>
    <w:rsid w:val="00A214C4"/>
    <w:rPr>
      <w:sz w:val="20"/>
      <w:szCs w:val="20"/>
    </w:rPr>
  </w:style>
  <w:style w:type="paragraph" w:styleId="CommentSubject">
    <w:name w:val="annotation subject"/>
    <w:basedOn w:val="CommentText"/>
    <w:next w:val="CommentText"/>
    <w:link w:val="CommentSubjectChar"/>
    <w:uiPriority w:val="99"/>
    <w:semiHidden/>
    <w:unhideWhenUsed/>
    <w:rsid w:val="00A214C4"/>
    <w:rPr>
      <w:b/>
      <w:bCs/>
    </w:rPr>
  </w:style>
  <w:style w:type="character" w:customStyle="1" w:styleId="CommentSubjectChar">
    <w:name w:val="Comment Subject Char"/>
    <w:basedOn w:val="CommentTextChar"/>
    <w:link w:val="CommentSubject"/>
    <w:uiPriority w:val="99"/>
    <w:semiHidden/>
    <w:rsid w:val="00A214C4"/>
    <w:rPr>
      <w:b/>
      <w:bCs/>
      <w:sz w:val="20"/>
      <w:szCs w:val="20"/>
    </w:rPr>
  </w:style>
  <w:style w:type="character" w:styleId="Strong">
    <w:name w:val="Strong"/>
    <w:basedOn w:val="DefaultParagraphFont"/>
    <w:uiPriority w:val="22"/>
    <w:qFormat/>
    <w:rsid w:val="00B45E0F"/>
    <w:rPr>
      <w:b/>
      <w:bCs/>
    </w:rPr>
  </w:style>
  <w:style w:type="paragraph" w:styleId="Revision">
    <w:name w:val="Revision"/>
    <w:hidden/>
    <w:uiPriority w:val="99"/>
    <w:semiHidden/>
    <w:rsid w:val="0085568B"/>
  </w:style>
  <w:style w:type="paragraph" w:customStyle="1" w:styleId="bullets">
    <w:name w:val="bullets"/>
    <w:basedOn w:val="Normal"/>
    <w:link w:val="bulletsChar"/>
    <w:uiPriority w:val="99"/>
    <w:rsid w:val="008554B0"/>
    <w:pPr>
      <w:spacing w:after="160"/>
    </w:pPr>
    <w:rPr>
      <w:rFonts w:ascii="Times New Roman" w:eastAsia="Times New Roman" w:hAnsi="Times New Roman" w:cs="Times New Roman"/>
      <w:sz w:val="24"/>
      <w:szCs w:val="24"/>
    </w:rPr>
  </w:style>
  <w:style w:type="character" w:customStyle="1" w:styleId="bulletsChar">
    <w:name w:val="bullets Char"/>
    <w:basedOn w:val="DefaultParagraphFont"/>
    <w:link w:val="bullets"/>
    <w:uiPriority w:val="99"/>
    <w:locked/>
    <w:rsid w:val="008554B0"/>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064C5"/>
  </w:style>
  <w:style w:type="paragraph" w:customStyle="1" w:styleId="ColorfulList-Accent12">
    <w:name w:val="Colorful List - Accent 12"/>
    <w:basedOn w:val="Normal"/>
    <w:link w:val="ColorfulList-Accent1Char"/>
    <w:uiPriority w:val="34"/>
    <w:qFormat/>
    <w:rsid w:val="00EB4C61"/>
    <w:pPr>
      <w:spacing w:before="200"/>
      <w:contextualSpacing/>
    </w:pPr>
    <w:rPr>
      <w:rFonts w:ascii="Palatino Linotype" w:eastAsia="Times New Roman" w:hAnsi="Palatino Linotype" w:cs="Times New Roman"/>
      <w:b/>
      <w:sz w:val="20"/>
      <w:szCs w:val="24"/>
    </w:rPr>
  </w:style>
  <w:style w:type="character" w:customStyle="1" w:styleId="ColorfulList-Accent1Char">
    <w:name w:val="Colorful List - Accent 1 Char"/>
    <w:link w:val="ColorfulList-Accent12"/>
    <w:uiPriority w:val="34"/>
    <w:rsid w:val="00EB4C61"/>
    <w:rPr>
      <w:rFonts w:ascii="Palatino Linotype" w:eastAsia="Times New Roman" w:hAnsi="Palatino Linotype" w:cs="Times New Roman"/>
      <w:b/>
      <w:sz w:val="20"/>
      <w:szCs w:val="24"/>
    </w:rPr>
  </w:style>
  <w:style w:type="paragraph" w:customStyle="1" w:styleId="newlevel1">
    <w:name w:val="newlevel1"/>
    <w:qFormat/>
    <w:rsid w:val="00455367"/>
    <w:pPr>
      <w:numPr>
        <w:numId w:val="10"/>
      </w:numPr>
      <w:spacing w:after="160" w:line="288" w:lineRule="auto"/>
      <w:contextualSpacing/>
    </w:pPr>
    <w:rPr>
      <w:rFonts w:ascii="Calibri" w:eastAsia="Times New Roman" w:hAnsi="Calibri" w:cs="Times New Roman"/>
      <w:color w:val="5A5A5A"/>
      <w:sz w:val="20"/>
      <w:szCs w:val="20"/>
      <w:lang w:bidi="en-US"/>
    </w:rPr>
  </w:style>
  <w:style w:type="paragraph" w:customStyle="1" w:styleId="newlevel2">
    <w:name w:val="newlevel2"/>
    <w:link w:val="newlevel2Char"/>
    <w:qFormat/>
    <w:rsid w:val="00455367"/>
    <w:pPr>
      <w:numPr>
        <w:ilvl w:val="1"/>
        <w:numId w:val="10"/>
      </w:numPr>
      <w:spacing w:after="160" w:line="288" w:lineRule="auto"/>
      <w:contextualSpacing/>
    </w:pPr>
    <w:rPr>
      <w:rFonts w:ascii="Calibri" w:eastAsia="Times New Roman" w:hAnsi="Calibri" w:cs="Times New Roman"/>
      <w:color w:val="5A5A5A"/>
      <w:sz w:val="20"/>
      <w:szCs w:val="20"/>
      <w:lang w:bidi="en-US"/>
    </w:rPr>
  </w:style>
  <w:style w:type="character" w:customStyle="1" w:styleId="newlevel2Char">
    <w:name w:val="newlevel2 Char"/>
    <w:basedOn w:val="DefaultParagraphFont"/>
    <w:link w:val="newlevel2"/>
    <w:rsid w:val="00455367"/>
    <w:rPr>
      <w:rFonts w:ascii="Calibri" w:eastAsia="Times New Roman" w:hAnsi="Calibri" w:cs="Times New Roman"/>
      <w:color w:val="5A5A5A"/>
      <w:sz w:val="20"/>
      <w:szCs w:val="20"/>
      <w:lang w:bidi="en-US"/>
    </w:rPr>
  </w:style>
  <w:style w:type="character" w:customStyle="1" w:styleId="Heading1Char">
    <w:name w:val="Heading 1 Char"/>
    <w:basedOn w:val="DefaultParagraphFont"/>
    <w:link w:val="Heading1"/>
    <w:uiPriority w:val="9"/>
    <w:rsid w:val="00CE0B1A"/>
    <w:rPr>
      <w:rFonts w:ascii="Times New Roman" w:eastAsiaTheme="majorEastAsia" w:hAnsi="Times New Roman" w:cstheme="majorBidi"/>
      <w:b/>
      <w:bCs/>
      <w:color w:val="4F81BD" w:themeColor="accent1"/>
      <w:sz w:val="28"/>
      <w:szCs w:val="28"/>
    </w:rPr>
  </w:style>
  <w:style w:type="paragraph" w:styleId="TOCHeading">
    <w:name w:val="TOC Heading"/>
    <w:basedOn w:val="Heading1"/>
    <w:next w:val="Normal"/>
    <w:uiPriority w:val="39"/>
    <w:semiHidden/>
    <w:unhideWhenUsed/>
    <w:qFormat/>
    <w:rsid w:val="00E339DF"/>
    <w:pPr>
      <w:spacing w:line="276" w:lineRule="auto"/>
      <w:outlineLvl w:val="9"/>
    </w:pPr>
  </w:style>
  <w:style w:type="character" w:customStyle="1" w:styleId="Heading2Char">
    <w:name w:val="Heading 2 Char"/>
    <w:basedOn w:val="DefaultParagraphFont"/>
    <w:link w:val="Heading2"/>
    <w:uiPriority w:val="9"/>
    <w:rsid w:val="00CE0B1A"/>
    <w:rPr>
      <w:rFonts w:ascii="Times New Roman" w:eastAsiaTheme="majorEastAsia" w:hAnsi="Times New Roman" w:cstheme="majorBidi"/>
      <w:b/>
      <w:bCs/>
      <w:i/>
      <w:color w:val="4F81BD" w:themeColor="accent1"/>
      <w:sz w:val="24"/>
      <w:szCs w:val="26"/>
    </w:rPr>
  </w:style>
  <w:style w:type="paragraph" w:styleId="TOC1">
    <w:name w:val="toc 1"/>
    <w:basedOn w:val="Normal"/>
    <w:next w:val="Normal"/>
    <w:autoRedefine/>
    <w:uiPriority w:val="39"/>
    <w:unhideWhenUsed/>
    <w:qFormat/>
    <w:rsid w:val="00451CB6"/>
    <w:pPr>
      <w:spacing w:after="100"/>
    </w:pPr>
  </w:style>
  <w:style w:type="paragraph" w:styleId="TOC2">
    <w:name w:val="toc 2"/>
    <w:basedOn w:val="Normal"/>
    <w:next w:val="Normal"/>
    <w:autoRedefine/>
    <w:uiPriority w:val="39"/>
    <w:unhideWhenUsed/>
    <w:qFormat/>
    <w:rsid w:val="00451CB6"/>
    <w:pPr>
      <w:spacing w:after="100"/>
      <w:ind w:left="220"/>
    </w:pPr>
  </w:style>
  <w:style w:type="character" w:customStyle="1" w:styleId="Heading3Char">
    <w:name w:val="Heading 3 Char"/>
    <w:basedOn w:val="DefaultParagraphFont"/>
    <w:link w:val="Heading3"/>
    <w:uiPriority w:val="9"/>
    <w:rsid w:val="00CE0B1A"/>
    <w:rPr>
      <w:rFonts w:ascii="Times New Roman" w:eastAsiaTheme="majorEastAsia" w:hAnsi="Times New Roman" w:cstheme="majorBidi"/>
      <w:bCs/>
      <w:u w:val="single"/>
    </w:rPr>
  </w:style>
  <w:style w:type="paragraph" w:styleId="TOC3">
    <w:name w:val="toc 3"/>
    <w:basedOn w:val="Normal"/>
    <w:next w:val="Normal"/>
    <w:autoRedefine/>
    <w:uiPriority w:val="39"/>
    <w:unhideWhenUsed/>
    <w:qFormat/>
    <w:rsid w:val="00B04D1D"/>
    <w:pPr>
      <w:spacing w:after="100"/>
      <w:ind w:left="440"/>
    </w:pPr>
  </w:style>
  <w:style w:type="paragraph" w:styleId="Caption">
    <w:name w:val="caption"/>
    <w:basedOn w:val="Normal"/>
    <w:next w:val="Normal"/>
    <w:qFormat/>
    <w:rsid w:val="00FB39B6"/>
    <w:pPr>
      <w:keepNext/>
      <w:spacing w:before="180" w:after="60"/>
      <w:jc w:val="center"/>
    </w:pPr>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C0DED"/>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150F52"/>
    <w:pPr>
      <w:spacing w:before="120" w:after="1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6E63"/>
    <w:rPr>
      <w:color w:val="800080" w:themeColor="followedHyperlink"/>
      <w:u w:val="single"/>
    </w:rPr>
  </w:style>
  <w:style w:type="paragraph" w:customStyle="1" w:styleId="Default">
    <w:name w:val="Default"/>
    <w:rsid w:val="0031762C"/>
    <w:pPr>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87AD1"/>
    <w:rPr>
      <w:sz w:val="20"/>
      <w:szCs w:val="20"/>
    </w:rPr>
  </w:style>
  <w:style w:type="character" w:customStyle="1" w:styleId="EndnoteTextChar">
    <w:name w:val="Endnote Text Char"/>
    <w:basedOn w:val="DefaultParagraphFont"/>
    <w:link w:val="EndnoteText"/>
    <w:uiPriority w:val="99"/>
    <w:semiHidden/>
    <w:rsid w:val="00887AD1"/>
    <w:rPr>
      <w:sz w:val="20"/>
      <w:szCs w:val="20"/>
    </w:rPr>
  </w:style>
  <w:style w:type="character" w:styleId="EndnoteReference">
    <w:name w:val="endnote reference"/>
    <w:basedOn w:val="DefaultParagraphFont"/>
    <w:uiPriority w:val="99"/>
    <w:semiHidden/>
    <w:unhideWhenUsed/>
    <w:rsid w:val="00887AD1"/>
    <w:rPr>
      <w:vertAlign w:val="superscript"/>
    </w:rPr>
  </w:style>
  <w:style w:type="character" w:customStyle="1" w:styleId="A4">
    <w:name w:val="A4"/>
    <w:uiPriority w:val="99"/>
    <w:rsid w:val="00F97848"/>
    <w:rPr>
      <w:color w:val="000000"/>
      <w:sz w:val="20"/>
      <w:szCs w:val="20"/>
    </w:rPr>
  </w:style>
  <w:style w:type="table" w:customStyle="1" w:styleId="TableGrid2">
    <w:name w:val="Table Grid2"/>
    <w:basedOn w:val="TableNormal"/>
    <w:next w:val="TableGrid"/>
    <w:uiPriority w:val="59"/>
    <w:rsid w:val="0007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E321D"/>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739">
      <w:bodyDiv w:val="1"/>
      <w:marLeft w:val="0"/>
      <w:marRight w:val="0"/>
      <w:marTop w:val="0"/>
      <w:marBottom w:val="0"/>
      <w:divBdr>
        <w:top w:val="none" w:sz="0" w:space="0" w:color="auto"/>
        <w:left w:val="none" w:sz="0" w:space="0" w:color="auto"/>
        <w:bottom w:val="none" w:sz="0" w:space="0" w:color="auto"/>
        <w:right w:val="none" w:sz="0" w:space="0" w:color="auto"/>
      </w:divBdr>
    </w:div>
    <w:div w:id="106314549">
      <w:bodyDiv w:val="1"/>
      <w:marLeft w:val="0"/>
      <w:marRight w:val="0"/>
      <w:marTop w:val="0"/>
      <w:marBottom w:val="0"/>
      <w:divBdr>
        <w:top w:val="none" w:sz="0" w:space="0" w:color="auto"/>
        <w:left w:val="none" w:sz="0" w:space="0" w:color="auto"/>
        <w:bottom w:val="none" w:sz="0" w:space="0" w:color="auto"/>
        <w:right w:val="none" w:sz="0" w:space="0" w:color="auto"/>
      </w:divBdr>
    </w:div>
    <w:div w:id="224948314">
      <w:bodyDiv w:val="1"/>
      <w:marLeft w:val="0"/>
      <w:marRight w:val="0"/>
      <w:marTop w:val="0"/>
      <w:marBottom w:val="0"/>
      <w:divBdr>
        <w:top w:val="none" w:sz="0" w:space="0" w:color="auto"/>
        <w:left w:val="none" w:sz="0" w:space="0" w:color="auto"/>
        <w:bottom w:val="none" w:sz="0" w:space="0" w:color="auto"/>
        <w:right w:val="none" w:sz="0" w:space="0" w:color="auto"/>
      </w:divBdr>
    </w:div>
    <w:div w:id="247229606">
      <w:bodyDiv w:val="1"/>
      <w:marLeft w:val="0"/>
      <w:marRight w:val="0"/>
      <w:marTop w:val="0"/>
      <w:marBottom w:val="0"/>
      <w:divBdr>
        <w:top w:val="none" w:sz="0" w:space="0" w:color="auto"/>
        <w:left w:val="none" w:sz="0" w:space="0" w:color="auto"/>
        <w:bottom w:val="none" w:sz="0" w:space="0" w:color="auto"/>
        <w:right w:val="none" w:sz="0" w:space="0" w:color="auto"/>
      </w:divBdr>
    </w:div>
    <w:div w:id="272715044">
      <w:bodyDiv w:val="1"/>
      <w:marLeft w:val="0"/>
      <w:marRight w:val="0"/>
      <w:marTop w:val="0"/>
      <w:marBottom w:val="0"/>
      <w:divBdr>
        <w:top w:val="none" w:sz="0" w:space="0" w:color="auto"/>
        <w:left w:val="none" w:sz="0" w:space="0" w:color="auto"/>
        <w:bottom w:val="none" w:sz="0" w:space="0" w:color="auto"/>
        <w:right w:val="none" w:sz="0" w:space="0" w:color="auto"/>
      </w:divBdr>
    </w:div>
    <w:div w:id="284192384">
      <w:bodyDiv w:val="1"/>
      <w:marLeft w:val="0"/>
      <w:marRight w:val="0"/>
      <w:marTop w:val="0"/>
      <w:marBottom w:val="0"/>
      <w:divBdr>
        <w:top w:val="none" w:sz="0" w:space="0" w:color="auto"/>
        <w:left w:val="none" w:sz="0" w:space="0" w:color="auto"/>
        <w:bottom w:val="none" w:sz="0" w:space="0" w:color="auto"/>
        <w:right w:val="none" w:sz="0" w:space="0" w:color="auto"/>
      </w:divBdr>
    </w:div>
    <w:div w:id="304548100">
      <w:bodyDiv w:val="1"/>
      <w:marLeft w:val="0"/>
      <w:marRight w:val="0"/>
      <w:marTop w:val="0"/>
      <w:marBottom w:val="0"/>
      <w:divBdr>
        <w:top w:val="none" w:sz="0" w:space="0" w:color="auto"/>
        <w:left w:val="none" w:sz="0" w:space="0" w:color="auto"/>
        <w:bottom w:val="none" w:sz="0" w:space="0" w:color="auto"/>
        <w:right w:val="none" w:sz="0" w:space="0" w:color="auto"/>
      </w:divBdr>
    </w:div>
    <w:div w:id="315450674">
      <w:bodyDiv w:val="1"/>
      <w:marLeft w:val="0"/>
      <w:marRight w:val="0"/>
      <w:marTop w:val="0"/>
      <w:marBottom w:val="0"/>
      <w:divBdr>
        <w:top w:val="none" w:sz="0" w:space="0" w:color="auto"/>
        <w:left w:val="none" w:sz="0" w:space="0" w:color="auto"/>
        <w:bottom w:val="none" w:sz="0" w:space="0" w:color="auto"/>
        <w:right w:val="none" w:sz="0" w:space="0" w:color="auto"/>
      </w:divBdr>
    </w:div>
    <w:div w:id="321080198">
      <w:bodyDiv w:val="1"/>
      <w:marLeft w:val="0"/>
      <w:marRight w:val="0"/>
      <w:marTop w:val="0"/>
      <w:marBottom w:val="0"/>
      <w:divBdr>
        <w:top w:val="none" w:sz="0" w:space="0" w:color="auto"/>
        <w:left w:val="none" w:sz="0" w:space="0" w:color="auto"/>
        <w:bottom w:val="none" w:sz="0" w:space="0" w:color="auto"/>
        <w:right w:val="none" w:sz="0" w:space="0" w:color="auto"/>
      </w:divBdr>
    </w:div>
    <w:div w:id="423645470">
      <w:bodyDiv w:val="1"/>
      <w:marLeft w:val="0"/>
      <w:marRight w:val="0"/>
      <w:marTop w:val="0"/>
      <w:marBottom w:val="0"/>
      <w:divBdr>
        <w:top w:val="none" w:sz="0" w:space="0" w:color="auto"/>
        <w:left w:val="none" w:sz="0" w:space="0" w:color="auto"/>
        <w:bottom w:val="none" w:sz="0" w:space="0" w:color="auto"/>
        <w:right w:val="none" w:sz="0" w:space="0" w:color="auto"/>
      </w:divBdr>
    </w:div>
    <w:div w:id="425926603">
      <w:bodyDiv w:val="1"/>
      <w:marLeft w:val="0"/>
      <w:marRight w:val="0"/>
      <w:marTop w:val="0"/>
      <w:marBottom w:val="0"/>
      <w:divBdr>
        <w:top w:val="none" w:sz="0" w:space="0" w:color="auto"/>
        <w:left w:val="none" w:sz="0" w:space="0" w:color="auto"/>
        <w:bottom w:val="none" w:sz="0" w:space="0" w:color="auto"/>
        <w:right w:val="none" w:sz="0" w:space="0" w:color="auto"/>
      </w:divBdr>
    </w:div>
    <w:div w:id="573398438">
      <w:bodyDiv w:val="1"/>
      <w:marLeft w:val="0"/>
      <w:marRight w:val="0"/>
      <w:marTop w:val="0"/>
      <w:marBottom w:val="0"/>
      <w:divBdr>
        <w:top w:val="none" w:sz="0" w:space="0" w:color="auto"/>
        <w:left w:val="none" w:sz="0" w:space="0" w:color="auto"/>
        <w:bottom w:val="none" w:sz="0" w:space="0" w:color="auto"/>
        <w:right w:val="none" w:sz="0" w:space="0" w:color="auto"/>
      </w:divBdr>
    </w:div>
    <w:div w:id="636105738">
      <w:bodyDiv w:val="1"/>
      <w:marLeft w:val="0"/>
      <w:marRight w:val="0"/>
      <w:marTop w:val="0"/>
      <w:marBottom w:val="0"/>
      <w:divBdr>
        <w:top w:val="none" w:sz="0" w:space="0" w:color="auto"/>
        <w:left w:val="none" w:sz="0" w:space="0" w:color="auto"/>
        <w:bottom w:val="none" w:sz="0" w:space="0" w:color="auto"/>
        <w:right w:val="none" w:sz="0" w:space="0" w:color="auto"/>
      </w:divBdr>
    </w:div>
    <w:div w:id="680667323">
      <w:bodyDiv w:val="1"/>
      <w:marLeft w:val="0"/>
      <w:marRight w:val="0"/>
      <w:marTop w:val="0"/>
      <w:marBottom w:val="0"/>
      <w:divBdr>
        <w:top w:val="none" w:sz="0" w:space="0" w:color="auto"/>
        <w:left w:val="none" w:sz="0" w:space="0" w:color="auto"/>
        <w:bottom w:val="none" w:sz="0" w:space="0" w:color="auto"/>
        <w:right w:val="none" w:sz="0" w:space="0" w:color="auto"/>
      </w:divBdr>
    </w:div>
    <w:div w:id="739671874">
      <w:bodyDiv w:val="1"/>
      <w:marLeft w:val="0"/>
      <w:marRight w:val="0"/>
      <w:marTop w:val="0"/>
      <w:marBottom w:val="0"/>
      <w:divBdr>
        <w:top w:val="none" w:sz="0" w:space="0" w:color="auto"/>
        <w:left w:val="none" w:sz="0" w:space="0" w:color="auto"/>
        <w:bottom w:val="none" w:sz="0" w:space="0" w:color="auto"/>
        <w:right w:val="none" w:sz="0" w:space="0" w:color="auto"/>
      </w:divBdr>
    </w:div>
    <w:div w:id="754211072">
      <w:bodyDiv w:val="1"/>
      <w:marLeft w:val="0"/>
      <w:marRight w:val="0"/>
      <w:marTop w:val="0"/>
      <w:marBottom w:val="0"/>
      <w:divBdr>
        <w:top w:val="none" w:sz="0" w:space="0" w:color="auto"/>
        <w:left w:val="none" w:sz="0" w:space="0" w:color="auto"/>
        <w:bottom w:val="none" w:sz="0" w:space="0" w:color="auto"/>
        <w:right w:val="none" w:sz="0" w:space="0" w:color="auto"/>
      </w:divBdr>
    </w:div>
    <w:div w:id="879785770">
      <w:bodyDiv w:val="1"/>
      <w:marLeft w:val="0"/>
      <w:marRight w:val="0"/>
      <w:marTop w:val="0"/>
      <w:marBottom w:val="0"/>
      <w:divBdr>
        <w:top w:val="none" w:sz="0" w:space="0" w:color="auto"/>
        <w:left w:val="none" w:sz="0" w:space="0" w:color="auto"/>
        <w:bottom w:val="none" w:sz="0" w:space="0" w:color="auto"/>
        <w:right w:val="none" w:sz="0" w:space="0" w:color="auto"/>
      </w:divBdr>
    </w:div>
    <w:div w:id="934173698">
      <w:bodyDiv w:val="1"/>
      <w:marLeft w:val="0"/>
      <w:marRight w:val="0"/>
      <w:marTop w:val="0"/>
      <w:marBottom w:val="0"/>
      <w:divBdr>
        <w:top w:val="none" w:sz="0" w:space="0" w:color="auto"/>
        <w:left w:val="none" w:sz="0" w:space="0" w:color="auto"/>
        <w:bottom w:val="none" w:sz="0" w:space="0" w:color="auto"/>
        <w:right w:val="none" w:sz="0" w:space="0" w:color="auto"/>
      </w:divBdr>
    </w:div>
    <w:div w:id="1054044382">
      <w:bodyDiv w:val="1"/>
      <w:marLeft w:val="0"/>
      <w:marRight w:val="0"/>
      <w:marTop w:val="0"/>
      <w:marBottom w:val="0"/>
      <w:divBdr>
        <w:top w:val="none" w:sz="0" w:space="0" w:color="auto"/>
        <w:left w:val="none" w:sz="0" w:space="0" w:color="auto"/>
        <w:bottom w:val="none" w:sz="0" w:space="0" w:color="auto"/>
        <w:right w:val="none" w:sz="0" w:space="0" w:color="auto"/>
      </w:divBdr>
    </w:div>
    <w:div w:id="1100762402">
      <w:bodyDiv w:val="1"/>
      <w:marLeft w:val="0"/>
      <w:marRight w:val="0"/>
      <w:marTop w:val="0"/>
      <w:marBottom w:val="0"/>
      <w:divBdr>
        <w:top w:val="none" w:sz="0" w:space="0" w:color="auto"/>
        <w:left w:val="none" w:sz="0" w:space="0" w:color="auto"/>
        <w:bottom w:val="none" w:sz="0" w:space="0" w:color="auto"/>
        <w:right w:val="none" w:sz="0" w:space="0" w:color="auto"/>
      </w:divBdr>
    </w:div>
    <w:div w:id="1188786150">
      <w:bodyDiv w:val="1"/>
      <w:marLeft w:val="0"/>
      <w:marRight w:val="0"/>
      <w:marTop w:val="0"/>
      <w:marBottom w:val="0"/>
      <w:divBdr>
        <w:top w:val="none" w:sz="0" w:space="0" w:color="auto"/>
        <w:left w:val="none" w:sz="0" w:space="0" w:color="auto"/>
        <w:bottom w:val="none" w:sz="0" w:space="0" w:color="auto"/>
        <w:right w:val="none" w:sz="0" w:space="0" w:color="auto"/>
      </w:divBdr>
    </w:div>
    <w:div w:id="1231421934">
      <w:bodyDiv w:val="1"/>
      <w:marLeft w:val="0"/>
      <w:marRight w:val="0"/>
      <w:marTop w:val="0"/>
      <w:marBottom w:val="0"/>
      <w:divBdr>
        <w:top w:val="none" w:sz="0" w:space="0" w:color="auto"/>
        <w:left w:val="none" w:sz="0" w:space="0" w:color="auto"/>
        <w:bottom w:val="none" w:sz="0" w:space="0" w:color="auto"/>
        <w:right w:val="none" w:sz="0" w:space="0" w:color="auto"/>
      </w:divBdr>
    </w:div>
    <w:div w:id="1251163162">
      <w:bodyDiv w:val="1"/>
      <w:marLeft w:val="0"/>
      <w:marRight w:val="0"/>
      <w:marTop w:val="0"/>
      <w:marBottom w:val="0"/>
      <w:divBdr>
        <w:top w:val="none" w:sz="0" w:space="0" w:color="auto"/>
        <w:left w:val="none" w:sz="0" w:space="0" w:color="auto"/>
        <w:bottom w:val="none" w:sz="0" w:space="0" w:color="auto"/>
        <w:right w:val="none" w:sz="0" w:space="0" w:color="auto"/>
      </w:divBdr>
    </w:div>
    <w:div w:id="1257862529">
      <w:bodyDiv w:val="1"/>
      <w:marLeft w:val="0"/>
      <w:marRight w:val="0"/>
      <w:marTop w:val="0"/>
      <w:marBottom w:val="0"/>
      <w:divBdr>
        <w:top w:val="none" w:sz="0" w:space="0" w:color="auto"/>
        <w:left w:val="none" w:sz="0" w:space="0" w:color="auto"/>
        <w:bottom w:val="none" w:sz="0" w:space="0" w:color="auto"/>
        <w:right w:val="none" w:sz="0" w:space="0" w:color="auto"/>
      </w:divBdr>
    </w:div>
    <w:div w:id="1287080778">
      <w:bodyDiv w:val="1"/>
      <w:marLeft w:val="0"/>
      <w:marRight w:val="0"/>
      <w:marTop w:val="0"/>
      <w:marBottom w:val="0"/>
      <w:divBdr>
        <w:top w:val="none" w:sz="0" w:space="0" w:color="auto"/>
        <w:left w:val="none" w:sz="0" w:space="0" w:color="auto"/>
        <w:bottom w:val="none" w:sz="0" w:space="0" w:color="auto"/>
        <w:right w:val="none" w:sz="0" w:space="0" w:color="auto"/>
      </w:divBdr>
    </w:div>
    <w:div w:id="1305768469">
      <w:bodyDiv w:val="1"/>
      <w:marLeft w:val="0"/>
      <w:marRight w:val="0"/>
      <w:marTop w:val="0"/>
      <w:marBottom w:val="0"/>
      <w:divBdr>
        <w:top w:val="none" w:sz="0" w:space="0" w:color="auto"/>
        <w:left w:val="none" w:sz="0" w:space="0" w:color="auto"/>
        <w:bottom w:val="none" w:sz="0" w:space="0" w:color="auto"/>
        <w:right w:val="none" w:sz="0" w:space="0" w:color="auto"/>
      </w:divBdr>
    </w:div>
    <w:div w:id="1442914070">
      <w:bodyDiv w:val="1"/>
      <w:marLeft w:val="0"/>
      <w:marRight w:val="0"/>
      <w:marTop w:val="0"/>
      <w:marBottom w:val="0"/>
      <w:divBdr>
        <w:top w:val="none" w:sz="0" w:space="0" w:color="auto"/>
        <w:left w:val="none" w:sz="0" w:space="0" w:color="auto"/>
        <w:bottom w:val="none" w:sz="0" w:space="0" w:color="auto"/>
        <w:right w:val="none" w:sz="0" w:space="0" w:color="auto"/>
      </w:divBdr>
    </w:div>
    <w:div w:id="1467772938">
      <w:bodyDiv w:val="1"/>
      <w:marLeft w:val="0"/>
      <w:marRight w:val="0"/>
      <w:marTop w:val="0"/>
      <w:marBottom w:val="0"/>
      <w:divBdr>
        <w:top w:val="none" w:sz="0" w:space="0" w:color="auto"/>
        <w:left w:val="none" w:sz="0" w:space="0" w:color="auto"/>
        <w:bottom w:val="none" w:sz="0" w:space="0" w:color="auto"/>
        <w:right w:val="none" w:sz="0" w:space="0" w:color="auto"/>
      </w:divBdr>
    </w:div>
    <w:div w:id="1507554400">
      <w:bodyDiv w:val="1"/>
      <w:marLeft w:val="0"/>
      <w:marRight w:val="0"/>
      <w:marTop w:val="0"/>
      <w:marBottom w:val="0"/>
      <w:divBdr>
        <w:top w:val="none" w:sz="0" w:space="0" w:color="auto"/>
        <w:left w:val="none" w:sz="0" w:space="0" w:color="auto"/>
        <w:bottom w:val="none" w:sz="0" w:space="0" w:color="auto"/>
        <w:right w:val="none" w:sz="0" w:space="0" w:color="auto"/>
      </w:divBdr>
    </w:div>
    <w:div w:id="1532574924">
      <w:bodyDiv w:val="1"/>
      <w:marLeft w:val="0"/>
      <w:marRight w:val="0"/>
      <w:marTop w:val="0"/>
      <w:marBottom w:val="0"/>
      <w:divBdr>
        <w:top w:val="none" w:sz="0" w:space="0" w:color="auto"/>
        <w:left w:val="none" w:sz="0" w:space="0" w:color="auto"/>
        <w:bottom w:val="none" w:sz="0" w:space="0" w:color="auto"/>
        <w:right w:val="none" w:sz="0" w:space="0" w:color="auto"/>
      </w:divBdr>
    </w:div>
    <w:div w:id="1545366712">
      <w:bodyDiv w:val="1"/>
      <w:marLeft w:val="0"/>
      <w:marRight w:val="0"/>
      <w:marTop w:val="0"/>
      <w:marBottom w:val="0"/>
      <w:divBdr>
        <w:top w:val="none" w:sz="0" w:space="0" w:color="auto"/>
        <w:left w:val="none" w:sz="0" w:space="0" w:color="auto"/>
        <w:bottom w:val="none" w:sz="0" w:space="0" w:color="auto"/>
        <w:right w:val="none" w:sz="0" w:space="0" w:color="auto"/>
      </w:divBdr>
    </w:div>
    <w:div w:id="1588803911">
      <w:bodyDiv w:val="1"/>
      <w:marLeft w:val="0"/>
      <w:marRight w:val="0"/>
      <w:marTop w:val="0"/>
      <w:marBottom w:val="0"/>
      <w:divBdr>
        <w:top w:val="none" w:sz="0" w:space="0" w:color="auto"/>
        <w:left w:val="none" w:sz="0" w:space="0" w:color="auto"/>
        <w:bottom w:val="none" w:sz="0" w:space="0" w:color="auto"/>
        <w:right w:val="none" w:sz="0" w:space="0" w:color="auto"/>
      </w:divBdr>
    </w:div>
    <w:div w:id="1606965103">
      <w:bodyDiv w:val="1"/>
      <w:marLeft w:val="0"/>
      <w:marRight w:val="0"/>
      <w:marTop w:val="0"/>
      <w:marBottom w:val="0"/>
      <w:divBdr>
        <w:top w:val="none" w:sz="0" w:space="0" w:color="auto"/>
        <w:left w:val="none" w:sz="0" w:space="0" w:color="auto"/>
        <w:bottom w:val="none" w:sz="0" w:space="0" w:color="auto"/>
        <w:right w:val="none" w:sz="0" w:space="0" w:color="auto"/>
      </w:divBdr>
    </w:div>
    <w:div w:id="1642614060">
      <w:bodyDiv w:val="1"/>
      <w:marLeft w:val="0"/>
      <w:marRight w:val="0"/>
      <w:marTop w:val="0"/>
      <w:marBottom w:val="0"/>
      <w:divBdr>
        <w:top w:val="none" w:sz="0" w:space="0" w:color="auto"/>
        <w:left w:val="none" w:sz="0" w:space="0" w:color="auto"/>
        <w:bottom w:val="none" w:sz="0" w:space="0" w:color="auto"/>
        <w:right w:val="none" w:sz="0" w:space="0" w:color="auto"/>
      </w:divBdr>
    </w:div>
    <w:div w:id="1725323909">
      <w:bodyDiv w:val="1"/>
      <w:marLeft w:val="0"/>
      <w:marRight w:val="0"/>
      <w:marTop w:val="0"/>
      <w:marBottom w:val="0"/>
      <w:divBdr>
        <w:top w:val="none" w:sz="0" w:space="0" w:color="auto"/>
        <w:left w:val="none" w:sz="0" w:space="0" w:color="auto"/>
        <w:bottom w:val="none" w:sz="0" w:space="0" w:color="auto"/>
        <w:right w:val="none" w:sz="0" w:space="0" w:color="auto"/>
      </w:divBdr>
    </w:div>
    <w:div w:id="1734739071">
      <w:bodyDiv w:val="1"/>
      <w:marLeft w:val="0"/>
      <w:marRight w:val="0"/>
      <w:marTop w:val="0"/>
      <w:marBottom w:val="0"/>
      <w:divBdr>
        <w:top w:val="none" w:sz="0" w:space="0" w:color="auto"/>
        <w:left w:val="none" w:sz="0" w:space="0" w:color="auto"/>
        <w:bottom w:val="none" w:sz="0" w:space="0" w:color="auto"/>
        <w:right w:val="none" w:sz="0" w:space="0" w:color="auto"/>
      </w:divBdr>
    </w:div>
    <w:div w:id="1761215441">
      <w:bodyDiv w:val="1"/>
      <w:marLeft w:val="0"/>
      <w:marRight w:val="0"/>
      <w:marTop w:val="0"/>
      <w:marBottom w:val="0"/>
      <w:divBdr>
        <w:top w:val="none" w:sz="0" w:space="0" w:color="auto"/>
        <w:left w:val="none" w:sz="0" w:space="0" w:color="auto"/>
        <w:bottom w:val="none" w:sz="0" w:space="0" w:color="auto"/>
        <w:right w:val="none" w:sz="0" w:space="0" w:color="auto"/>
      </w:divBdr>
    </w:div>
    <w:div w:id="1933080539">
      <w:bodyDiv w:val="1"/>
      <w:marLeft w:val="0"/>
      <w:marRight w:val="0"/>
      <w:marTop w:val="0"/>
      <w:marBottom w:val="0"/>
      <w:divBdr>
        <w:top w:val="none" w:sz="0" w:space="0" w:color="auto"/>
        <w:left w:val="none" w:sz="0" w:space="0" w:color="auto"/>
        <w:bottom w:val="none" w:sz="0" w:space="0" w:color="auto"/>
        <w:right w:val="none" w:sz="0" w:space="0" w:color="auto"/>
      </w:divBdr>
    </w:div>
    <w:div w:id="1995334074">
      <w:bodyDiv w:val="1"/>
      <w:marLeft w:val="0"/>
      <w:marRight w:val="0"/>
      <w:marTop w:val="0"/>
      <w:marBottom w:val="0"/>
      <w:divBdr>
        <w:top w:val="none" w:sz="0" w:space="0" w:color="auto"/>
        <w:left w:val="none" w:sz="0" w:space="0" w:color="auto"/>
        <w:bottom w:val="none" w:sz="0" w:space="0" w:color="auto"/>
        <w:right w:val="none" w:sz="0" w:space="0" w:color="auto"/>
      </w:divBdr>
    </w:div>
    <w:div w:id="2018921615">
      <w:bodyDiv w:val="1"/>
      <w:marLeft w:val="0"/>
      <w:marRight w:val="0"/>
      <w:marTop w:val="0"/>
      <w:marBottom w:val="0"/>
      <w:divBdr>
        <w:top w:val="none" w:sz="0" w:space="0" w:color="auto"/>
        <w:left w:val="none" w:sz="0" w:space="0" w:color="auto"/>
        <w:bottom w:val="none" w:sz="0" w:space="0" w:color="auto"/>
        <w:right w:val="none" w:sz="0" w:space="0" w:color="auto"/>
      </w:divBdr>
    </w:div>
    <w:div w:id="2029133521">
      <w:bodyDiv w:val="1"/>
      <w:marLeft w:val="0"/>
      <w:marRight w:val="0"/>
      <w:marTop w:val="0"/>
      <w:marBottom w:val="0"/>
      <w:divBdr>
        <w:top w:val="none" w:sz="0" w:space="0" w:color="auto"/>
        <w:left w:val="none" w:sz="0" w:space="0" w:color="auto"/>
        <w:bottom w:val="none" w:sz="0" w:space="0" w:color="auto"/>
        <w:right w:val="none" w:sz="0" w:space="0" w:color="auto"/>
      </w:divBdr>
    </w:div>
    <w:div w:id="2038196173">
      <w:bodyDiv w:val="1"/>
      <w:marLeft w:val="0"/>
      <w:marRight w:val="0"/>
      <w:marTop w:val="0"/>
      <w:marBottom w:val="0"/>
      <w:divBdr>
        <w:top w:val="none" w:sz="0" w:space="0" w:color="auto"/>
        <w:left w:val="none" w:sz="0" w:space="0" w:color="auto"/>
        <w:bottom w:val="none" w:sz="0" w:space="0" w:color="auto"/>
        <w:right w:val="none" w:sz="0" w:space="0" w:color="auto"/>
      </w:divBdr>
    </w:div>
    <w:div w:id="2062827878">
      <w:bodyDiv w:val="1"/>
      <w:marLeft w:val="0"/>
      <w:marRight w:val="0"/>
      <w:marTop w:val="0"/>
      <w:marBottom w:val="0"/>
      <w:divBdr>
        <w:top w:val="none" w:sz="0" w:space="0" w:color="auto"/>
        <w:left w:val="none" w:sz="0" w:space="0" w:color="auto"/>
        <w:bottom w:val="none" w:sz="0" w:space="0" w:color="auto"/>
        <w:right w:val="none" w:sz="0" w:space="0" w:color="auto"/>
      </w:divBdr>
    </w:div>
    <w:div w:id="2077506836">
      <w:bodyDiv w:val="1"/>
      <w:marLeft w:val="0"/>
      <w:marRight w:val="0"/>
      <w:marTop w:val="0"/>
      <w:marBottom w:val="0"/>
      <w:divBdr>
        <w:top w:val="none" w:sz="0" w:space="0" w:color="auto"/>
        <w:left w:val="none" w:sz="0" w:space="0" w:color="auto"/>
        <w:bottom w:val="none" w:sz="0" w:space="0" w:color="auto"/>
        <w:right w:val="none" w:sz="0" w:space="0" w:color="auto"/>
      </w:divBdr>
    </w:div>
    <w:div w:id="21305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image" Target="media/image7.emf"/><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image" Target="media/image8.emf"/><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image" Target="media/image9.emf"/><Relationship Id="rId53" Type="http://schemas.openxmlformats.org/officeDocument/2006/relationships/hyperlink" Target="http://www.pacificorp.com/es/dsm/washington.html" TargetMode="External"/><Relationship Id="rId5"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header" Target="header2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image" Target="media/image6.emf"/><Relationship Id="rId46" Type="http://schemas.openxmlformats.org/officeDocument/2006/relationships/image" Target="media/image10.emf"/><Relationship Id="rId20" Type="http://schemas.openxmlformats.org/officeDocument/2006/relationships/footer" Target="footer3.xml"/><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4.xml"/><Relationship Id="rId57" Type="http://schemas.openxmlformats.org/officeDocument/2006/relationships/customXml" Target="../customXml/item5.xml"/><Relationship Id="rId10" Type="http://schemas.openxmlformats.org/officeDocument/2006/relationships/endnotes" Target="endnotes.xml"/><Relationship Id="rId31" Type="http://schemas.openxmlformats.org/officeDocument/2006/relationships/image" Target="media/image5.emf"/><Relationship Id="rId44" Type="http://schemas.openxmlformats.org/officeDocument/2006/relationships/hyperlink" Target="http://www.pacificorp.com/es/dsm/washington.html" TargetMode="External"/><Relationship Id="rId52" Type="http://schemas.openxmlformats.org/officeDocument/2006/relationships/header" Target="header27.xml"/></Relationships>
</file>

<file path=word/_rels/footnotes.xml.rels><?xml version="1.0" encoding="UTF-8" standalone="yes"?>
<Relationships xmlns="http://schemas.openxmlformats.org/package/2006/relationships"><Relationship Id="rId8" Type="http://schemas.openxmlformats.org/officeDocument/2006/relationships/hyperlink" Target="http://www.pacificorp.com/es/dsm/washington.html" TargetMode="External"/><Relationship Id="rId3" Type="http://schemas.openxmlformats.org/officeDocument/2006/relationships/hyperlink" Target="http://www.commerce.wa.gov/Documents/HIP-Weatherization-2015-Income-Eligibility-Guidelines.pdf" TargetMode="External"/><Relationship Id="rId7" Type="http://schemas.openxmlformats.org/officeDocument/2006/relationships/hyperlink" Target="http://pacificpower-tradeally.energyefficiencyalliance.net/tradeally/jspx/Contractor_Search/ContractorSearch.jspx" TargetMode="External"/><Relationship Id="rId2" Type="http://schemas.openxmlformats.org/officeDocument/2006/relationships/hyperlink" Target="http://www.pacificorp.com/es/dsm.html" TargetMode="External"/><Relationship Id="rId1" Type="http://schemas.openxmlformats.org/officeDocument/2006/relationships/hyperlink" Target="http://www.pacificorp.com/es/irp.html" TargetMode="External"/><Relationship Id="rId6" Type="http://schemas.openxmlformats.org/officeDocument/2006/relationships/hyperlink" Target="https://www.pacificpower.net/content/dam/pacific_power/doc/Business/Save_Energy_Money/WA_wattsmartBusiness_Incentive_tables_information.pdf" TargetMode="External"/><Relationship Id="rId5" Type="http://schemas.openxmlformats.org/officeDocument/2006/relationships/hyperlink" Target="https://www.pacificpower.net/content/dam/pacific_power/doc/Business/Save_Energy_Money/WA_wattsmartBusiness_Brochure.pdf" TargetMode="External"/><Relationship Id="rId4" Type="http://schemas.openxmlformats.org/officeDocument/2006/relationships/hyperlink" Target="http://www.pacificorp.com/es/dsm/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20367B-961B-4121-A1E4-7BBC1B97E18E}"/>
</file>

<file path=customXml/itemProps2.xml><?xml version="1.0" encoding="utf-8"?>
<ds:datastoreItem xmlns:ds="http://schemas.openxmlformats.org/officeDocument/2006/customXml" ds:itemID="{7B917BA1-3E26-49D2-9312-34094556B741}"/>
</file>

<file path=customXml/itemProps3.xml><?xml version="1.0" encoding="utf-8"?>
<ds:datastoreItem xmlns:ds="http://schemas.openxmlformats.org/officeDocument/2006/customXml" ds:itemID="{EC6A15C1-0EE9-44DD-B742-8C6ADD4FCA2F}"/>
</file>

<file path=customXml/itemProps4.xml><?xml version="1.0" encoding="utf-8"?>
<ds:datastoreItem xmlns:ds="http://schemas.openxmlformats.org/officeDocument/2006/customXml" ds:itemID="{0C8581CE-D7F3-4C78-8EE0-71CD70ABAD32}"/>
</file>

<file path=customXml/itemProps5.xml><?xml version="1.0" encoding="utf-8"?>
<ds:datastoreItem xmlns:ds="http://schemas.openxmlformats.org/officeDocument/2006/customXml" ds:itemID="{F891CD68-FAFB-409E-9D48-417F8A63582A}"/>
</file>

<file path=docProps/app.xml><?xml version="1.0" encoding="utf-8"?>
<Properties xmlns="http://schemas.openxmlformats.org/officeDocument/2006/extended-properties" xmlns:vt="http://schemas.openxmlformats.org/officeDocument/2006/docPropsVTypes">
  <Template>Normal</Template>
  <TotalTime>0</TotalTime>
  <Pages>42</Pages>
  <Words>10109</Words>
  <Characters>57623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2016-06-06T16:28:00Z</dcterms:created>
  <dcterms:modified xsi:type="dcterms:W3CDTF">2016-06-06T16:28:00Z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