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1D" w:rsidRPr="00242F6B" w:rsidRDefault="00242F6B" w:rsidP="002F3037">
      <w:pPr>
        <w:pStyle w:val="NoSpacing"/>
        <w:spacing w:line="264" w:lineRule="auto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42F6B">
        <w:rPr>
          <w:b/>
          <w:sz w:val="20"/>
          <w:szCs w:val="20"/>
        </w:rPr>
        <w:t>[Service Date May 10, 2012]</w:t>
      </w:r>
    </w:p>
    <w:p w:rsidR="0040569D" w:rsidRDefault="0040569D" w:rsidP="002F3037">
      <w:pPr>
        <w:pStyle w:val="NoSpacing"/>
        <w:spacing w:line="264" w:lineRule="auto"/>
      </w:pPr>
    </w:p>
    <w:p w:rsidR="00A36C88" w:rsidRDefault="00A36C88" w:rsidP="002F3037">
      <w:pPr>
        <w:pStyle w:val="NoSpacing"/>
        <w:spacing w:line="264" w:lineRule="auto"/>
      </w:pPr>
      <w:bookmarkStart w:id="0" w:name="_GoBack"/>
      <w:bookmarkEnd w:id="0"/>
    </w:p>
    <w:p w:rsidR="00A36C88" w:rsidRDefault="00A36C88" w:rsidP="002F3037">
      <w:pPr>
        <w:pStyle w:val="NoSpacing"/>
        <w:spacing w:line="264" w:lineRule="auto"/>
      </w:pPr>
    </w:p>
    <w:p w:rsidR="00A36C88" w:rsidRDefault="00A36C88" w:rsidP="002F3037">
      <w:pPr>
        <w:pStyle w:val="NoSpacing"/>
        <w:spacing w:line="264" w:lineRule="auto"/>
      </w:pPr>
    </w:p>
    <w:p w:rsidR="00A36C88" w:rsidRDefault="00A36C88" w:rsidP="002F3037">
      <w:pPr>
        <w:pStyle w:val="NoSpacing"/>
        <w:spacing w:line="264" w:lineRule="auto"/>
        <w:jc w:val="center"/>
      </w:pPr>
      <w:r>
        <w:t>May 1</w:t>
      </w:r>
      <w:r w:rsidR="0040569D">
        <w:t>0</w:t>
      </w:r>
      <w:r>
        <w:t>, 2012</w:t>
      </w:r>
    </w:p>
    <w:p w:rsidR="00A36C88" w:rsidRDefault="00A36C88" w:rsidP="002F3037">
      <w:pPr>
        <w:pStyle w:val="NoSpacing"/>
        <w:spacing w:line="264" w:lineRule="auto"/>
      </w:pPr>
    </w:p>
    <w:p w:rsidR="00A36C88" w:rsidRDefault="00A36C88" w:rsidP="002F3037">
      <w:pPr>
        <w:pStyle w:val="NoSpacing"/>
        <w:spacing w:line="264" w:lineRule="auto"/>
      </w:pPr>
    </w:p>
    <w:p w:rsidR="00A36C88" w:rsidRPr="00A36C88" w:rsidRDefault="00A36C88" w:rsidP="002F3037">
      <w:pPr>
        <w:pStyle w:val="NoSpacing"/>
        <w:spacing w:line="264" w:lineRule="auto"/>
        <w:jc w:val="center"/>
        <w:rPr>
          <w:b/>
        </w:rPr>
      </w:pPr>
      <w:r w:rsidRPr="00A36C88">
        <w:rPr>
          <w:b/>
        </w:rPr>
        <w:t xml:space="preserve">NOTICE </w:t>
      </w:r>
      <w:r>
        <w:rPr>
          <w:b/>
        </w:rPr>
        <w:t>GRANTING MOTION FOR</w:t>
      </w:r>
      <w:r w:rsidRPr="00A36C88">
        <w:rPr>
          <w:b/>
        </w:rPr>
        <w:t xml:space="preserve"> EXTENSION OF TIME</w:t>
      </w:r>
    </w:p>
    <w:p w:rsidR="00A36C88" w:rsidRDefault="00A36C88" w:rsidP="002F3037">
      <w:pPr>
        <w:pStyle w:val="NoSpacing"/>
        <w:spacing w:line="264" w:lineRule="auto"/>
      </w:pPr>
    </w:p>
    <w:p w:rsidR="00A36C88" w:rsidRDefault="00A36C88" w:rsidP="002F3037">
      <w:pPr>
        <w:pStyle w:val="NoSpacing"/>
        <w:spacing w:line="264" w:lineRule="auto"/>
      </w:pPr>
    </w:p>
    <w:p w:rsidR="00A36C88" w:rsidRDefault="00A36C88" w:rsidP="002F3037">
      <w:pPr>
        <w:pStyle w:val="NoSpacing"/>
        <w:spacing w:line="264" w:lineRule="auto"/>
        <w:ind w:left="720" w:hanging="720"/>
      </w:pPr>
      <w:r>
        <w:t>Re:</w:t>
      </w:r>
      <w:r>
        <w:tab/>
      </w:r>
      <w:r w:rsidRPr="000461EE">
        <w:rPr>
          <w:i/>
        </w:rPr>
        <w:t>In the Matter of the Application of W</w:t>
      </w:r>
      <w:r>
        <w:rPr>
          <w:i/>
        </w:rPr>
        <w:t>ASTE MANAGEMENT, INC.</w:t>
      </w:r>
      <w:r w:rsidRPr="000461EE">
        <w:rPr>
          <w:i/>
        </w:rPr>
        <w:t>, d/b/a WM H</w:t>
      </w:r>
      <w:r>
        <w:rPr>
          <w:i/>
        </w:rPr>
        <w:t>EALTHCARE SOLUTIONS OF WASHINGTON</w:t>
      </w:r>
      <w:r w:rsidRPr="000461EE">
        <w:rPr>
          <w:i/>
        </w:rPr>
        <w:t xml:space="preserve"> </w:t>
      </w:r>
      <w:r>
        <w:rPr>
          <w:i/>
        </w:rPr>
        <w:t>F</w:t>
      </w:r>
      <w:r w:rsidRPr="000461EE">
        <w:rPr>
          <w:i/>
        </w:rPr>
        <w:t xml:space="preserve">or an Extension of Certificate G-237 </w:t>
      </w:r>
      <w:r>
        <w:rPr>
          <w:i/>
        </w:rPr>
        <w:t>F</w:t>
      </w:r>
      <w:r w:rsidRPr="000461EE">
        <w:rPr>
          <w:i/>
        </w:rPr>
        <w:t>or a Certificate of Public Convenience and Necessity to Operate Motor Vehicles in Furnishing Solid Waste Collection Services</w:t>
      </w:r>
      <w:r>
        <w:t>, Docket TG-120033</w:t>
      </w:r>
    </w:p>
    <w:p w:rsidR="00A36C88" w:rsidRDefault="00A36C88" w:rsidP="002F3037">
      <w:pPr>
        <w:pStyle w:val="NoSpacing"/>
        <w:spacing w:line="264" w:lineRule="auto"/>
      </w:pPr>
    </w:p>
    <w:p w:rsidR="00A36C88" w:rsidRDefault="00A36C88" w:rsidP="002F3037">
      <w:pPr>
        <w:pStyle w:val="NoSpacing"/>
        <w:spacing w:line="264" w:lineRule="auto"/>
      </w:pPr>
      <w:r>
        <w:t>TO ALL PARTIES:</w:t>
      </w:r>
    </w:p>
    <w:p w:rsidR="00A36C88" w:rsidRDefault="00A36C88" w:rsidP="002F3037">
      <w:pPr>
        <w:pStyle w:val="NoSpacing"/>
        <w:spacing w:line="264" w:lineRule="auto"/>
      </w:pPr>
    </w:p>
    <w:p w:rsidR="00A36C88" w:rsidRDefault="00A36C88" w:rsidP="002F3037">
      <w:pPr>
        <w:pStyle w:val="NoSpacing"/>
        <w:spacing w:line="264" w:lineRule="auto"/>
      </w:pPr>
      <w:r>
        <w:t>On April 16, 2012, the Washington Utilities and Transportation Commission (Commission) issued Order 01 – Prehearing Conference Order in the above-referenced docket establishing a procedural schedule.  On April 18, 2012, the Commission issued a notice revising the procedural schedule.</w:t>
      </w:r>
    </w:p>
    <w:p w:rsidR="00A36C88" w:rsidRDefault="00A36C88" w:rsidP="002F3037">
      <w:pPr>
        <w:pStyle w:val="NoSpacing"/>
        <w:spacing w:line="264" w:lineRule="auto"/>
      </w:pPr>
    </w:p>
    <w:p w:rsidR="002F3037" w:rsidRDefault="00A36C88" w:rsidP="002F3037">
      <w:pPr>
        <w:pStyle w:val="NoSpacing"/>
        <w:spacing w:line="264" w:lineRule="auto"/>
      </w:pPr>
      <w:r>
        <w:t>On May 9, 2012, counsel for Stericycle of Washington, Inc. (Stericyle) filed with the Commission a Motion for Extension of Time.  Stericycle requests (1) a one-day extension of time to file a response to Waste Management’s Motion for Summary Determination, (2) a two-week extension of time to file initial briefs on preliminary legal issues</w:t>
      </w:r>
      <w:r w:rsidR="00AF505C">
        <w:t>;</w:t>
      </w:r>
      <w:r>
        <w:t xml:space="preserve"> and (3) a ten-day extension</w:t>
      </w:r>
      <w:r w:rsidR="00AF505C">
        <w:t xml:space="preserve"> of time</w:t>
      </w:r>
      <w:r>
        <w:t xml:space="preserve"> to file responsive briefs.  </w:t>
      </w:r>
      <w:r w:rsidR="002F3037">
        <w:t xml:space="preserve">Stericycle states that the extra time is needed due to </w:t>
      </w:r>
      <w:r w:rsidR="00AF505C">
        <w:t xml:space="preserve">the recent filing by Waste Management of a </w:t>
      </w:r>
      <w:r w:rsidR="002F3037">
        <w:t xml:space="preserve">Motion for Summary Determination and the scheduling complications created by that motion.  </w:t>
      </w:r>
      <w:r>
        <w:t xml:space="preserve">Stericycle </w:t>
      </w:r>
      <w:r w:rsidR="00AF505C">
        <w:t>indicates</w:t>
      </w:r>
      <w:r>
        <w:t xml:space="preserve"> that </w:t>
      </w:r>
      <w:r w:rsidR="002F3037">
        <w:t>all parties have agreed to the requested extension.  The Commission finds that Stericycle has demonstrated good cause to extend the filing deadlines and grants the request as follows:</w:t>
      </w:r>
    </w:p>
    <w:p w:rsidR="002F3037" w:rsidRDefault="002F3037" w:rsidP="002F3037">
      <w:pPr>
        <w:pStyle w:val="NoSpacing"/>
        <w:spacing w:line="264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2610"/>
        <w:gridCol w:w="2448"/>
      </w:tblGrid>
      <w:tr w:rsidR="002F3037" w:rsidRPr="002F3037" w:rsidTr="002F3037">
        <w:tc>
          <w:tcPr>
            <w:tcW w:w="4158" w:type="dxa"/>
            <w:shd w:val="pct12" w:color="auto" w:fill="auto"/>
          </w:tcPr>
          <w:p w:rsidR="002F3037" w:rsidRPr="002F3037" w:rsidRDefault="002F3037" w:rsidP="00AF505C">
            <w:pPr>
              <w:pStyle w:val="NoSpacing"/>
              <w:spacing w:line="264" w:lineRule="auto"/>
              <w:jc w:val="center"/>
              <w:rPr>
                <w:b/>
              </w:rPr>
            </w:pPr>
            <w:r w:rsidRPr="002F3037">
              <w:rPr>
                <w:b/>
              </w:rPr>
              <w:t>Event</w:t>
            </w:r>
          </w:p>
        </w:tc>
        <w:tc>
          <w:tcPr>
            <w:tcW w:w="2610" w:type="dxa"/>
            <w:shd w:val="pct12" w:color="auto" w:fill="auto"/>
          </w:tcPr>
          <w:p w:rsidR="002F3037" w:rsidRPr="002F3037" w:rsidRDefault="002F3037" w:rsidP="00AF505C">
            <w:pPr>
              <w:pStyle w:val="NoSpacing"/>
              <w:spacing w:line="264" w:lineRule="auto"/>
              <w:jc w:val="center"/>
              <w:rPr>
                <w:b/>
              </w:rPr>
            </w:pPr>
            <w:r w:rsidRPr="002F3037">
              <w:rPr>
                <w:b/>
              </w:rPr>
              <w:t>Prior Deadline</w:t>
            </w:r>
          </w:p>
        </w:tc>
        <w:tc>
          <w:tcPr>
            <w:tcW w:w="2448" w:type="dxa"/>
            <w:shd w:val="pct12" w:color="auto" w:fill="auto"/>
          </w:tcPr>
          <w:p w:rsidR="002F3037" w:rsidRPr="002F3037" w:rsidRDefault="002F3037" w:rsidP="00AF505C">
            <w:pPr>
              <w:pStyle w:val="NoSpacing"/>
              <w:spacing w:line="264" w:lineRule="auto"/>
              <w:jc w:val="center"/>
              <w:rPr>
                <w:b/>
              </w:rPr>
            </w:pPr>
            <w:r w:rsidRPr="002F3037">
              <w:rPr>
                <w:b/>
              </w:rPr>
              <w:t>New Deadline</w:t>
            </w:r>
          </w:p>
        </w:tc>
      </w:tr>
      <w:tr w:rsidR="002F3037" w:rsidTr="002F3037">
        <w:tc>
          <w:tcPr>
            <w:tcW w:w="4158" w:type="dxa"/>
          </w:tcPr>
          <w:p w:rsidR="002F3037" w:rsidRDefault="002F3037" w:rsidP="00135A34">
            <w:pPr>
              <w:pStyle w:val="NoSpacing"/>
              <w:spacing w:line="264" w:lineRule="auto"/>
            </w:pPr>
            <w:r>
              <w:t>Response to Waste Management’s Motion for Summary Determination</w:t>
            </w:r>
          </w:p>
        </w:tc>
        <w:tc>
          <w:tcPr>
            <w:tcW w:w="2610" w:type="dxa"/>
          </w:tcPr>
          <w:p w:rsidR="00135A34" w:rsidRDefault="002F3037" w:rsidP="00135A34">
            <w:pPr>
              <w:pStyle w:val="NoSpacing"/>
              <w:spacing w:line="264" w:lineRule="auto"/>
              <w:jc w:val="center"/>
            </w:pPr>
            <w:r>
              <w:t>May 24, 2012</w:t>
            </w:r>
          </w:p>
        </w:tc>
        <w:tc>
          <w:tcPr>
            <w:tcW w:w="2448" w:type="dxa"/>
          </w:tcPr>
          <w:p w:rsidR="002F3037" w:rsidRDefault="002F3037" w:rsidP="002F3037">
            <w:pPr>
              <w:pStyle w:val="NoSpacing"/>
              <w:spacing w:line="264" w:lineRule="auto"/>
              <w:jc w:val="center"/>
            </w:pPr>
            <w:r>
              <w:t>May 25, 2012</w:t>
            </w:r>
          </w:p>
        </w:tc>
      </w:tr>
      <w:tr w:rsidR="002F3037" w:rsidTr="002F3037">
        <w:tc>
          <w:tcPr>
            <w:tcW w:w="4158" w:type="dxa"/>
          </w:tcPr>
          <w:p w:rsidR="002F3037" w:rsidRPr="00AB4520" w:rsidRDefault="002F3037" w:rsidP="0076748B">
            <w:pPr>
              <w:spacing w:line="264" w:lineRule="auto"/>
              <w:rPr>
                <w:szCs w:val="25"/>
              </w:rPr>
            </w:pPr>
            <w:r>
              <w:rPr>
                <w:szCs w:val="25"/>
              </w:rPr>
              <w:t>Initial Briefs Due on Preliminary Legal Issue</w:t>
            </w:r>
          </w:p>
        </w:tc>
        <w:tc>
          <w:tcPr>
            <w:tcW w:w="2610" w:type="dxa"/>
          </w:tcPr>
          <w:p w:rsidR="002F3037" w:rsidRPr="00AB4520" w:rsidRDefault="002F3037" w:rsidP="002F3037">
            <w:pPr>
              <w:spacing w:line="264" w:lineRule="auto"/>
              <w:jc w:val="center"/>
              <w:rPr>
                <w:szCs w:val="25"/>
              </w:rPr>
            </w:pPr>
            <w:r>
              <w:rPr>
                <w:szCs w:val="25"/>
              </w:rPr>
              <w:t>May 31, 2012</w:t>
            </w:r>
          </w:p>
        </w:tc>
        <w:tc>
          <w:tcPr>
            <w:tcW w:w="2448" w:type="dxa"/>
          </w:tcPr>
          <w:p w:rsidR="002F3037" w:rsidRDefault="002F3037" w:rsidP="002F3037">
            <w:pPr>
              <w:spacing w:line="264" w:lineRule="auto"/>
              <w:jc w:val="center"/>
              <w:rPr>
                <w:szCs w:val="25"/>
              </w:rPr>
            </w:pPr>
            <w:r>
              <w:rPr>
                <w:szCs w:val="25"/>
              </w:rPr>
              <w:t>June 14, 2012</w:t>
            </w:r>
          </w:p>
        </w:tc>
      </w:tr>
      <w:tr w:rsidR="002F3037" w:rsidTr="002F3037">
        <w:tc>
          <w:tcPr>
            <w:tcW w:w="4158" w:type="dxa"/>
          </w:tcPr>
          <w:p w:rsidR="002F3037" w:rsidRPr="00AB4520" w:rsidRDefault="002F3037" w:rsidP="0076748B">
            <w:pPr>
              <w:spacing w:line="264" w:lineRule="auto"/>
              <w:rPr>
                <w:szCs w:val="25"/>
              </w:rPr>
            </w:pPr>
            <w:r>
              <w:rPr>
                <w:szCs w:val="25"/>
              </w:rPr>
              <w:t>Response Briefs Due</w:t>
            </w:r>
          </w:p>
        </w:tc>
        <w:tc>
          <w:tcPr>
            <w:tcW w:w="2610" w:type="dxa"/>
          </w:tcPr>
          <w:p w:rsidR="002F3037" w:rsidRPr="00AB4520" w:rsidRDefault="002F3037" w:rsidP="002F3037">
            <w:pPr>
              <w:spacing w:line="264" w:lineRule="auto"/>
              <w:jc w:val="center"/>
              <w:rPr>
                <w:szCs w:val="25"/>
              </w:rPr>
            </w:pPr>
            <w:r>
              <w:rPr>
                <w:szCs w:val="25"/>
              </w:rPr>
              <w:t>June 12, 2012</w:t>
            </w:r>
          </w:p>
        </w:tc>
        <w:tc>
          <w:tcPr>
            <w:tcW w:w="2448" w:type="dxa"/>
          </w:tcPr>
          <w:p w:rsidR="002F3037" w:rsidRDefault="002F3037" w:rsidP="002F3037">
            <w:pPr>
              <w:spacing w:line="264" w:lineRule="auto"/>
              <w:jc w:val="center"/>
              <w:rPr>
                <w:szCs w:val="25"/>
              </w:rPr>
            </w:pPr>
            <w:r>
              <w:rPr>
                <w:szCs w:val="25"/>
              </w:rPr>
              <w:t>June 22, 2012</w:t>
            </w:r>
          </w:p>
        </w:tc>
      </w:tr>
    </w:tbl>
    <w:p w:rsidR="00AF505C" w:rsidRDefault="00AF505C" w:rsidP="002F3037">
      <w:pPr>
        <w:pStyle w:val="NoSpacing"/>
        <w:spacing w:line="264" w:lineRule="auto"/>
      </w:pPr>
    </w:p>
    <w:p w:rsidR="00A36C88" w:rsidRDefault="00A36C88" w:rsidP="002F3037">
      <w:pPr>
        <w:pStyle w:val="NoSpacing"/>
        <w:spacing w:line="264" w:lineRule="auto"/>
      </w:pPr>
    </w:p>
    <w:p w:rsidR="002F3037" w:rsidRPr="00AF505C" w:rsidRDefault="00AF505C" w:rsidP="002F3037">
      <w:pPr>
        <w:pStyle w:val="NoSpacing"/>
        <w:spacing w:line="264" w:lineRule="auto"/>
        <w:rPr>
          <w:b/>
        </w:rPr>
      </w:pPr>
      <w:r w:rsidRPr="00AF505C">
        <w:rPr>
          <w:b/>
        </w:rPr>
        <w:t>PLEASE TAKE NOTICE That the Commission grants Stericycle’s request for an extension of time and adopts the revised procedural schedule as indicated above.</w:t>
      </w:r>
    </w:p>
    <w:p w:rsidR="00AF505C" w:rsidRDefault="00AF505C" w:rsidP="002F3037">
      <w:pPr>
        <w:pStyle w:val="NoSpacing"/>
        <w:spacing w:line="264" w:lineRule="auto"/>
      </w:pPr>
    </w:p>
    <w:p w:rsidR="00AF505C" w:rsidRDefault="00AF505C" w:rsidP="002F3037">
      <w:pPr>
        <w:pStyle w:val="NoSpacing"/>
        <w:spacing w:line="264" w:lineRule="auto"/>
      </w:pPr>
      <w:r>
        <w:t>Sincerely,</w:t>
      </w:r>
    </w:p>
    <w:p w:rsidR="00AF505C" w:rsidRDefault="00AF505C" w:rsidP="002F3037">
      <w:pPr>
        <w:pStyle w:val="NoSpacing"/>
        <w:spacing w:line="264" w:lineRule="auto"/>
      </w:pPr>
    </w:p>
    <w:p w:rsidR="00AF505C" w:rsidRDefault="00AF505C" w:rsidP="002F3037">
      <w:pPr>
        <w:pStyle w:val="NoSpacing"/>
        <w:spacing w:line="264" w:lineRule="auto"/>
      </w:pPr>
    </w:p>
    <w:p w:rsidR="00AF505C" w:rsidRDefault="00AF505C" w:rsidP="002F3037">
      <w:pPr>
        <w:pStyle w:val="NoSpacing"/>
        <w:spacing w:line="264" w:lineRule="auto"/>
      </w:pPr>
    </w:p>
    <w:p w:rsidR="00AF505C" w:rsidRDefault="00AF505C" w:rsidP="002F3037">
      <w:pPr>
        <w:pStyle w:val="NoSpacing"/>
        <w:spacing w:line="264" w:lineRule="auto"/>
      </w:pPr>
      <w:r>
        <w:t>GREGORY J. KOPTA</w:t>
      </w:r>
    </w:p>
    <w:p w:rsidR="00AF505C" w:rsidRDefault="00AF505C" w:rsidP="002F3037">
      <w:pPr>
        <w:pStyle w:val="NoSpacing"/>
        <w:spacing w:line="264" w:lineRule="auto"/>
      </w:pPr>
      <w:r>
        <w:t>Administrative Law Judge</w:t>
      </w:r>
    </w:p>
    <w:sectPr w:rsidR="00AF505C" w:rsidSect="002128F1">
      <w:headerReference w:type="default" r:id="rId7"/>
      <w:pgSz w:w="12240" w:h="15840" w:code="1"/>
      <w:pgMar w:top="1440" w:right="1440" w:bottom="1440" w:left="1800" w:header="1440" w:footer="720" w:gutter="0"/>
      <w:paperSrc w:first="261" w:other="26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05C" w:rsidRDefault="00AF505C" w:rsidP="00AF505C">
      <w:pPr>
        <w:spacing w:line="240" w:lineRule="auto"/>
      </w:pPr>
      <w:r>
        <w:separator/>
      </w:r>
    </w:p>
  </w:endnote>
  <w:endnote w:type="continuationSeparator" w:id="0">
    <w:p w:rsidR="00AF505C" w:rsidRDefault="00AF505C" w:rsidP="00AF50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05C" w:rsidRDefault="00AF505C" w:rsidP="00AF505C">
      <w:pPr>
        <w:spacing w:line="240" w:lineRule="auto"/>
      </w:pPr>
      <w:r>
        <w:separator/>
      </w:r>
    </w:p>
  </w:footnote>
  <w:footnote w:type="continuationSeparator" w:id="0">
    <w:p w:rsidR="00AF505C" w:rsidRDefault="00AF505C" w:rsidP="00AF50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05C" w:rsidRPr="00AF505C" w:rsidRDefault="00AF505C" w:rsidP="00AF505C">
    <w:pPr>
      <w:pStyle w:val="Header"/>
      <w:tabs>
        <w:tab w:val="clear" w:pos="9360"/>
        <w:tab w:val="right" w:pos="8730"/>
      </w:tabs>
      <w:rPr>
        <w:b/>
        <w:noProof/>
        <w:sz w:val="20"/>
        <w:szCs w:val="20"/>
      </w:rPr>
    </w:pPr>
    <w:r w:rsidRPr="00AF505C">
      <w:rPr>
        <w:b/>
        <w:sz w:val="20"/>
        <w:szCs w:val="20"/>
      </w:rPr>
      <w:t>DOCKET TG-120033</w:t>
    </w:r>
    <w:r w:rsidRPr="00AF505C">
      <w:rPr>
        <w:b/>
        <w:sz w:val="20"/>
        <w:szCs w:val="20"/>
      </w:rPr>
      <w:tab/>
    </w:r>
    <w:r w:rsidRPr="00AF505C">
      <w:rPr>
        <w:b/>
        <w:sz w:val="20"/>
        <w:szCs w:val="20"/>
      </w:rPr>
      <w:tab/>
      <w:t xml:space="preserve">PAGE </w:t>
    </w:r>
    <w:r w:rsidRPr="00AF505C">
      <w:rPr>
        <w:b/>
        <w:sz w:val="20"/>
        <w:szCs w:val="20"/>
      </w:rPr>
      <w:fldChar w:fldCharType="begin"/>
    </w:r>
    <w:r w:rsidRPr="00AF505C">
      <w:rPr>
        <w:b/>
        <w:sz w:val="20"/>
        <w:szCs w:val="20"/>
      </w:rPr>
      <w:instrText xml:space="preserve"> PAGE   \* MERGEFORMAT </w:instrText>
    </w:r>
    <w:r w:rsidRPr="00AF505C">
      <w:rPr>
        <w:b/>
        <w:sz w:val="20"/>
        <w:szCs w:val="20"/>
      </w:rPr>
      <w:fldChar w:fldCharType="separate"/>
    </w:r>
    <w:r w:rsidR="00110F1C">
      <w:rPr>
        <w:b/>
        <w:noProof/>
        <w:sz w:val="20"/>
        <w:szCs w:val="20"/>
      </w:rPr>
      <w:t>2</w:t>
    </w:r>
    <w:r w:rsidRPr="00AF505C">
      <w:rPr>
        <w:b/>
        <w:noProof/>
        <w:sz w:val="20"/>
        <w:szCs w:val="20"/>
      </w:rPr>
      <w:fldChar w:fldCharType="end"/>
    </w:r>
  </w:p>
  <w:p w:rsidR="00AF505C" w:rsidRPr="00AF505C" w:rsidRDefault="00AF505C" w:rsidP="00AF505C">
    <w:pPr>
      <w:pStyle w:val="Header"/>
      <w:tabs>
        <w:tab w:val="clear" w:pos="9360"/>
        <w:tab w:val="right" w:pos="8730"/>
      </w:tabs>
      <w:rPr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C88"/>
    <w:rsid w:val="00000817"/>
    <w:rsid w:val="00000D94"/>
    <w:rsid w:val="00013BC5"/>
    <w:rsid w:val="00024FCC"/>
    <w:rsid w:val="00025066"/>
    <w:rsid w:val="00036A42"/>
    <w:rsid w:val="00054580"/>
    <w:rsid w:val="000A4CFE"/>
    <w:rsid w:val="000C159F"/>
    <w:rsid w:val="000C27A1"/>
    <w:rsid w:val="000D794B"/>
    <w:rsid w:val="000E69A6"/>
    <w:rsid w:val="000F2FD4"/>
    <w:rsid w:val="000F4FEE"/>
    <w:rsid w:val="000F629A"/>
    <w:rsid w:val="000F6DD6"/>
    <w:rsid w:val="001076BE"/>
    <w:rsid w:val="00110F1C"/>
    <w:rsid w:val="001140DB"/>
    <w:rsid w:val="00124765"/>
    <w:rsid w:val="00125DE3"/>
    <w:rsid w:val="0012797D"/>
    <w:rsid w:val="00134F21"/>
    <w:rsid w:val="00135A34"/>
    <w:rsid w:val="0014077E"/>
    <w:rsid w:val="00141D59"/>
    <w:rsid w:val="001605B2"/>
    <w:rsid w:val="001703EB"/>
    <w:rsid w:val="001723BF"/>
    <w:rsid w:val="00196394"/>
    <w:rsid w:val="001A7351"/>
    <w:rsid w:val="001B27DC"/>
    <w:rsid w:val="001B2E88"/>
    <w:rsid w:val="001B3E0A"/>
    <w:rsid w:val="001C463F"/>
    <w:rsid w:val="001C5C2C"/>
    <w:rsid w:val="001E109A"/>
    <w:rsid w:val="001F1ECC"/>
    <w:rsid w:val="001F33E6"/>
    <w:rsid w:val="001F5CE8"/>
    <w:rsid w:val="002128F1"/>
    <w:rsid w:val="00221AE2"/>
    <w:rsid w:val="00223577"/>
    <w:rsid w:val="00242F6B"/>
    <w:rsid w:val="00244FDA"/>
    <w:rsid w:val="00251048"/>
    <w:rsid w:val="0025477A"/>
    <w:rsid w:val="00262124"/>
    <w:rsid w:val="0026302D"/>
    <w:rsid w:val="0026475C"/>
    <w:rsid w:val="00270B6C"/>
    <w:rsid w:val="002757DC"/>
    <w:rsid w:val="00281C9A"/>
    <w:rsid w:val="002861A1"/>
    <w:rsid w:val="0028731F"/>
    <w:rsid w:val="002B0EFB"/>
    <w:rsid w:val="002C0778"/>
    <w:rsid w:val="002E5203"/>
    <w:rsid w:val="002F3037"/>
    <w:rsid w:val="003004E6"/>
    <w:rsid w:val="00311D5D"/>
    <w:rsid w:val="00320272"/>
    <w:rsid w:val="00325229"/>
    <w:rsid w:val="00326C72"/>
    <w:rsid w:val="00331826"/>
    <w:rsid w:val="00331DBD"/>
    <w:rsid w:val="00337B84"/>
    <w:rsid w:val="0035370C"/>
    <w:rsid w:val="003753AE"/>
    <w:rsid w:val="003A6A20"/>
    <w:rsid w:val="003A7922"/>
    <w:rsid w:val="003B5BCB"/>
    <w:rsid w:val="003D043A"/>
    <w:rsid w:val="003E07FA"/>
    <w:rsid w:val="003F118C"/>
    <w:rsid w:val="003F1C30"/>
    <w:rsid w:val="003F43F9"/>
    <w:rsid w:val="003F5026"/>
    <w:rsid w:val="003F6DEF"/>
    <w:rsid w:val="00400A04"/>
    <w:rsid w:val="004042E0"/>
    <w:rsid w:val="00405309"/>
    <w:rsid w:val="0040569D"/>
    <w:rsid w:val="004274F0"/>
    <w:rsid w:val="004328C3"/>
    <w:rsid w:val="00434DC9"/>
    <w:rsid w:val="00437E3F"/>
    <w:rsid w:val="00446B83"/>
    <w:rsid w:val="004470D6"/>
    <w:rsid w:val="00466587"/>
    <w:rsid w:val="00472B41"/>
    <w:rsid w:val="00497485"/>
    <w:rsid w:val="0049799B"/>
    <w:rsid w:val="00497E5B"/>
    <w:rsid w:val="004A343B"/>
    <w:rsid w:val="004B13DF"/>
    <w:rsid w:val="004D03CC"/>
    <w:rsid w:val="004D5E7A"/>
    <w:rsid w:val="004F325A"/>
    <w:rsid w:val="00500BD3"/>
    <w:rsid w:val="00506508"/>
    <w:rsid w:val="00512941"/>
    <w:rsid w:val="00514DD5"/>
    <w:rsid w:val="00524ED7"/>
    <w:rsid w:val="00527B33"/>
    <w:rsid w:val="0053359C"/>
    <w:rsid w:val="00546385"/>
    <w:rsid w:val="00550788"/>
    <w:rsid w:val="00571C63"/>
    <w:rsid w:val="0057556D"/>
    <w:rsid w:val="005811C7"/>
    <w:rsid w:val="005963E1"/>
    <w:rsid w:val="005970BC"/>
    <w:rsid w:val="005A4601"/>
    <w:rsid w:val="005C7F6E"/>
    <w:rsid w:val="005D4151"/>
    <w:rsid w:val="005E200A"/>
    <w:rsid w:val="005E662A"/>
    <w:rsid w:val="005F6CB0"/>
    <w:rsid w:val="00621BBF"/>
    <w:rsid w:val="00625C28"/>
    <w:rsid w:val="00625F87"/>
    <w:rsid w:val="006302DA"/>
    <w:rsid w:val="006328EE"/>
    <w:rsid w:val="00636DA8"/>
    <w:rsid w:val="00637028"/>
    <w:rsid w:val="00644EA7"/>
    <w:rsid w:val="00647468"/>
    <w:rsid w:val="00671E79"/>
    <w:rsid w:val="006725EB"/>
    <w:rsid w:val="00672ABD"/>
    <w:rsid w:val="00682AAC"/>
    <w:rsid w:val="00685505"/>
    <w:rsid w:val="006967D3"/>
    <w:rsid w:val="006A46D9"/>
    <w:rsid w:val="006B51AE"/>
    <w:rsid w:val="006C391D"/>
    <w:rsid w:val="006D55D8"/>
    <w:rsid w:val="006E57AA"/>
    <w:rsid w:val="0070503D"/>
    <w:rsid w:val="007176D6"/>
    <w:rsid w:val="00725942"/>
    <w:rsid w:val="00744C85"/>
    <w:rsid w:val="00751967"/>
    <w:rsid w:val="00760467"/>
    <w:rsid w:val="00771B71"/>
    <w:rsid w:val="007777F4"/>
    <w:rsid w:val="0078059A"/>
    <w:rsid w:val="00782B25"/>
    <w:rsid w:val="00794D54"/>
    <w:rsid w:val="007A011C"/>
    <w:rsid w:val="007A316D"/>
    <w:rsid w:val="007A6418"/>
    <w:rsid w:val="007B1BB5"/>
    <w:rsid w:val="007B6BA4"/>
    <w:rsid w:val="007C5D5F"/>
    <w:rsid w:val="007D026E"/>
    <w:rsid w:val="007D15D4"/>
    <w:rsid w:val="007D181E"/>
    <w:rsid w:val="007E4058"/>
    <w:rsid w:val="007E4545"/>
    <w:rsid w:val="007E6723"/>
    <w:rsid w:val="007F7C8A"/>
    <w:rsid w:val="00803BD6"/>
    <w:rsid w:val="00813DB4"/>
    <w:rsid w:val="008221C4"/>
    <w:rsid w:val="008312B2"/>
    <w:rsid w:val="00834A6B"/>
    <w:rsid w:val="00843C44"/>
    <w:rsid w:val="008530CE"/>
    <w:rsid w:val="00857614"/>
    <w:rsid w:val="00860D9F"/>
    <w:rsid w:val="00863D19"/>
    <w:rsid w:val="00866E0A"/>
    <w:rsid w:val="008712BF"/>
    <w:rsid w:val="00873734"/>
    <w:rsid w:val="00885F8D"/>
    <w:rsid w:val="008927D2"/>
    <w:rsid w:val="00894053"/>
    <w:rsid w:val="008A0BC8"/>
    <w:rsid w:val="008A2759"/>
    <w:rsid w:val="008C4198"/>
    <w:rsid w:val="008E47E5"/>
    <w:rsid w:val="008F1933"/>
    <w:rsid w:val="008F56B3"/>
    <w:rsid w:val="009109F0"/>
    <w:rsid w:val="0091303D"/>
    <w:rsid w:val="00927FC0"/>
    <w:rsid w:val="00950B86"/>
    <w:rsid w:val="009518F5"/>
    <w:rsid w:val="00956140"/>
    <w:rsid w:val="00957166"/>
    <w:rsid w:val="009621D5"/>
    <w:rsid w:val="00976A7E"/>
    <w:rsid w:val="00977AD2"/>
    <w:rsid w:val="009903F5"/>
    <w:rsid w:val="009931C1"/>
    <w:rsid w:val="009A5465"/>
    <w:rsid w:val="009A68EE"/>
    <w:rsid w:val="009B5279"/>
    <w:rsid w:val="009D011E"/>
    <w:rsid w:val="009E0277"/>
    <w:rsid w:val="009E5DD1"/>
    <w:rsid w:val="009F1F98"/>
    <w:rsid w:val="009F2B54"/>
    <w:rsid w:val="009F41E3"/>
    <w:rsid w:val="009F57A7"/>
    <w:rsid w:val="00A06B24"/>
    <w:rsid w:val="00A06FCB"/>
    <w:rsid w:val="00A13853"/>
    <w:rsid w:val="00A25D45"/>
    <w:rsid w:val="00A30C4A"/>
    <w:rsid w:val="00A31A3B"/>
    <w:rsid w:val="00A35B1C"/>
    <w:rsid w:val="00A35FD1"/>
    <w:rsid w:val="00A36C88"/>
    <w:rsid w:val="00A60D81"/>
    <w:rsid w:val="00A642B3"/>
    <w:rsid w:val="00A6640F"/>
    <w:rsid w:val="00A82346"/>
    <w:rsid w:val="00AA0F63"/>
    <w:rsid w:val="00AA1D38"/>
    <w:rsid w:val="00AB33FE"/>
    <w:rsid w:val="00AD1F22"/>
    <w:rsid w:val="00AE465D"/>
    <w:rsid w:val="00AF0857"/>
    <w:rsid w:val="00AF505C"/>
    <w:rsid w:val="00B01186"/>
    <w:rsid w:val="00B32FBC"/>
    <w:rsid w:val="00B3481A"/>
    <w:rsid w:val="00B4193F"/>
    <w:rsid w:val="00B62CF3"/>
    <w:rsid w:val="00B6469B"/>
    <w:rsid w:val="00B67D78"/>
    <w:rsid w:val="00B91632"/>
    <w:rsid w:val="00BA4723"/>
    <w:rsid w:val="00BA4DB0"/>
    <w:rsid w:val="00BB741B"/>
    <w:rsid w:val="00BC18E9"/>
    <w:rsid w:val="00BD2231"/>
    <w:rsid w:val="00BD4460"/>
    <w:rsid w:val="00BE0AD2"/>
    <w:rsid w:val="00BE754D"/>
    <w:rsid w:val="00BF4AD3"/>
    <w:rsid w:val="00BF5A05"/>
    <w:rsid w:val="00C02040"/>
    <w:rsid w:val="00C03C4D"/>
    <w:rsid w:val="00C1419E"/>
    <w:rsid w:val="00C2205E"/>
    <w:rsid w:val="00C227FD"/>
    <w:rsid w:val="00C32100"/>
    <w:rsid w:val="00C37086"/>
    <w:rsid w:val="00C55CFC"/>
    <w:rsid w:val="00C77038"/>
    <w:rsid w:val="00C7736F"/>
    <w:rsid w:val="00C77E1D"/>
    <w:rsid w:val="00C920D2"/>
    <w:rsid w:val="00C93A82"/>
    <w:rsid w:val="00CB2C63"/>
    <w:rsid w:val="00CB7F41"/>
    <w:rsid w:val="00CD5B00"/>
    <w:rsid w:val="00CD6EF8"/>
    <w:rsid w:val="00CE13E8"/>
    <w:rsid w:val="00CE7F86"/>
    <w:rsid w:val="00CF06C1"/>
    <w:rsid w:val="00D0056C"/>
    <w:rsid w:val="00D167FA"/>
    <w:rsid w:val="00D23952"/>
    <w:rsid w:val="00D355FC"/>
    <w:rsid w:val="00D36495"/>
    <w:rsid w:val="00D417B8"/>
    <w:rsid w:val="00D43D00"/>
    <w:rsid w:val="00D51AB0"/>
    <w:rsid w:val="00D5254D"/>
    <w:rsid w:val="00D54858"/>
    <w:rsid w:val="00D6592D"/>
    <w:rsid w:val="00D81A5D"/>
    <w:rsid w:val="00D87DE9"/>
    <w:rsid w:val="00D93AF7"/>
    <w:rsid w:val="00D955D2"/>
    <w:rsid w:val="00D968B5"/>
    <w:rsid w:val="00DA4DDA"/>
    <w:rsid w:val="00DB12F0"/>
    <w:rsid w:val="00DB4A12"/>
    <w:rsid w:val="00DB53EA"/>
    <w:rsid w:val="00DC441F"/>
    <w:rsid w:val="00DE67C3"/>
    <w:rsid w:val="00DE758E"/>
    <w:rsid w:val="00DF16E1"/>
    <w:rsid w:val="00DF3BFE"/>
    <w:rsid w:val="00DF3C7D"/>
    <w:rsid w:val="00DF6CB3"/>
    <w:rsid w:val="00DF7027"/>
    <w:rsid w:val="00E005E8"/>
    <w:rsid w:val="00E20EAF"/>
    <w:rsid w:val="00E21AF0"/>
    <w:rsid w:val="00E43AD9"/>
    <w:rsid w:val="00E51DAB"/>
    <w:rsid w:val="00E5776C"/>
    <w:rsid w:val="00E666E8"/>
    <w:rsid w:val="00E94DEF"/>
    <w:rsid w:val="00E95080"/>
    <w:rsid w:val="00EA64C0"/>
    <w:rsid w:val="00EB4EA1"/>
    <w:rsid w:val="00EC01B0"/>
    <w:rsid w:val="00EC7B52"/>
    <w:rsid w:val="00ED08AA"/>
    <w:rsid w:val="00EE4F4B"/>
    <w:rsid w:val="00EF3F4D"/>
    <w:rsid w:val="00F34C65"/>
    <w:rsid w:val="00F35267"/>
    <w:rsid w:val="00F46797"/>
    <w:rsid w:val="00F50B69"/>
    <w:rsid w:val="00F54581"/>
    <w:rsid w:val="00F558A0"/>
    <w:rsid w:val="00F668B0"/>
    <w:rsid w:val="00F67B92"/>
    <w:rsid w:val="00F720BC"/>
    <w:rsid w:val="00F75379"/>
    <w:rsid w:val="00F763FB"/>
    <w:rsid w:val="00F80CD0"/>
    <w:rsid w:val="00F819C6"/>
    <w:rsid w:val="00F83E5C"/>
    <w:rsid w:val="00F90363"/>
    <w:rsid w:val="00F903F5"/>
    <w:rsid w:val="00FC344E"/>
    <w:rsid w:val="00FD5807"/>
    <w:rsid w:val="00FD6F27"/>
    <w:rsid w:val="00FD7405"/>
    <w:rsid w:val="00FE1AD2"/>
    <w:rsid w:val="00FE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A36C88"/>
    <w:pPr>
      <w:spacing w:line="240" w:lineRule="auto"/>
    </w:pPr>
  </w:style>
  <w:style w:type="table" w:styleId="TableGrid">
    <w:name w:val="Table Grid"/>
    <w:basedOn w:val="TableNormal"/>
    <w:uiPriority w:val="59"/>
    <w:rsid w:val="002F303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505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05C"/>
  </w:style>
  <w:style w:type="paragraph" w:styleId="Footer">
    <w:name w:val="footer"/>
    <w:basedOn w:val="Normal"/>
    <w:link w:val="FooterChar"/>
    <w:uiPriority w:val="99"/>
    <w:unhideWhenUsed/>
    <w:rsid w:val="00AF505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0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A36C88"/>
    <w:pPr>
      <w:spacing w:line="240" w:lineRule="auto"/>
    </w:pPr>
  </w:style>
  <w:style w:type="table" w:styleId="TableGrid">
    <w:name w:val="Table Grid"/>
    <w:basedOn w:val="TableNormal"/>
    <w:uiPriority w:val="59"/>
    <w:rsid w:val="002F303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505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05C"/>
  </w:style>
  <w:style w:type="paragraph" w:styleId="Footer">
    <w:name w:val="footer"/>
    <w:basedOn w:val="Normal"/>
    <w:link w:val="FooterChar"/>
    <w:uiPriority w:val="99"/>
    <w:unhideWhenUsed/>
    <w:rsid w:val="00AF505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8702C4AF602440A75427A84B605696" ma:contentTypeVersion="139" ma:contentTypeDescription="" ma:contentTypeScope="" ma:versionID="096abf71eef04c5921b607dfdb70529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2011-12-30T08:00:00+00:00</OpenedDate>
    <Date1 xmlns="dc463f71-b30c-4ab2-9473-d307f9d35888">2012-05-10T07:00:00+00:00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120033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5FB415E-59C8-4CC7-9920-7808E4117F0B}"/>
</file>

<file path=customXml/itemProps2.xml><?xml version="1.0" encoding="utf-8"?>
<ds:datastoreItem xmlns:ds="http://schemas.openxmlformats.org/officeDocument/2006/customXml" ds:itemID="{A8E6B789-D76D-4543-B1DB-FA4DB428FA8C}"/>
</file>

<file path=customXml/itemProps3.xml><?xml version="1.0" encoding="utf-8"?>
<ds:datastoreItem xmlns:ds="http://schemas.openxmlformats.org/officeDocument/2006/customXml" ds:itemID="{DB765842-4CEB-4BF9-878E-321213129311}"/>
</file>

<file path=customXml/itemProps4.xml><?xml version="1.0" encoding="utf-8"?>
<ds:datastoreItem xmlns:ds="http://schemas.openxmlformats.org/officeDocument/2006/customXml" ds:itemID="{7A31C0EA-6A31-4393-B048-50E7982542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2012-05-10T16:04:00Z</dcterms:created>
  <dcterms:modified xsi:type="dcterms:W3CDTF">2012-05-10T16:04:00Z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0x0101006E56B4D1795A2E4DB2F0B01679ED314A000F8702C4AF602440A75427A84B605696</vt:lpwstr>
  </property>
  <property fmtid="{D5CDD505-2E9C-101B-9397-08002B2CF9AE}" pid="3" name="_docset_NoMedatataSyncRequired">
    <vt:lpwstr>False</vt:lpwstr>
  </property>
</Properties>
</file>