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2D" w:rsidRDefault="00CE569A" w:rsidP="009023E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CR-</w:t>
      </w:r>
      <w:r w:rsidR="00BC264A">
        <w:rPr>
          <w:rFonts w:ascii="Times New Roman" w:hAnsi="Times New Roman"/>
          <w:b/>
          <w:sz w:val="32"/>
          <w:szCs w:val="32"/>
        </w:rPr>
        <w:t xml:space="preserve">102 </w:t>
      </w:r>
      <w:r w:rsidR="006C222D">
        <w:rPr>
          <w:rFonts w:ascii="Times New Roman" w:hAnsi="Times New Roman"/>
          <w:b/>
          <w:sz w:val="32"/>
          <w:szCs w:val="32"/>
        </w:rPr>
        <w:t>DRAFT RULES</w:t>
      </w:r>
      <w:r w:rsidR="006F57DF">
        <w:rPr>
          <w:rFonts w:ascii="Times New Roman" w:hAnsi="Times New Roman"/>
          <w:b/>
          <w:sz w:val="32"/>
          <w:szCs w:val="32"/>
        </w:rPr>
        <w:t xml:space="preserve"> </w:t>
      </w:r>
      <w:r w:rsidR="006C222D">
        <w:rPr>
          <w:rFonts w:ascii="Times New Roman" w:hAnsi="Times New Roman"/>
          <w:b/>
          <w:sz w:val="32"/>
          <w:szCs w:val="32"/>
        </w:rPr>
        <w:t xml:space="preserve">- </w:t>
      </w:r>
      <w:r w:rsidR="006C222D" w:rsidRPr="004C2024">
        <w:rPr>
          <w:rFonts w:ascii="Times New Roman" w:hAnsi="Times New Roman"/>
          <w:b/>
          <w:sz w:val="32"/>
          <w:szCs w:val="32"/>
        </w:rPr>
        <w:t>COMMENTS SUMMARY</w:t>
      </w:r>
    </w:p>
    <w:p w:rsidR="006C222D" w:rsidRPr="004C2024" w:rsidRDefault="00CE569A" w:rsidP="009023E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From January 28</w:t>
      </w:r>
      <w:r w:rsidR="006C222D"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hAnsi="Times New Roman"/>
          <w:b/>
          <w:sz w:val="32"/>
          <w:szCs w:val="32"/>
        </w:rPr>
        <w:t xml:space="preserve"> 2010</w:t>
      </w:r>
      <w:r w:rsidR="006C222D">
        <w:rPr>
          <w:rFonts w:ascii="Times New Roman" w:hAnsi="Times New Roman"/>
          <w:b/>
          <w:sz w:val="32"/>
          <w:szCs w:val="32"/>
        </w:rPr>
        <w:t xml:space="preserve"> Comments</w:t>
      </w:r>
    </w:p>
    <w:p w:rsidR="006C222D" w:rsidRPr="004C2024" w:rsidRDefault="006C222D" w:rsidP="0029070D">
      <w:pPr>
        <w:jc w:val="center"/>
        <w:rPr>
          <w:rFonts w:ascii="Times New Roman" w:hAnsi="Times New Roman"/>
          <w:b/>
        </w:rPr>
      </w:pPr>
      <w:r w:rsidRPr="004C2024">
        <w:rPr>
          <w:rFonts w:ascii="Times New Roman" w:hAnsi="Times New Roman"/>
          <w:b/>
        </w:rPr>
        <w:t xml:space="preserve">PURPA Rulemaking on Energy Independence </w:t>
      </w:r>
      <w:r w:rsidR="00600280">
        <w:rPr>
          <w:rFonts w:ascii="Times New Roman" w:hAnsi="Times New Roman"/>
          <w:b/>
        </w:rPr>
        <w:t>a</w:t>
      </w:r>
      <w:r w:rsidR="00600280" w:rsidRPr="004C2024">
        <w:rPr>
          <w:rFonts w:ascii="Times New Roman" w:hAnsi="Times New Roman"/>
          <w:b/>
        </w:rPr>
        <w:t xml:space="preserve">nd </w:t>
      </w:r>
      <w:r w:rsidRPr="004C2024">
        <w:rPr>
          <w:rFonts w:ascii="Times New Roman" w:hAnsi="Times New Roman"/>
          <w:b/>
        </w:rPr>
        <w:t>Security Act of 2007 (EISA)</w:t>
      </w:r>
    </w:p>
    <w:p w:rsidR="006C222D" w:rsidRPr="004C2024" w:rsidRDefault="006C222D" w:rsidP="0029070D">
      <w:pPr>
        <w:jc w:val="center"/>
        <w:rPr>
          <w:rFonts w:ascii="Times New Roman" w:hAnsi="Times New Roman"/>
          <w:b/>
        </w:rPr>
      </w:pPr>
      <w:r w:rsidRPr="004C2024">
        <w:rPr>
          <w:rFonts w:ascii="Times New Roman" w:hAnsi="Times New Roman"/>
          <w:b/>
        </w:rPr>
        <w:t>Docket U-090222</w:t>
      </w:r>
    </w:p>
    <w:p w:rsidR="006C222D" w:rsidRPr="004C2024" w:rsidRDefault="006C222D" w:rsidP="0029070D">
      <w:pPr>
        <w:rPr>
          <w:rFonts w:ascii="Times New Roman" w:hAnsi="Times New Roman"/>
        </w:rPr>
      </w:pPr>
    </w:p>
    <w:tbl>
      <w:tblPr>
        <w:tblW w:w="13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BF"/>
      </w:tblPr>
      <w:tblGrid>
        <w:gridCol w:w="295"/>
        <w:gridCol w:w="12960"/>
      </w:tblGrid>
      <w:tr w:rsidR="006C222D" w:rsidRPr="004C2024" w:rsidTr="004C2024">
        <w:tc>
          <w:tcPr>
            <w:tcW w:w="13255" w:type="dxa"/>
            <w:gridSpan w:val="2"/>
          </w:tcPr>
          <w:p w:rsidR="006C222D" w:rsidRPr="004C2024" w:rsidRDefault="006C222D" w:rsidP="00B770DD">
            <w:pPr>
              <w:pStyle w:val="BodyText3"/>
              <w:suppressAutoHyphens w:val="0"/>
              <w:spacing w:line="264" w:lineRule="auto"/>
              <w:rPr>
                <w:b/>
                <w:sz w:val="24"/>
                <w:u w:val="single"/>
              </w:rPr>
            </w:pPr>
            <w:r w:rsidRPr="004C2024">
              <w:rPr>
                <w:b/>
                <w:sz w:val="24"/>
                <w:u w:val="single"/>
              </w:rPr>
              <w:t>State Consideration of Smart Grid</w:t>
            </w:r>
          </w:p>
          <w:p w:rsidR="006C222D" w:rsidRPr="004C2024" w:rsidRDefault="006C222D" w:rsidP="00B770DD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  <w:r w:rsidRPr="004C2024">
              <w:rPr>
                <w:sz w:val="24"/>
                <w:u w:val="single"/>
              </w:rPr>
              <w:t xml:space="preserve"> </w:t>
            </w:r>
          </w:p>
          <w:p w:rsidR="006C222D" w:rsidRPr="004C2024" w:rsidRDefault="006C222D" w:rsidP="00B770DD">
            <w:pPr>
              <w:pStyle w:val="BodyText3"/>
              <w:suppressAutoHyphens w:val="0"/>
              <w:spacing w:line="264" w:lineRule="auto"/>
              <w:rPr>
                <w:b/>
                <w:i/>
                <w:sz w:val="24"/>
              </w:rPr>
            </w:pPr>
            <w:r w:rsidRPr="004C2024">
              <w:rPr>
                <w:b/>
                <w:i/>
                <w:sz w:val="24"/>
              </w:rPr>
              <w:t>Part A</w:t>
            </w:r>
          </w:p>
          <w:p w:rsidR="006C222D" w:rsidRPr="004C2024" w:rsidRDefault="006C222D" w:rsidP="00B770DD">
            <w:pPr>
              <w:pStyle w:val="BodyText3"/>
              <w:suppressAutoHyphens w:val="0"/>
              <w:spacing w:line="264" w:lineRule="auto"/>
              <w:rPr>
                <w:b/>
                <w:i/>
                <w:sz w:val="24"/>
              </w:rPr>
            </w:pPr>
          </w:p>
          <w:p w:rsidR="006C222D" w:rsidRPr="004C2024" w:rsidRDefault="006C222D" w:rsidP="00B770DD">
            <w:pPr>
              <w:spacing w:line="264" w:lineRule="auto"/>
              <w:ind w:left="720"/>
              <w:rPr>
                <w:rFonts w:ascii="Times New Roman" w:hAnsi="Times New Roman"/>
              </w:rPr>
            </w:pPr>
            <w:r w:rsidRPr="004C2024">
              <w:rPr>
                <w:rFonts w:ascii="Times New Roman" w:hAnsi="Times New Roman"/>
              </w:rPr>
              <w:t>(18) CONSIDERATION OF SMART GRID INVESTMENTS—</w:t>
            </w:r>
          </w:p>
          <w:p w:rsidR="006C222D" w:rsidRPr="004C2024" w:rsidRDefault="006C222D" w:rsidP="00B770DD">
            <w:pPr>
              <w:spacing w:line="264" w:lineRule="auto"/>
              <w:ind w:left="720"/>
              <w:rPr>
                <w:rFonts w:ascii="Times New Roman" w:hAnsi="Times New Roman"/>
              </w:rPr>
            </w:pPr>
            <w:r w:rsidRPr="004C2024">
              <w:rPr>
                <w:rFonts w:ascii="Times New Roman" w:hAnsi="Times New Roman"/>
              </w:rPr>
              <w:t xml:space="preserve">(A) IN GENERAL.—Each State shall consider requiring that, prior to undertaking investments in </w:t>
            </w:r>
            <w:proofErr w:type="spellStart"/>
            <w:r w:rsidRPr="004C2024">
              <w:rPr>
                <w:rFonts w:ascii="Times New Roman" w:hAnsi="Times New Roman"/>
              </w:rPr>
              <w:t>nonadvanced</w:t>
            </w:r>
            <w:proofErr w:type="spellEnd"/>
            <w:r w:rsidRPr="004C2024">
              <w:rPr>
                <w:rFonts w:ascii="Times New Roman" w:hAnsi="Times New Roman"/>
              </w:rPr>
              <w:t xml:space="preserve"> grid technologies, an electric utility of the State demonstrate to the State that the electric utility considered an investment in a qualified smart grid system based on appropriate factors, including—</w:t>
            </w:r>
          </w:p>
          <w:p w:rsidR="006C222D" w:rsidRPr="004C2024" w:rsidRDefault="006C222D" w:rsidP="00B770DD">
            <w:pPr>
              <w:spacing w:line="264" w:lineRule="auto"/>
              <w:ind w:left="720"/>
              <w:rPr>
                <w:rFonts w:ascii="Times New Roman" w:hAnsi="Times New Roman"/>
              </w:rPr>
            </w:pPr>
            <w:r w:rsidRPr="004C2024">
              <w:rPr>
                <w:rFonts w:ascii="Times New Roman" w:hAnsi="Times New Roman"/>
              </w:rPr>
              <w:t>(</w:t>
            </w:r>
            <w:proofErr w:type="spellStart"/>
            <w:r w:rsidRPr="004C2024">
              <w:rPr>
                <w:rFonts w:ascii="Times New Roman" w:hAnsi="Times New Roman"/>
              </w:rPr>
              <w:t>i</w:t>
            </w:r>
            <w:proofErr w:type="spellEnd"/>
            <w:r w:rsidRPr="004C2024">
              <w:rPr>
                <w:rFonts w:ascii="Times New Roman" w:hAnsi="Times New Roman"/>
              </w:rPr>
              <w:t>) total costs;</w:t>
            </w:r>
          </w:p>
          <w:p w:rsidR="006C222D" w:rsidRPr="004C2024" w:rsidRDefault="006C222D" w:rsidP="00B770DD">
            <w:pPr>
              <w:spacing w:line="264" w:lineRule="auto"/>
              <w:ind w:left="720"/>
              <w:rPr>
                <w:rFonts w:ascii="Times New Roman" w:hAnsi="Times New Roman"/>
              </w:rPr>
            </w:pPr>
            <w:r w:rsidRPr="004C2024">
              <w:rPr>
                <w:rFonts w:ascii="Times New Roman" w:hAnsi="Times New Roman"/>
              </w:rPr>
              <w:t>(ii) cost-effectiveness;</w:t>
            </w:r>
          </w:p>
          <w:p w:rsidR="006C222D" w:rsidRPr="004C2024" w:rsidRDefault="006C222D" w:rsidP="00B770DD">
            <w:pPr>
              <w:spacing w:line="264" w:lineRule="auto"/>
              <w:ind w:left="720"/>
              <w:rPr>
                <w:rFonts w:ascii="Times New Roman" w:hAnsi="Times New Roman"/>
              </w:rPr>
            </w:pPr>
            <w:r w:rsidRPr="004C2024">
              <w:rPr>
                <w:rFonts w:ascii="Times New Roman" w:hAnsi="Times New Roman"/>
              </w:rPr>
              <w:t>(iii) improved reliability;</w:t>
            </w:r>
          </w:p>
          <w:p w:rsidR="006C222D" w:rsidRPr="004C2024" w:rsidRDefault="006C222D" w:rsidP="00B770DD">
            <w:pPr>
              <w:spacing w:line="264" w:lineRule="auto"/>
              <w:ind w:left="720"/>
              <w:rPr>
                <w:rFonts w:ascii="Times New Roman" w:hAnsi="Times New Roman"/>
              </w:rPr>
            </w:pPr>
            <w:r w:rsidRPr="004C2024">
              <w:rPr>
                <w:rFonts w:ascii="Times New Roman" w:hAnsi="Times New Roman"/>
              </w:rPr>
              <w:t>(iv) security;</w:t>
            </w:r>
          </w:p>
          <w:p w:rsidR="006C222D" w:rsidRPr="004C2024" w:rsidRDefault="006C222D" w:rsidP="00B770DD">
            <w:pPr>
              <w:spacing w:line="264" w:lineRule="auto"/>
              <w:ind w:left="720"/>
              <w:rPr>
                <w:rFonts w:ascii="Times New Roman" w:hAnsi="Times New Roman"/>
              </w:rPr>
            </w:pPr>
            <w:r w:rsidRPr="004C2024">
              <w:rPr>
                <w:rFonts w:ascii="Times New Roman" w:hAnsi="Times New Roman"/>
              </w:rPr>
              <w:t>(v) system performance; and</w:t>
            </w:r>
          </w:p>
          <w:p w:rsidR="006C222D" w:rsidRDefault="006C222D" w:rsidP="00B770DD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4C2024">
              <w:rPr>
                <w:rFonts w:ascii="Times New Roman" w:hAnsi="Times New Roman"/>
              </w:rPr>
              <w:t xml:space="preserve">(vi) </w:t>
            </w:r>
            <w:proofErr w:type="gramStart"/>
            <w:r w:rsidRPr="004C2024">
              <w:rPr>
                <w:rFonts w:ascii="Times New Roman" w:hAnsi="Times New Roman"/>
              </w:rPr>
              <w:t>societal</w:t>
            </w:r>
            <w:proofErr w:type="gramEnd"/>
            <w:r w:rsidRPr="004C2024">
              <w:rPr>
                <w:rFonts w:ascii="Times New Roman" w:hAnsi="Times New Roman"/>
              </w:rPr>
              <w:t xml:space="preserve"> benefit.</w:t>
            </w:r>
          </w:p>
          <w:p w:rsidR="006C222D" w:rsidRPr="004C2024" w:rsidRDefault="006C222D" w:rsidP="00B770DD">
            <w:pPr>
              <w:spacing w:line="264" w:lineRule="auto"/>
              <w:rPr>
                <w:rFonts w:ascii="Times New Roman" w:hAnsi="Times New Roman"/>
                <w:b/>
              </w:rPr>
            </w:pPr>
          </w:p>
        </w:tc>
      </w:tr>
      <w:tr w:rsidR="00DA4ECB" w:rsidRPr="004C2024" w:rsidTr="004C2024">
        <w:tc>
          <w:tcPr>
            <w:tcW w:w="13255" w:type="dxa"/>
            <w:gridSpan w:val="2"/>
          </w:tcPr>
          <w:p w:rsidR="00DA4ECB" w:rsidRPr="004C2024" w:rsidRDefault="00DA4ECB" w:rsidP="00B770DD">
            <w:pPr>
              <w:pStyle w:val="BodyText3"/>
              <w:suppressAutoHyphens w:val="0"/>
              <w:spacing w:line="264" w:lineRule="auto"/>
              <w:rPr>
                <w:b/>
                <w:sz w:val="24"/>
                <w:u w:val="single"/>
              </w:rPr>
            </w:pPr>
          </w:p>
        </w:tc>
      </w:tr>
      <w:tr w:rsidR="006C222D" w:rsidRPr="004C2024" w:rsidTr="00DA4ECB">
        <w:tc>
          <w:tcPr>
            <w:tcW w:w="295" w:type="dxa"/>
            <w:shd w:val="pct10" w:color="auto" w:fill="auto"/>
          </w:tcPr>
          <w:p w:rsidR="006C222D" w:rsidRPr="004C2024" w:rsidRDefault="006C222D" w:rsidP="001D78D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0" w:type="dxa"/>
            <w:shd w:val="pct10" w:color="auto" w:fill="auto"/>
          </w:tcPr>
          <w:p w:rsidR="006C222D" w:rsidRPr="004C2024" w:rsidRDefault="006C222D" w:rsidP="006751A1">
            <w:pPr>
              <w:jc w:val="center"/>
              <w:rPr>
                <w:rFonts w:ascii="Times New Roman" w:hAnsi="Times New Roman"/>
                <w:b/>
              </w:rPr>
            </w:pPr>
            <w:r w:rsidRPr="004C2024">
              <w:rPr>
                <w:rFonts w:ascii="Times New Roman" w:hAnsi="Times New Roman"/>
                <w:b/>
              </w:rPr>
              <w:t>COMMENTS</w:t>
            </w:r>
          </w:p>
        </w:tc>
      </w:tr>
      <w:tr w:rsidR="006C222D" w:rsidRPr="004C2024" w:rsidTr="00DA4ECB">
        <w:tc>
          <w:tcPr>
            <w:tcW w:w="295" w:type="dxa"/>
          </w:tcPr>
          <w:p w:rsidR="006C222D" w:rsidRPr="004C2024" w:rsidRDefault="006C222D" w:rsidP="001D78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0" w:type="dxa"/>
          </w:tcPr>
          <w:p w:rsidR="006C222D" w:rsidRDefault="006C222D" w:rsidP="004C2024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  <w:r w:rsidRPr="004C2024">
              <w:rPr>
                <w:sz w:val="24"/>
              </w:rPr>
              <w:t>The Commission received written comments</w:t>
            </w:r>
            <w:r w:rsidR="008F7B2D">
              <w:rPr>
                <w:sz w:val="24"/>
              </w:rPr>
              <w:t xml:space="preserve"> from </w:t>
            </w:r>
            <w:proofErr w:type="spellStart"/>
            <w:r w:rsidR="008F7B2D">
              <w:rPr>
                <w:sz w:val="24"/>
              </w:rPr>
              <w:t>Avista</w:t>
            </w:r>
            <w:proofErr w:type="spellEnd"/>
            <w:r w:rsidR="008F7B2D">
              <w:rPr>
                <w:sz w:val="24"/>
              </w:rPr>
              <w:t xml:space="preserve"> Utilities (</w:t>
            </w:r>
            <w:proofErr w:type="spellStart"/>
            <w:r w:rsidR="008F7B2D">
              <w:rPr>
                <w:sz w:val="24"/>
              </w:rPr>
              <w:t>Avista</w:t>
            </w:r>
            <w:proofErr w:type="spellEnd"/>
            <w:r w:rsidR="008F7B2D">
              <w:rPr>
                <w:sz w:val="24"/>
              </w:rPr>
              <w:t>) and Puget Sound Energy (PSE)</w:t>
            </w:r>
            <w:r w:rsidR="00BC264A">
              <w:rPr>
                <w:sz w:val="24"/>
              </w:rPr>
              <w:t xml:space="preserve"> on</w:t>
            </w:r>
            <w:r w:rsidRPr="004C2024">
              <w:rPr>
                <w:sz w:val="24"/>
              </w:rPr>
              <w:t xml:space="preserve"> </w:t>
            </w:r>
            <w:r w:rsidR="008F7B2D">
              <w:rPr>
                <w:sz w:val="24"/>
              </w:rPr>
              <w:t>its CR-102 Draft R</w:t>
            </w:r>
            <w:r w:rsidR="00CE569A">
              <w:rPr>
                <w:sz w:val="24"/>
              </w:rPr>
              <w:t>ule.</w:t>
            </w:r>
            <w:r w:rsidR="00BC264A">
              <w:rPr>
                <w:sz w:val="24"/>
              </w:rPr>
              <w:t xml:space="preserve"> </w:t>
            </w:r>
          </w:p>
          <w:p w:rsidR="006C222D" w:rsidRDefault="006C222D" w:rsidP="004C2024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</w:p>
          <w:p w:rsidR="006C222D" w:rsidRDefault="009164B8" w:rsidP="004C2024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Avista</w:t>
            </w:r>
            <w:proofErr w:type="spellEnd"/>
            <w:r>
              <w:rPr>
                <w:sz w:val="24"/>
              </w:rPr>
              <w:t xml:space="preserve"> suggests that it is important to consider </w:t>
            </w:r>
            <w:r w:rsidR="002601C7">
              <w:rPr>
                <w:sz w:val="24"/>
              </w:rPr>
              <w:t xml:space="preserve">the activities under </w:t>
            </w:r>
            <w:r w:rsidR="002601C7" w:rsidRPr="002601C7">
              <w:rPr>
                <w:sz w:val="24"/>
              </w:rPr>
              <w:t xml:space="preserve">the Smart Grid Demonstration Projects </w:t>
            </w:r>
            <w:r w:rsidR="00C20126">
              <w:rPr>
                <w:sz w:val="24"/>
              </w:rPr>
              <w:t xml:space="preserve">(SGDG) </w:t>
            </w:r>
            <w:r w:rsidR="002601C7" w:rsidRPr="002601C7">
              <w:rPr>
                <w:sz w:val="24"/>
              </w:rPr>
              <w:t>and Smart Grid Investment Grant Program</w:t>
            </w:r>
            <w:r w:rsidR="00C20126">
              <w:rPr>
                <w:sz w:val="24"/>
              </w:rPr>
              <w:t xml:space="preserve"> (SGIG)</w:t>
            </w:r>
            <w:r w:rsidR="002601C7">
              <w:rPr>
                <w:sz w:val="24"/>
              </w:rPr>
              <w:t>.</w:t>
            </w:r>
            <w:r w:rsidRPr="002601C7">
              <w:rPr>
                <w:sz w:val="24"/>
              </w:rPr>
              <w:t xml:space="preserve"> </w:t>
            </w:r>
            <w:proofErr w:type="spellStart"/>
            <w:r w:rsidR="006C222D" w:rsidRPr="002601C7">
              <w:rPr>
                <w:sz w:val="24"/>
              </w:rPr>
              <w:t>Avista</w:t>
            </w:r>
            <w:proofErr w:type="spellEnd"/>
            <w:r w:rsidR="006C222D" w:rsidRPr="002601C7">
              <w:rPr>
                <w:sz w:val="24"/>
              </w:rPr>
              <w:t xml:space="preserve"> </w:t>
            </w:r>
            <w:r w:rsidR="003541AC" w:rsidRPr="002601C7">
              <w:rPr>
                <w:sz w:val="24"/>
              </w:rPr>
              <w:t xml:space="preserve">states that </w:t>
            </w:r>
            <w:r w:rsidR="006C222D" w:rsidRPr="002601C7">
              <w:rPr>
                <w:sz w:val="24"/>
              </w:rPr>
              <w:t xml:space="preserve">smart grid is </w:t>
            </w:r>
            <w:r w:rsidRPr="002601C7">
              <w:rPr>
                <w:sz w:val="24"/>
              </w:rPr>
              <w:t>a strategy to incorporate into the planning process rather than</w:t>
            </w:r>
            <w:r>
              <w:rPr>
                <w:sz w:val="24"/>
              </w:rPr>
              <w:t xml:space="preserve"> a technology. </w:t>
            </w:r>
            <w:proofErr w:type="spellStart"/>
            <w:r>
              <w:rPr>
                <w:sz w:val="24"/>
              </w:rPr>
              <w:t>Avista</w:t>
            </w:r>
            <w:proofErr w:type="spellEnd"/>
            <w:r>
              <w:rPr>
                <w:sz w:val="24"/>
              </w:rPr>
              <w:t xml:space="preserve"> also restates its interest in seeing the reporting rules serve an educational role.  </w:t>
            </w:r>
          </w:p>
          <w:p w:rsidR="006C222D" w:rsidRDefault="006C222D" w:rsidP="004C2024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</w:p>
          <w:p w:rsidR="006C222D" w:rsidRDefault="006C222D" w:rsidP="002601C7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PSE </w:t>
            </w:r>
            <w:r w:rsidR="009164B8">
              <w:rPr>
                <w:sz w:val="24"/>
              </w:rPr>
              <w:t>also believes it is importa</w:t>
            </w:r>
            <w:r w:rsidR="002601C7">
              <w:rPr>
                <w:sz w:val="24"/>
              </w:rPr>
              <w:t>n</w:t>
            </w:r>
            <w:r w:rsidR="009164B8">
              <w:rPr>
                <w:sz w:val="24"/>
              </w:rPr>
              <w:t>t</w:t>
            </w:r>
            <w:r w:rsidR="002601C7">
              <w:rPr>
                <w:sz w:val="24"/>
              </w:rPr>
              <w:t xml:space="preserve"> to consider the SGDG and SGIG activities and lists some of the smart grid developments on the national level. </w:t>
            </w:r>
          </w:p>
          <w:p w:rsidR="002601C7" w:rsidRDefault="002601C7" w:rsidP="002601C7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</w:p>
          <w:p w:rsidR="002601C7" w:rsidRPr="009960E4" w:rsidRDefault="002601C7" w:rsidP="002601C7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</w:p>
        </w:tc>
      </w:tr>
    </w:tbl>
    <w:p w:rsidR="006F57DF" w:rsidRDefault="006F57DF"/>
    <w:tbl>
      <w:tblPr>
        <w:tblW w:w="13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BF"/>
      </w:tblPr>
      <w:tblGrid>
        <w:gridCol w:w="7"/>
        <w:gridCol w:w="288"/>
        <w:gridCol w:w="12960"/>
      </w:tblGrid>
      <w:tr w:rsidR="006C222D" w:rsidRPr="004C2024" w:rsidTr="00624808">
        <w:tc>
          <w:tcPr>
            <w:tcW w:w="295" w:type="dxa"/>
            <w:gridSpan w:val="2"/>
            <w:shd w:val="pct10" w:color="auto" w:fill="auto"/>
          </w:tcPr>
          <w:p w:rsidR="006C222D" w:rsidRPr="007A087A" w:rsidRDefault="006C222D" w:rsidP="004B54F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960" w:type="dxa"/>
            <w:shd w:val="pct10" w:color="auto" w:fill="auto"/>
          </w:tcPr>
          <w:p w:rsidR="003E423C" w:rsidRPr="003E423C" w:rsidRDefault="0022280D" w:rsidP="004C2024">
            <w:pPr>
              <w:pStyle w:val="BodyText3"/>
              <w:suppressAutoHyphens w:val="0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WAC 480-100-505</w:t>
            </w:r>
            <w:r w:rsidR="003E423C" w:rsidRPr="003E423C">
              <w:rPr>
                <w:b/>
                <w:sz w:val="24"/>
              </w:rPr>
              <w:t xml:space="preserve"> (2)(a)</w:t>
            </w:r>
          </w:p>
          <w:p w:rsidR="006C222D" w:rsidRPr="004C2024" w:rsidRDefault="006C222D" w:rsidP="004C2024">
            <w:pPr>
              <w:pStyle w:val="BodyText3"/>
              <w:suppressAutoHyphens w:val="0"/>
              <w:spacing w:line="264" w:lineRule="auto"/>
              <w:jc w:val="center"/>
              <w:rPr>
                <w:sz w:val="24"/>
              </w:rPr>
            </w:pPr>
            <w:r w:rsidRPr="004C2024">
              <w:rPr>
                <w:b/>
                <w:sz w:val="24"/>
              </w:rPr>
              <w:t>COMMENTS</w:t>
            </w:r>
          </w:p>
        </w:tc>
      </w:tr>
      <w:tr w:rsidR="006C222D" w:rsidRPr="004C2024" w:rsidTr="00624808">
        <w:tc>
          <w:tcPr>
            <w:tcW w:w="295" w:type="dxa"/>
            <w:gridSpan w:val="2"/>
          </w:tcPr>
          <w:p w:rsidR="006C222D" w:rsidRPr="004C2024" w:rsidRDefault="006C222D" w:rsidP="0057507D">
            <w:pPr>
              <w:rPr>
                <w:rFonts w:ascii="Times New Roman" w:hAnsi="Times New Roman"/>
              </w:rPr>
            </w:pPr>
          </w:p>
        </w:tc>
        <w:tc>
          <w:tcPr>
            <w:tcW w:w="12960" w:type="dxa"/>
          </w:tcPr>
          <w:p w:rsidR="006C222D" w:rsidRDefault="006C222D" w:rsidP="009F0472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  <w:proofErr w:type="spellStart"/>
            <w:r w:rsidRPr="00725808">
              <w:rPr>
                <w:sz w:val="24"/>
              </w:rPr>
              <w:t>Avista</w:t>
            </w:r>
            <w:proofErr w:type="spellEnd"/>
            <w:r w:rsidRPr="00725808">
              <w:rPr>
                <w:sz w:val="24"/>
              </w:rPr>
              <w:t xml:space="preserve"> </w:t>
            </w:r>
            <w:r w:rsidR="0017779D">
              <w:rPr>
                <w:sz w:val="24"/>
              </w:rPr>
              <w:t>reiterates</w:t>
            </w:r>
            <w:r w:rsidR="00CE569A">
              <w:rPr>
                <w:sz w:val="24"/>
              </w:rPr>
              <w:t xml:space="preserve"> that it considers smart gri</w:t>
            </w:r>
            <w:r w:rsidR="002601C7">
              <w:rPr>
                <w:sz w:val="24"/>
              </w:rPr>
              <w:t>d a “</w:t>
            </w:r>
            <w:r w:rsidR="0017779D">
              <w:rPr>
                <w:sz w:val="24"/>
              </w:rPr>
              <w:t>system</w:t>
            </w:r>
            <w:r w:rsidR="002601C7">
              <w:rPr>
                <w:sz w:val="24"/>
              </w:rPr>
              <w:t xml:space="preserve"> of systems” </w:t>
            </w:r>
            <w:r w:rsidR="00CE569A">
              <w:rPr>
                <w:sz w:val="24"/>
              </w:rPr>
              <w:t xml:space="preserve">rather than </w:t>
            </w:r>
            <w:r w:rsidR="002601C7">
              <w:rPr>
                <w:sz w:val="24"/>
              </w:rPr>
              <w:t>a separa</w:t>
            </w:r>
            <w:r w:rsidR="0017779D">
              <w:rPr>
                <w:sz w:val="24"/>
              </w:rPr>
              <w:t>te definable “function.”</w:t>
            </w:r>
            <w:r w:rsidRPr="00725808">
              <w:rPr>
                <w:sz w:val="24"/>
              </w:rPr>
              <w:t xml:space="preserve"> </w:t>
            </w:r>
          </w:p>
          <w:p w:rsidR="002601C7" w:rsidRPr="00725808" w:rsidRDefault="002601C7" w:rsidP="0017779D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PSE states that the smart </w:t>
            </w:r>
            <w:r w:rsidR="00017207">
              <w:rPr>
                <w:sz w:val="24"/>
              </w:rPr>
              <w:t xml:space="preserve">grid </w:t>
            </w:r>
            <w:r>
              <w:rPr>
                <w:sz w:val="24"/>
              </w:rPr>
              <w:t>definition in the rule still does not align entirely with the federal definition in EISA 2007.</w:t>
            </w:r>
            <w:r w:rsidR="0017779D">
              <w:rPr>
                <w:sz w:val="24"/>
              </w:rPr>
              <w:t xml:space="preserve"> PSE proposes specific language for part (2</w:t>
            </w:r>
            <w:proofErr w:type="gramStart"/>
            <w:r w:rsidR="0017779D">
              <w:rPr>
                <w:sz w:val="24"/>
              </w:rPr>
              <w:t>)(</w:t>
            </w:r>
            <w:proofErr w:type="gramEnd"/>
            <w:r w:rsidR="0017779D">
              <w:rPr>
                <w:sz w:val="24"/>
              </w:rPr>
              <w:t>a)(vi),(vii) and (viii). PSE is al</w:t>
            </w:r>
            <w:r w:rsidR="000C3B3C">
              <w:rPr>
                <w:sz w:val="24"/>
              </w:rPr>
              <w:t>so concerned that some smart gri</w:t>
            </w:r>
            <w:r w:rsidR="0017779D">
              <w:rPr>
                <w:sz w:val="24"/>
              </w:rPr>
              <w:t>d function</w:t>
            </w:r>
            <w:r w:rsidR="00CE569A">
              <w:rPr>
                <w:sz w:val="24"/>
              </w:rPr>
              <w:t>s</w:t>
            </w:r>
            <w:r w:rsidR="0017779D">
              <w:rPr>
                <w:sz w:val="24"/>
              </w:rPr>
              <w:t xml:space="preserve"> in the rule may already be covered under the definition of conservation.</w:t>
            </w:r>
          </w:p>
        </w:tc>
      </w:tr>
      <w:tr w:rsidR="006C222D" w:rsidRPr="004C2024" w:rsidTr="00624808">
        <w:tc>
          <w:tcPr>
            <w:tcW w:w="295" w:type="dxa"/>
            <w:gridSpan w:val="2"/>
          </w:tcPr>
          <w:p w:rsidR="006C222D" w:rsidRPr="004C2024" w:rsidRDefault="006C222D" w:rsidP="0057507D">
            <w:pPr>
              <w:rPr>
                <w:rFonts w:ascii="Times New Roman" w:hAnsi="Times New Roman"/>
              </w:rPr>
            </w:pPr>
          </w:p>
        </w:tc>
        <w:tc>
          <w:tcPr>
            <w:tcW w:w="12960" w:type="dxa"/>
          </w:tcPr>
          <w:p w:rsidR="006C222D" w:rsidRPr="004C2024" w:rsidRDefault="006C222D" w:rsidP="0057507D">
            <w:pPr>
              <w:rPr>
                <w:rFonts w:ascii="Times New Roman" w:hAnsi="Times New Roman"/>
              </w:rPr>
            </w:pPr>
          </w:p>
        </w:tc>
      </w:tr>
      <w:tr w:rsidR="006C222D" w:rsidRPr="004C2024" w:rsidTr="0062480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88" w:type="dxa"/>
            <w:shd w:val="pct10" w:color="auto" w:fill="auto"/>
          </w:tcPr>
          <w:p w:rsidR="006C222D" w:rsidRPr="004C2024" w:rsidRDefault="006C222D" w:rsidP="004B54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0" w:type="dxa"/>
            <w:shd w:val="pct10" w:color="auto" w:fill="auto"/>
          </w:tcPr>
          <w:p w:rsidR="003E423C" w:rsidRDefault="0022280D" w:rsidP="00704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WAC 480-100-505</w:t>
            </w:r>
            <w:r w:rsidR="003E423C" w:rsidRPr="007A087A">
              <w:rPr>
                <w:rFonts w:ascii="Times New Roman" w:hAnsi="Times New Roman"/>
                <w:b/>
              </w:rPr>
              <w:t xml:space="preserve"> (2)(</w:t>
            </w:r>
            <w:r w:rsidR="003E423C">
              <w:rPr>
                <w:rFonts w:ascii="Times New Roman" w:hAnsi="Times New Roman"/>
                <w:b/>
              </w:rPr>
              <w:t>b)</w:t>
            </w:r>
          </w:p>
          <w:p w:rsidR="006C222D" w:rsidRPr="004C2024" w:rsidRDefault="006C222D" w:rsidP="00704BFE">
            <w:pPr>
              <w:jc w:val="center"/>
              <w:rPr>
                <w:rFonts w:ascii="Times New Roman" w:hAnsi="Times New Roman"/>
                <w:b/>
              </w:rPr>
            </w:pPr>
            <w:r w:rsidRPr="004C2024">
              <w:rPr>
                <w:rFonts w:ascii="Times New Roman" w:hAnsi="Times New Roman"/>
                <w:b/>
              </w:rPr>
              <w:t>COMMENTS</w:t>
            </w:r>
          </w:p>
        </w:tc>
      </w:tr>
      <w:tr w:rsidR="006C222D" w:rsidRPr="004C2024" w:rsidTr="0062480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88" w:type="dxa"/>
            <w:shd w:val="clear" w:color="auto" w:fill="FFFFFF"/>
          </w:tcPr>
          <w:p w:rsidR="006C222D" w:rsidRPr="007A087A" w:rsidRDefault="006C222D" w:rsidP="00704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0" w:type="dxa"/>
            <w:shd w:val="clear" w:color="auto" w:fill="FFFFFF"/>
          </w:tcPr>
          <w:p w:rsidR="0017779D" w:rsidRDefault="006C222D" w:rsidP="001221EB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Avista</w:t>
            </w:r>
            <w:proofErr w:type="spellEnd"/>
            <w:r>
              <w:rPr>
                <w:sz w:val="24"/>
              </w:rPr>
              <w:t xml:space="preserve"> </w:t>
            </w:r>
            <w:r w:rsidR="0017779D">
              <w:rPr>
                <w:sz w:val="24"/>
              </w:rPr>
              <w:t xml:space="preserve">does not support the need to single out pilot activities.  It asserts that pilot projects would </w:t>
            </w:r>
            <w:r w:rsidR="00017207">
              <w:rPr>
                <w:sz w:val="24"/>
              </w:rPr>
              <w:t xml:space="preserve">function as a testing </w:t>
            </w:r>
            <w:r w:rsidR="00CE40E2">
              <w:rPr>
                <w:sz w:val="24"/>
              </w:rPr>
              <w:t xml:space="preserve">of </w:t>
            </w:r>
            <w:r w:rsidR="0017779D">
              <w:rPr>
                <w:sz w:val="24"/>
              </w:rPr>
              <w:t xml:space="preserve">new technologies </w:t>
            </w:r>
            <w:r w:rsidR="007B03DE">
              <w:rPr>
                <w:sz w:val="24"/>
              </w:rPr>
              <w:t>for the purpose of lowering the future co</w:t>
            </w:r>
            <w:r w:rsidR="000C3B3C">
              <w:rPr>
                <w:sz w:val="24"/>
              </w:rPr>
              <w:t>st of implementing the smart gri</w:t>
            </w:r>
            <w:r w:rsidR="007B03DE">
              <w:rPr>
                <w:sz w:val="24"/>
              </w:rPr>
              <w:t xml:space="preserve">d technologies.  </w:t>
            </w:r>
            <w:proofErr w:type="spellStart"/>
            <w:r w:rsidR="0017779D">
              <w:rPr>
                <w:sz w:val="24"/>
              </w:rPr>
              <w:t>Avista</w:t>
            </w:r>
            <w:proofErr w:type="spellEnd"/>
            <w:r w:rsidR="0017779D">
              <w:rPr>
                <w:sz w:val="24"/>
              </w:rPr>
              <w:t xml:space="preserve"> proposes some language for (2</w:t>
            </w:r>
            <w:proofErr w:type="gramStart"/>
            <w:r w:rsidR="0017779D">
              <w:rPr>
                <w:sz w:val="24"/>
              </w:rPr>
              <w:t>)(</w:t>
            </w:r>
            <w:proofErr w:type="gramEnd"/>
            <w:r w:rsidR="0017779D">
              <w:rPr>
                <w:sz w:val="24"/>
              </w:rPr>
              <w:t>b)</w:t>
            </w:r>
            <w:r w:rsidR="000C3B3C">
              <w:rPr>
                <w:sz w:val="24"/>
              </w:rPr>
              <w:t xml:space="preserve"> defining smart gri</w:t>
            </w:r>
            <w:r w:rsidR="007B03DE">
              <w:rPr>
                <w:sz w:val="24"/>
              </w:rPr>
              <w:t>d pilot</w:t>
            </w:r>
            <w:r w:rsidR="0017779D">
              <w:rPr>
                <w:sz w:val="24"/>
              </w:rPr>
              <w:t xml:space="preserve">. </w:t>
            </w:r>
          </w:p>
          <w:p w:rsidR="0017779D" w:rsidRDefault="0017779D" w:rsidP="001221EB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</w:p>
          <w:p w:rsidR="006C222D" w:rsidRDefault="006C222D" w:rsidP="001221EB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PSE suggests </w:t>
            </w:r>
            <w:r w:rsidR="0017779D">
              <w:rPr>
                <w:sz w:val="24"/>
              </w:rPr>
              <w:t xml:space="preserve">that the rules recognize that smart grid pilots will not be cost effective in-and-of themselves but lead to lower cost </w:t>
            </w:r>
            <w:r w:rsidR="0022280D">
              <w:rPr>
                <w:sz w:val="24"/>
              </w:rPr>
              <w:t xml:space="preserve">implementation of smart grid. PSE proposes a definition of smart grid pilot that reflects this concept. </w:t>
            </w:r>
          </w:p>
          <w:p w:rsidR="006C222D" w:rsidRPr="004C2024" w:rsidRDefault="006C222D" w:rsidP="006F57DF">
            <w:pPr>
              <w:pStyle w:val="BodyText3"/>
              <w:suppressAutoHyphens w:val="0"/>
              <w:spacing w:line="264" w:lineRule="auto"/>
              <w:rPr>
                <w:b/>
              </w:rPr>
            </w:pPr>
          </w:p>
        </w:tc>
      </w:tr>
      <w:tr w:rsidR="006C222D" w:rsidRPr="004C2024" w:rsidTr="0062480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88" w:type="dxa"/>
            <w:shd w:val="pct10" w:color="auto" w:fill="auto"/>
          </w:tcPr>
          <w:p w:rsidR="006C222D" w:rsidRPr="00603FA1" w:rsidRDefault="006C222D" w:rsidP="00704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0" w:type="dxa"/>
            <w:shd w:val="pct10" w:color="auto" w:fill="auto"/>
          </w:tcPr>
          <w:p w:rsidR="003E423C" w:rsidRDefault="0022280D" w:rsidP="00704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WAC 480-100-505</w:t>
            </w:r>
            <w:r w:rsidR="003E423C" w:rsidRPr="00603FA1">
              <w:rPr>
                <w:rFonts w:ascii="Times New Roman" w:hAnsi="Times New Roman"/>
                <w:b/>
              </w:rPr>
              <w:t xml:space="preserve"> (2)(c)</w:t>
            </w:r>
          </w:p>
          <w:p w:rsidR="006C222D" w:rsidRPr="004C2024" w:rsidRDefault="006F57DF" w:rsidP="00704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6C222D" w:rsidRPr="00711AB2" w:rsidTr="00CF58F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FFFFFF"/>
          </w:tcPr>
          <w:p w:rsidR="006C222D" w:rsidRPr="007A087A" w:rsidRDefault="006C222D" w:rsidP="00704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0" w:type="dxa"/>
            <w:tcBorders>
              <w:bottom w:val="single" w:sz="4" w:space="0" w:color="auto"/>
            </w:tcBorders>
            <w:shd w:val="clear" w:color="auto" w:fill="FFFFFF"/>
          </w:tcPr>
          <w:p w:rsidR="006C222D" w:rsidRPr="003B1C60" w:rsidRDefault="006C222D" w:rsidP="00823C3F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</w:p>
          <w:p w:rsidR="006C222D" w:rsidRPr="003B1C60" w:rsidRDefault="006C222D" w:rsidP="00361A05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  <w:r w:rsidRPr="003B1C60">
              <w:rPr>
                <w:sz w:val="24"/>
              </w:rPr>
              <w:t xml:space="preserve">PSE </w:t>
            </w:r>
            <w:r w:rsidR="0022280D" w:rsidRPr="003B1C60">
              <w:rPr>
                <w:sz w:val="24"/>
              </w:rPr>
              <w:t xml:space="preserve">states that the definition </w:t>
            </w:r>
            <w:r w:rsidR="00D50118">
              <w:rPr>
                <w:sz w:val="24"/>
              </w:rPr>
              <w:t xml:space="preserve">in the proposed rule </w:t>
            </w:r>
            <w:r w:rsidR="0022280D" w:rsidRPr="003B1C60">
              <w:rPr>
                <w:sz w:val="24"/>
              </w:rPr>
              <w:t>may not include enabling customer products and programs behind the meter or enabling distributed generation and suggests language</w:t>
            </w:r>
            <w:r w:rsidR="00D50118">
              <w:rPr>
                <w:sz w:val="24"/>
              </w:rPr>
              <w:t xml:space="preserve"> that explicitly includes it</w:t>
            </w:r>
            <w:r w:rsidR="0022280D" w:rsidRPr="003B1C60">
              <w:rPr>
                <w:sz w:val="24"/>
              </w:rPr>
              <w:t>.</w:t>
            </w:r>
          </w:p>
          <w:p w:rsidR="006C222D" w:rsidRPr="003B1C60" w:rsidRDefault="006C222D" w:rsidP="006F57DF">
            <w:pPr>
              <w:pStyle w:val="BodyText3"/>
              <w:suppressAutoHyphens w:val="0"/>
              <w:spacing w:line="264" w:lineRule="auto"/>
            </w:pPr>
          </w:p>
        </w:tc>
      </w:tr>
      <w:tr w:rsidR="0022280D" w:rsidRPr="00711AB2" w:rsidTr="00CF58F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88" w:type="dxa"/>
            <w:shd w:val="pct10" w:color="auto" w:fill="FFFFFF"/>
          </w:tcPr>
          <w:p w:rsidR="0022280D" w:rsidRPr="007A087A" w:rsidRDefault="0022280D" w:rsidP="00704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0" w:type="dxa"/>
            <w:shd w:val="pct10" w:color="auto" w:fill="FFFFFF"/>
          </w:tcPr>
          <w:p w:rsidR="0022280D" w:rsidRPr="003B1C60" w:rsidRDefault="0022280D" w:rsidP="0022280D">
            <w:pPr>
              <w:pStyle w:val="BodyText3"/>
              <w:suppressAutoHyphens w:val="0"/>
              <w:spacing w:line="264" w:lineRule="auto"/>
              <w:jc w:val="center"/>
              <w:rPr>
                <w:b/>
                <w:sz w:val="24"/>
              </w:rPr>
            </w:pPr>
            <w:r w:rsidRPr="003B1C60">
              <w:rPr>
                <w:b/>
                <w:sz w:val="24"/>
              </w:rPr>
              <w:t>WAC 480-100-505 (2)(d)</w:t>
            </w:r>
          </w:p>
          <w:p w:rsidR="0022280D" w:rsidRPr="003B1C60" w:rsidRDefault="0022280D" w:rsidP="0022280D">
            <w:pPr>
              <w:pStyle w:val="BodyText3"/>
              <w:suppressAutoHyphens w:val="0"/>
              <w:spacing w:line="264" w:lineRule="auto"/>
              <w:jc w:val="center"/>
              <w:rPr>
                <w:sz w:val="24"/>
              </w:rPr>
            </w:pPr>
            <w:r w:rsidRPr="003B1C60">
              <w:rPr>
                <w:b/>
                <w:sz w:val="24"/>
              </w:rPr>
              <w:t>COMMENTS</w:t>
            </w:r>
          </w:p>
        </w:tc>
      </w:tr>
      <w:tr w:rsidR="0022280D" w:rsidRPr="00711AB2" w:rsidTr="0062480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88" w:type="dxa"/>
            <w:shd w:val="clear" w:color="auto" w:fill="FFFFFF"/>
          </w:tcPr>
          <w:p w:rsidR="0022280D" w:rsidRPr="007A087A" w:rsidRDefault="0022280D" w:rsidP="00704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0" w:type="dxa"/>
            <w:shd w:val="clear" w:color="auto" w:fill="FFFFFF"/>
          </w:tcPr>
          <w:p w:rsidR="00683B7E" w:rsidRPr="003B1C60" w:rsidRDefault="0022280D" w:rsidP="00683B7E">
            <w:pPr>
              <w:rPr>
                <w:rFonts w:ascii="Times New Roman" w:hAnsi="Times New Roman"/>
              </w:rPr>
            </w:pPr>
            <w:r w:rsidRPr="003B1C60">
              <w:rPr>
                <w:rFonts w:ascii="Times New Roman" w:hAnsi="Times New Roman"/>
              </w:rPr>
              <w:t xml:space="preserve">PSE </w:t>
            </w:r>
            <w:r w:rsidR="00683B7E" w:rsidRPr="003B1C60">
              <w:rPr>
                <w:rFonts w:ascii="Times New Roman" w:hAnsi="Times New Roman"/>
              </w:rPr>
              <w:t xml:space="preserve">states that it interprets the language to mean that the utility is only required to submit a report describing smart grid technologies that it has both implementation plans for and an evaluation of. </w:t>
            </w:r>
          </w:p>
          <w:p w:rsidR="0022280D" w:rsidRPr="003B1C60" w:rsidRDefault="0022280D" w:rsidP="0022280D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</w:p>
        </w:tc>
      </w:tr>
      <w:tr w:rsidR="006C222D" w:rsidRPr="004C2024" w:rsidTr="0062480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88" w:type="dxa"/>
            <w:shd w:val="pct10" w:color="auto" w:fill="auto"/>
          </w:tcPr>
          <w:p w:rsidR="006C222D" w:rsidRPr="007A087A" w:rsidRDefault="006C222D" w:rsidP="00704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0" w:type="dxa"/>
            <w:shd w:val="pct10" w:color="auto" w:fill="auto"/>
          </w:tcPr>
          <w:p w:rsidR="003E423C" w:rsidRDefault="00683B7E" w:rsidP="00704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WAC 480-100-505</w:t>
            </w:r>
            <w:r w:rsidR="003E423C" w:rsidRPr="007A087A">
              <w:rPr>
                <w:rFonts w:ascii="Times New Roman" w:hAnsi="Times New Roman"/>
                <w:b/>
              </w:rPr>
              <w:t xml:space="preserve"> (</w:t>
            </w:r>
            <w:r w:rsidR="003E423C">
              <w:rPr>
                <w:rFonts w:ascii="Times New Roman" w:hAnsi="Times New Roman"/>
                <w:b/>
              </w:rPr>
              <w:t>3)</w:t>
            </w:r>
          </w:p>
          <w:p w:rsidR="006C222D" w:rsidRPr="004C2024" w:rsidRDefault="006F57DF" w:rsidP="00704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6C222D" w:rsidRPr="004C2024" w:rsidTr="0062480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88" w:type="dxa"/>
            <w:shd w:val="clear" w:color="auto" w:fill="FFFFFF"/>
          </w:tcPr>
          <w:p w:rsidR="006C222D" w:rsidRPr="007A087A" w:rsidRDefault="006C222D" w:rsidP="00704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0" w:type="dxa"/>
            <w:shd w:val="clear" w:color="auto" w:fill="FFFFFF"/>
          </w:tcPr>
          <w:p w:rsidR="006C222D" w:rsidRDefault="00683B7E" w:rsidP="00823C3F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In light of the SGIG and SGDG projects, </w:t>
            </w:r>
            <w:proofErr w:type="spellStart"/>
            <w:r w:rsidR="006C222D">
              <w:rPr>
                <w:sz w:val="24"/>
              </w:rPr>
              <w:t>Avista</w:t>
            </w:r>
            <w:proofErr w:type="spellEnd"/>
            <w:r w:rsidR="006C222D">
              <w:rPr>
                <w:sz w:val="24"/>
              </w:rPr>
              <w:t xml:space="preserve"> suggests that </w:t>
            </w:r>
            <w:r>
              <w:rPr>
                <w:sz w:val="24"/>
              </w:rPr>
              <w:t xml:space="preserve">it would be premature to have the first report due in 2010 and suggests </w:t>
            </w:r>
            <w:r w:rsidR="006C222D">
              <w:rPr>
                <w:sz w:val="24"/>
              </w:rPr>
              <w:t xml:space="preserve">the first report not be due until September 1, 2011 and that the subsequent reports be in 2014 and 2017 at which </w:t>
            </w:r>
            <w:r w:rsidR="00D50118">
              <w:rPr>
                <w:sz w:val="24"/>
              </w:rPr>
              <w:t>time</w:t>
            </w:r>
            <w:r w:rsidR="006C222D">
              <w:rPr>
                <w:sz w:val="24"/>
              </w:rPr>
              <w:t xml:space="preserve"> the reporting rule would sunset.</w:t>
            </w:r>
          </w:p>
          <w:p w:rsidR="006C222D" w:rsidRDefault="006C222D" w:rsidP="00823C3F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</w:p>
          <w:p w:rsidR="006F57DF" w:rsidRPr="004C2024" w:rsidRDefault="006F57DF" w:rsidP="00683B7E">
            <w:pPr>
              <w:pStyle w:val="BodyText3"/>
              <w:suppressAutoHyphens w:val="0"/>
              <w:spacing w:line="264" w:lineRule="auto"/>
              <w:rPr>
                <w:b/>
              </w:rPr>
            </w:pPr>
          </w:p>
        </w:tc>
      </w:tr>
      <w:tr w:rsidR="006C222D" w:rsidRPr="004C2024" w:rsidTr="0062480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88" w:type="dxa"/>
            <w:shd w:val="pct10" w:color="auto" w:fill="auto"/>
          </w:tcPr>
          <w:p w:rsidR="006C222D" w:rsidRPr="007A087A" w:rsidRDefault="006C222D" w:rsidP="00704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0" w:type="dxa"/>
            <w:shd w:val="pct10" w:color="auto" w:fill="auto"/>
          </w:tcPr>
          <w:p w:rsidR="003E423C" w:rsidRDefault="00124321" w:rsidP="00704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WAC 480-100-505</w:t>
            </w:r>
            <w:r w:rsidR="003E423C" w:rsidRPr="007A087A">
              <w:rPr>
                <w:rFonts w:ascii="Times New Roman" w:hAnsi="Times New Roman"/>
                <w:b/>
              </w:rPr>
              <w:t xml:space="preserve"> (</w:t>
            </w:r>
            <w:r w:rsidR="003E423C">
              <w:rPr>
                <w:rFonts w:ascii="Times New Roman" w:hAnsi="Times New Roman"/>
                <w:b/>
              </w:rPr>
              <w:t>4)(a)</w:t>
            </w:r>
          </w:p>
          <w:p w:rsidR="006C222D" w:rsidRPr="004C2024" w:rsidRDefault="006F57DF" w:rsidP="00704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6C222D" w:rsidRPr="004C2024" w:rsidTr="0062480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88" w:type="dxa"/>
            <w:shd w:val="clear" w:color="auto" w:fill="FFFFFF"/>
          </w:tcPr>
          <w:p w:rsidR="006C222D" w:rsidRPr="007A087A" w:rsidRDefault="006C222D" w:rsidP="00704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0" w:type="dxa"/>
            <w:shd w:val="clear" w:color="auto" w:fill="FFFFFF"/>
          </w:tcPr>
          <w:p w:rsidR="006C222D" w:rsidRDefault="006C222D" w:rsidP="00C236BC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Avista</w:t>
            </w:r>
            <w:proofErr w:type="spellEnd"/>
            <w:r>
              <w:rPr>
                <w:sz w:val="24"/>
              </w:rPr>
              <w:t xml:space="preserve"> suggests that </w:t>
            </w:r>
            <w:r w:rsidR="00683B7E">
              <w:rPr>
                <w:sz w:val="24"/>
              </w:rPr>
              <w:t xml:space="preserve">Smart grid technologies the utility has considered should be in the context of its </w:t>
            </w:r>
            <w:r w:rsidR="00124321">
              <w:rPr>
                <w:sz w:val="24"/>
              </w:rPr>
              <w:t>intended</w:t>
            </w:r>
            <w:r w:rsidR="00683B7E">
              <w:rPr>
                <w:sz w:val="24"/>
              </w:rPr>
              <w:t xml:space="preserve"> use to improve the real-time gr</w:t>
            </w:r>
            <w:r w:rsidR="000C3B3C">
              <w:rPr>
                <w:sz w:val="24"/>
              </w:rPr>
              <w:t>id operations that meet smart grid concepts for the “modern gri</w:t>
            </w:r>
            <w:r w:rsidR="00683B7E">
              <w:rPr>
                <w:sz w:val="24"/>
              </w:rPr>
              <w:t xml:space="preserve">d.”  </w:t>
            </w:r>
            <w:proofErr w:type="spellStart"/>
            <w:r w:rsidR="00124321">
              <w:rPr>
                <w:sz w:val="24"/>
              </w:rPr>
              <w:t>Avista</w:t>
            </w:r>
            <w:proofErr w:type="spellEnd"/>
            <w:r w:rsidR="00124321">
              <w:rPr>
                <w:sz w:val="24"/>
              </w:rPr>
              <w:t xml:space="preserve"> states that it will use its road map t</w:t>
            </w:r>
            <w:r w:rsidR="000C3B3C">
              <w:rPr>
                <w:sz w:val="24"/>
              </w:rPr>
              <w:t>o provide a vision for smart gri</w:t>
            </w:r>
            <w:r w:rsidR="00124321">
              <w:rPr>
                <w:sz w:val="24"/>
              </w:rPr>
              <w:t xml:space="preserve">d improvements. </w:t>
            </w:r>
          </w:p>
          <w:p w:rsidR="00124321" w:rsidRDefault="00124321" w:rsidP="00C236BC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</w:p>
          <w:p w:rsidR="006C222D" w:rsidRPr="003B1C60" w:rsidRDefault="00124321" w:rsidP="006169D1">
            <w:pPr>
              <w:rPr>
                <w:rFonts w:ascii="Times New Roman" w:hAnsi="Times New Roman"/>
              </w:rPr>
            </w:pPr>
            <w:r w:rsidRPr="003B1C60">
              <w:rPr>
                <w:rFonts w:ascii="Times New Roman" w:hAnsi="Times New Roman"/>
              </w:rPr>
              <w:t>PSE suggests the inclusion of “commercially available” helps refine the focus of the report. PSE states that it interprets the</w:t>
            </w:r>
            <w:r w:rsidR="00754759" w:rsidRPr="003B1C60">
              <w:rPr>
                <w:rFonts w:ascii="Times New Roman" w:hAnsi="Times New Roman"/>
              </w:rPr>
              <w:t xml:space="preserve"> language in (4)(a)</w:t>
            </w:r>
            <w:r w:rsidR="006169D1" w:rsidRPr="003B1C60">
              <w:rPr>
                <w:rFonts w:ascii="Times New Roman" w:hAnsi="Times New Roman"/>
              </w:rPr>
              <w:t xml:space="preserve"> as only requiring it to submit a report describing smart grid technologies that it has both implementation plans for and an evaluation of.  PSE also reads section (4</w:t>
            </w:r>
            <w:proofErr w:type="gramStart"/>
            <w:r w:rsidR="006169D1" w:rsidRPr="003B1C60">
              <w:rPr>
                <w:rFonts w:ascii="Times New Roman" w:hAnsi="Times New Roman"/>
              </w:rPr>
              <w:t>)(</w:t>
            </w:r>
            <w:proofErr w:type="gramEnd"/>
            <w:r w:rsidR="006169D1" w:rsidRPr="003B1C60">
              <w:rPr>
                <w:rFonts w:ascii="Times New Roman" w:hAnsi="Times New Roman"/>
              </w:rPr>
              <w:t>a)(</w:t>
            </w:r>
            <w:proofErr w:type="spellStart"/>
            <w:r w:rsidR="006169D1" w:rsidRPr="003B1C60">
              <w:rPr>
                <w:rFonts w:ascii="Times New Roman" w:hAnsi="Times New Roman"/>
              </w:rPr>
              <w:t>i</w:t>
            </w:r>
            <w:proofErr w:type="spellEnd"/>
            <w:r w:rsidR="006169D1" w:rsidRPr="003B1C60">
              <w:rPr>
                <w:rFonts w:ascii="Times New Roman" w:hAnsi="Times New Roman"/>
              </w:rPr>
              <w:t xml:space="preserve">)-(x) to require only the reporting of details that the utility has both considered and evaluated. </w:t>
            </w:r>
          </w:p>
          <w:p w:rsidR="006C222D" w:rsidRPr="004C2024" w:rsidRDefault="006C222D" w:rsidP="00124321">
            <w:pPr>
              <w:pStyle w:val="BodyText3"/>
              <w:suppressAutoHyphens w:val="0"/>
              <w:spacing w:line="264" w:lineRule="auto"/>
              <w:rPr>
                <w:b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02BCD" w:rsidRPr="004C2024" w:rsidTr="0062480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88" w:type="dxa"/>
            <w:shd w:val="pct10" w:color="auto" w:fill="auto"/>
          </w:tcPr>
          <w:p w:rsidR="00F02BCD" w:rsidRPr="007A087A" w:rsidRDefault="00F02BCD" w:rsidP="00704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0" w:type="dxa"/>
            <w:shd w:val="clear" w:color="auto" w:fill="D9D9D9"/>
          </w:tcPr>
          <w:p w:rsidR="003E423C" w:rsidRDefault="006169D1" w:rsidP="006F57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WAC 480-100-505</w:t>
            </w:r>
            <w:r w:rsidR="003E423C" w:rsidRPr="007A087A">
              <w:rPr>
                <w:rFonts w:ascii="Times New Roman" w:hAnsi="Times New Roman"/>
                <w:b/>
              </w:rPr>
              <w:t xml:space="preserve"> (</w:t>
            </w:r>
            <w:r w:rsidR="003E423C">
              <w:rPr>
                <w:rFonts w:ascii="Times New Roman" w:hAnsi="Times New Roman"/>
                <w:b/>
              </w:rPr>
              <w:t>4</w:t>
            </w:r>
            <w:r w:rsidR="003E423C" w:rsidRPr="007A087A">
              <w:rPr>
                <w:rFonts w:ascii="Times New Roman" w:hAnsi="Times New Roman"/>
                <w:b/>
              </w:rPr>
              <w:t>)(</w:t>
            </w:r>
            <w:r w:rsidR="003E423C">
              <w:rPr>
                <w:rFonts w:ascii="Times New Roman" w:hAnsi="Times New Roman"/>
                <w:b/>
              </w:rPr>
              <w:t>b</w:t>
            </w:r>
            <w:r w:rsidR="003E423C" w:rsidRPr="007A087A">
              <w:rPr>
                <w:rFonts w:ascii="Times New Roman" w:hAnsi="Times New Roman"/>
                <w:b/>
              </w:rPr>
              <w:t>)</w:t>
            </w:r>
          </w:p>
          <w:p w:rsidR="00F02BCD" w:rsidRPr="006F57DF" w:rsidRDefault="006F57DF" w:rsidP="006F57DF">
            <w:pPr>
              <w:jc w:val="center"/>
              <w:rPr>
                <w:rFonts w:ascii="Times New Roman" w:hAnsi="Times New Roman"/>
                <w:b/>
              </w:rPr>
            </w:pPr>
            <w:r w:rsidRPr="006F57DF">
              <w:rPr>
                <w:rFonts w:ascii="Times New Roman" w:hAnsi="Times New Roman"/>
                <w:b/>
              </w:rPr>
              <w:t>COMMENTS</w:t>
            </w:r>
          </w:p>
        </w:tc>
      </w:tr>
      <w:tr w:rsidR="006C222D" w:rsidRPr="004C2024" w:rsidTr="0062480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88" w:type="dxa"/>
            <w:shd w:val="clear" w:color="auto" w:fill="FFFFFF"/>
          </w:tcPr>
          <w:p w:rsidR="006C222D" w:rsidRPr="007A087A" w:rsidRDefault="006C222D" w:rsidP="00704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0" w:type="dxa"/>
            <w:shd w:val="clear" w:color="auto" w:fill="FFFFFF"/>
          </w:tcPr>
          <w:p w:rsidR="006C222D" w:rsidRDefault="006C222D" w:rsidP="002E75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Avista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124321">
              <w:rPr>
                <w:rFonts w:ascii="Times New Roman" w:hAnsi="Times New Roman"/>
              </w:rPr>
              <w:t>reiterates its cautionary statement</w:t>
            </w:r>
            <w:r>
              <w:rPr>
                <w:rFonts w:ascii="Times New Roman" w:hAnsi="Times New Roman"/>
              </w:rPr>
              <w:t xml:space="preserve"> that regulatory mandates, such as security</w:t>
            </w:r>
            <w:r w:rsidR="00066CB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may require </w:t>
            </w:r>
            <w:r w:rsidR="000C3B3C">
              <w:rPr>
                <w:rFonts w:ascii="Times New Roman" w:hAnsi="Times New Roman"/>
              </w:rPr>
              <w:t xml:space="preserve">expenditures related to smart </w:t>
            </w:r>
            <w:proofErr w:type="gramStart"/>
            <w:r w:rsidR="000C3B3C">
              <w:rPr>
                <w:rFonts w:ascii="Times New Roman" w:hAnsi="Times New Roman"/>
              </w:rPr>
              <w:t>gri</w:t>
            </w:r>
            <w:r>
              <w:rPr>
                <w:rFonts w:ascii="Times New Roman" w:hAnsi="Times New Roman"/>
              </w:rPr>
              <w:t>d that are</w:t>
            </w:r>
            <w:proofErr w:type="gramEnd"/>
            <w:r>
              <w:rPr>
                <w:rFonts w:ascii="Times New Roman" w:hAnsi="Times New Roman"/>
              </w:rPr>
              <w:t xml:space="preserve"> not cost effective.</w:t>
            </w:r>
          </w:p>
          <w:p w:rsidR="006C222D" w:rsidRDefault="006C222D" w:rsidP="002E75B0">
            <w:pPr>
              <w:rPr>
                <w:rFonts w:ascii="Times New Roman" w:hAnsi="Times New Roman"/>
              </w:rPr>
            </w:pPr>
          </w:p>
          <w:p w:rsidR="006169D1" w:rsidRPr="003B1C60" w:rsidRDefault="006169D1" w:rsidP="006169D1">
            <w:pPr>
              <w:rPr>
                <w:rFonts w:ascii="Times New Roman" w:hAnsi="Times New Roman"/>
              </w:rPr>
            </w:pPr>
            <w:r w:rsidRPr="003B1C60">
              <w:rPr>
                <w:rFonts w:ascii="Times New Roman" w:hAnsi="Times New Roman"/>
              </w:rPr>
              <w:t xml:space="preserve">PSE </w:t>
            </w:r>
            <w:r w:rsidR="007B14BC">
              <w:rPr>
                <w:rFonts w:ascii="Times New Roman" w:hAnsi="Times New Roman"/>
              </w:rPr>
              <w:t xml:space="preserve">suggests the inclusion of  </w:t>
            </w:r>
            <w:r w:rsidRPr="003B1C60">
              <w:rPr>
                <w:rFonts w:ascii="Times New Roman" w:hAnsi="Times New Roman"/>
              </w:rPr>
              <w:t xml:space="preserve">“commercially available” to refine the focus of the report on mature technologies that will be able to deliver value and is more closely </w:t>
            </w:r>
            <w:r w:rsidR="00306E58" w:rsidRPr="003B1C60">
              <w:rPr>
                <w:rFonts w:ascii="Times New Roman" w:hAnsi="Times New Roman"/>
              </w:rPr>
              <w:t xml:space="preserve">aligned </w:t>
            </w:r>
            <w:r w:rsidRPr="003B1C60">
              <w:rPr>
                <w:rFonts w:ascii="Times New Roman" w:hAnsi="Times New Roman"/>
              </w:rPr>
              <w:t xml:space="preserve">to existing integrated resource planning rules. </w:t>
            </w:r>
          </w:p>
          <w:p w:rsidR="006C222D" w:rsidRPr="002E75B0" w:rsidRDefault="006C222D" w:rsidP="002E75B0">
            <w:pPr>
              <w:rPr>
                <w:rFonts w:ascii="Times New Roman" w:hAnsi="Times New Roman"/>
              </w:rPr>
            </w:pPr>
          </w:p>
        </w:tc>
      </w:tr>
      <w:tr w:rsidR="00F02BCD" w:rsidRPr="004C2024" w:rsidTr="0062480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88" w:type="dxa"/>
            <w:shd w:val="clear" w:color="auto" w:fill="D9D9D9"/>
          </w:tcPr>
          <w:p w:rsidR="00F02BCD" w:rsidRPr="007A087A" w:rsidRDefault="00F02BCD" w:rsidP="00704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0" w:type="dxa"/>
            <w:shd w:val="clear" w:color="auto" w:fill="D9D9D9"/>
          </w:tcPr>
          <w:p w:rsidR="003E423C" w:rsidRDefault="003B1C60" w:rsidP="006F57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WAC 480-100-505</w:t>
            </w:r>
            <w:r w:rsidR="003E423C" w:rsidRPr="007A087A">
              <w:rPr>
                <w:rFonts w:ascii="Times New Roman" w:hAnsi="Times New Roman"/>
                <w:b/>
              </w:rPr>
              <w:t xml:space="preserve"> (</w:t>
            </w:r>
            <w:r w:rsidR="003E423C">
              <w:rPr>
                <w:rFonts w:ascii="Times New Roman" w:hAnsi="Times New Roman"/>
                <w:b/>
              </w:rPr>
              <w:t>4</w:t>
            </w:r>
            <w:r w:rsidR="003E423C" w:rsidRPr="007A087A">
              <w:rPr>
                <w:rFonts w:ascii="Times New Roman" w:hAnsi="Times New Roman"/>
                <w:b/>
              </w:rPr>
              <w:t>)(</w:t>
            </w:r>
            <w:r w:rsidR="003E423C">
              <w:rPr>
                <w:rFonts w:ascii="Times New Roman" w:hAnsi="Times New Roman"/>
                <w:b/>
              </w:rPr>
              <w:t>c</w:t>
            </w:r>
            <w:r w:rsidR="003E423C" w:rsidRPr="007A087A">
              <w:rPr>
                <w:rFonts w:ascii="Times New Roman" w:hAnsi="Times New Roman"/>
                <w:b/>
              </w:rPr>
              <w:t>)</w:t>
            </w:r>
          </w:p>
          <w:p w:rsidR="00F02BCD" w:rsidRPr="006F57DF" w:rsidRDefault="006F57DF" w:rsidP="006F57DF">
            <w:pPr>
              <w:jc w:val="center"/>
              <w:rPr>
                <w:rFonts w:ascii="Times New Roman" w:hAnsi="Times New Roman"/>
                <w:b/>
              </w:rPr>
            </w:pPr>
            <w:r w:rsidRPr="006F57DF">
              <w:rPr>
                <w:rFonts w:ascii="Times New Roman" w:hAnsi="Times New Roman"/>
                <w:b/>
              </w:rPr>
              <w:t>COMMENTS</w:t>
            </w:r>
          </w:p>
        </w:tc>
      </w:tr>
      <w:tr w:rsidR="006C222D" w:rsidRPr="004C2024" w:rsidTr="0062480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88" w:type="dxa"/>
            <w:shd w:val="clear" w:color="auto" w:fill="FFFFFF"/>
          </w:tcPr>
          <w:p w:rsidR="006C222D" w:rsidRPr="007A087A" w:rsidRDefault="006C222D" w:rsidP="00704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0" w:type="dxa"/>
            <w:shd w:val="clear" w:color="auto" w:fill="FFFFFF"/>
          </w:tcPr>
          <w:p w:rsidR="006C222D" w:rsidRPr="00330535" w:rsidRDefault="00306E58" w:rsidP="00D50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PSE restates its concern that a utilities timelines and plans should not proscribe the actions during that planning horizon or </w:t>
            </w:r>
            <w:r w:rsidR="00D50118">
              <w:rPr>
                <w:rFonts w:ascii="Times New Roman" w:hAnsi="Times New Roman"/>
              </w:rPr>
              <w:t xml:space="preserve">that </w:t>
            </w:r>
            <w:r>
              <w:rPr>
                <w:rFonts w:ascii="Times New Roman" w:hAnsi="Times New Roman"/>
              </w:rPr>
              <w:t xml:space="preserve">the lack </w:t>
            </w:r>
            <w:r w:rsidR="000C3B3C">
              <w:rPr>
                <w:rFonts w:ascii="Times New Roman" w:hAnsi="Times New Roman"/>
              </w:rPr>
              <w:t xml:space="preserve">of </w:t>
            </w:r>
            <w:r w:rsidR="00D50118">
              <w:rPr>
                <w:rFonts w:ascii="Times New Roman" w:hAnsi="Times New Roman"/>
              </w:rPr>
              <w:t xml:space="preserve">plans should </w:t>
            </w:r>
            <w:r>
              <w:rPr>
                <w:rFonts w:ascii="Times New Roman" w:hAnsi="Times New Roman"/>
              </w:rPr>
              <w:t>limit the utilities actions.</w:t>
            </w:r>
          </w:p>
        </w:tc>
      </w:tr>
    </w:tbl>
    <w:p w:rsidR="00134BAA" w:rsidRDefault="00134BAA"/>
    <w:p w:rsidR="00134BAA" w:rsidRDefault="00134BAA">
      <w:r>
        <w:br w:type="page"/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36"/>
        <w:gridCol w:w="13012"/>
      </w:tblGrid>
      <w:tr w:rsidR="006C222D" w:rsidRPr="004C2024" w:rsidTr="000C3B3C">
        <w:tc>
          <w:tcPr>
            <w:tcW w:w="236" w:type="dxa"/>
            <w:shd w:val="pct10" w:color="auto" w:fill="auto"/>
          </w:tcPr>
          <w:p w:rsidR="006C222D" w:rsidRPr="007A087A" w:rsidRDefault="006C222D" w:rsidP="00704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12" w:type="dxa"/>
            <w:shd w:val="pct10" w:color="auto" w:fill="auto"/>
          </w:tcPr>
          <w:p w:rsidR="003E423C" w:rsidRDefault="003B1C60" w:rsidP="00704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WAC 480-100-505</w:t>
            </w:r>
            <w:r w:rsidR="003E423C" w:rsidRPr="007A087A">
              <w:rPr>
                <w:rFonts w:ascii="Times New Roman" w:hAnsi="Times New Roman"/>
                <w:b/>
              </w:rPr>
              <w:t xml:space="preserve"> (</w:t>
            </w:r>
            <w:r w:rsidR="003E423C">
              <w:rPr>
                <w:rFonts w:ascii="Times New Roman" w:hAnsi="Times New Roman"/>
                <w:b/>
              </w:rPr>
              <w:t>4</w:t>
            </w:r>
            <w:r w:rsidR="003E423C" w:rsidRPr="007A087A">
              <w:rPr>
                <w:rFonts w:ascii="Times New Roman" w:hAnsi="Times New Roman"/>
                <w:b/>
              </w:rPr>
              <w:t>)(</w:t>
            </w:r>
            <w:r w:rsidR="003E423C">
              <w:rPr>
                <w:rFonts w:ascii="Times New Roman" w:hAnsi="Times New Roman"/>
                <w:b/>
              </w:rPr>
              <w:t>d</w:t>
            </w:r>
            <w:r w:rsidR="003E423C" w:rsidRPr="007A087A">
              <w:rPr>
                <w:rFonts w:ascii="Times New Roman" w:hAnsi="Times New Roman"/>
                <w:b/>
              </w:rPr>
              <w:t>)</w:t>
            </w:r>
          </w:p>
          <w:p w:rsidR="006C222D" w:rsidRPr="004C2024" w:rsidRDefault="006F57DF" w:rsidP="00704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6C222D" w:rsidRPr="004C2024" w:rsidTr="000C3B3C">
        <w:tc>
          <w:tcPr>
            <w:tcW w:w="236" w:type="dxa"/>
            <w:shd w:val="clear" w:color="auto" w:fill="FFFFFF"/>
          </w:tcPr>
          <w:p w:rsidR="006C222D" w:rsidRPr="007A087A" w:rsidRDefault="006C222D" w:rsidP="00704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12" w:type="dxa"/>
            <w:shd w:val="clear" w:color="auto" w:fill="FFFFFF"/>
          </w:tcPr>
          <w:p w:rsidR="006C222D" w:rsidRDefault="00306E58" w:rsidP="00134BAA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PSE believes </w:t>
            </w:r>
            <w:r w:rsidRPr="00306E58">
              <w:rPr>
                <w:sz w:val="24"/>
              </w:rPr>
              <w:t>the language should not preclude the implementation of technologies not initially mentioned in previous reports.</w:t>
            </w:r>
          </w:p>
          <w:p w:rsidR="003B1C60" w:rsidRPr="00306E58" w:rsidRDefault="003B1C60" w:rsidP="00134BAA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</w:p>
        </w:tc>
      </w:tr>
      <w:tr w:rsidR="006C222D" w:rsidRPr="004C2024" w:rsidTr="000C3B3C">
        <w:tc>
          <w:tcPr>
            <w:tcW w:w="236" w:type="dxa"/>
            <w:shd w:val="pct10" w:color="auto" w:fill="auto"/>
          </w:tcPr>
          <w:p w:rsidR="006C222D" w:rsidRPr="007A087A" w:rsidRDefault="006C222D" w:rsidP="00704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12" w:type="dxa"/>
            <w:shd w:val="pct10" w:color="auto" w:fill="auto"/>
          </w:tcPr>
          <w:p w:rsidR="003E423C" w:rsidRDefault="003B1C60" w:rsidP="00704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WAC 480-100-505</w:t>
            </w:r>
            <w:r w:rsidR="003E423C" w:rsidRPr="007A087A">
              <w:rPr>
                <w:rFonts w:ascii="Times New Roman" w:hAnsi="Times New Roman"/>
                <w:b/>
              </w:rPr>
              <w:t xml:space="preserve"> (</w:t>
            </w:r>
            <w:r w:rsidR="003E423C">
              <w:rPr>
                <w:rFonts w:ascii="Times New Roman" w:hAnsi="Times New Roman"/>
                <w:b/>
              </w:rPr>
              <w:t xml:space="preserve">8) (as proposed by </w:t>
            </w:r>
            <w:proofErr w:type="spellStart"/>
            <w:r w:rsidR="003E423C">
              <w:rPr>
                <w:rFonts w:ascii="Times New Roman" w:hAnsi="Times New Roman"/>
                <w:b/>
              </w:rPr>
              <w:t>commenters</w:t>
            </w:r>
            <w:proofErr w:type="spellEnd"/>
            <w:r w:rsidR="003E423C">
              <w:rPr>
                <w:rFonts w:ascii="Times New Roman" w:hAnsi="Times New Roman"/>
                <w:b/>
              </w:rPr>
              <w:t>)</w:t>
            </w:r>
          </w:p>
          <w:p w:rsidR="006C222D" w:rsidRPr="004C2024" w:rsidRDefault="00134BAA" w:rsidP="00704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6C222D" w:rsidRPr="004C2024" w:rsidTr="000C3B3C">
        <w:tc>
          <w:tcPr>
            <w:tcW w:w="236" w:type="dxa"/>
            <w:shd w:val="clear" w:color="auto" w:fill="FFFFFF"/>
          </w:tcPr>
          <w:p w:rsidR="006C222D" w:rsidRPr="007A087A" w:rsidRDefault="006C222D" w:rsidP="00704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12" w:type="dxa"/>
            <w:shd w:val="clear" w:color="auto" w:fill="FFFFFF"/>
          </w:tcPr>
          <w:p w:rsidR="006C222D" w:rsidRDefault="006C222D" w:rsidP="003B1C60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Avista</w:t>
            </w:r>
            <w:proofErr w:type="spellEnd"/>
            <w:r>
              <w:rPr>
                <w:sz w:val="24"/>
              </w:rPr>
              <w:t xml:space="preserve"> </w:t>
            </w:r>
            <w:r w:rsidR="00306E58">
              <w:rPr>
                <w:sz w:val="24"/>
              </w:rPr>
              <w:t xml:space="preserve">and PSE repeat their need to have RCW 42.56.420 available for use to request an exemption from </w:t>
            </w:r>
            <w:r w:rsidR="003B1C60">
              <w:rPr>
                <w:sz w:val="24"/>
              </w:rPr>
              <w:t xml:space="preserve">disclosure. </w:t>
            </w:r>
            <w:r w:rsidR="00306E58">
              <w:rPr>
                <w:sz w:val="24"/>
              </w:rPr>
              <w:t xml:space="preserve"> </w:t>
            </w:r>
          </w:p>
          <w:p w:rsidR="003B1C60" w:rsidRPr="004C2024" w:rsidRDefault="003B1C60" w:rsidP="003B1C60">
            <w:pPr>
              <w:pStyle w:val="BodyText3"/>
              <w:suppressAutoHyphens w:val="0"/>
              <w:spacing w:line="264" w:lineRule="auto"/>
              <w:rPr>
                <w:b/>
              </w:rPr>
            </w:pPr>
          </w:p>
        </w:tc>
      </w:tr>
      <w:tr w:rsidR="006C222D" w:rsidRPr="004C2024" w:rsidTr="000C3B3C">
        <w:tc>
          <w:tcPr>
            <w:tcW w:w="236" w:type="dxa"/>
            <w:shd w:val="pct10" w:color="auto" w:fill="auto"/>
          </w:tcPr>
          <w:p w:rsidR="006C222D" w:rsidRPr="007A087A" w:rsidRDefault="006C222D" w:rsidP="00704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12" w:type="dxa"/>
            <w:shd w:val="pct10" w:color="auto" w:fill="auto"/>
          </w:tcPr>
          <w:p w:rsidR="003E423C" w:rsidRDefault="003B1C60" w:rsidP="00704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WAC 480-100-505</w:t>
            </w:r>
            <w:r w:rsidR="003E423C" w:rsidRPr="007A087A">
              <w:rPr>
                <w:rFonts w:ascii="Times New Roman" w:hAnsi="Times New Roman"/>
                <w:b/>
              </w:rPr>
              <w:t xml:space="preserve"> (</w:t>
            </w:r>
            <w:r w:rsidR="003E423C">
              <w:rPr>
                <w:rFonts w:ascii="Times New Roman" w:hAnsi="Times New Roman"/>
                <w:b/>
              </w:rPr>
              <w:t xml:space="preserve">9) (as proposed by </w:t>
            </w:r>
            <w:proofErr w:type="spellStart"/>
            <w:r w:rsidR="003E423C">
              <w:rPr>
                <w:rFonts w:ascii="Times New Roman" w:hAnsi="Times New Roman"/>
                <w:b/>
              </w:rPr>
              <w:t>comment</w:t>
            </w:r>
            <w:r w:rsidR="00624808">
              <w:rPr>
                <w:rFonts w:ascii="Times New Roman" w:hAnsi="Times New Roman"/>
                <w:b/>
              </w:rPr>
              <w:t>e</w:t>
            </w:r>
            <w:r w:rsidR="003E423C">
              <w:rPr>
                <w:rFonts w:ascii="Times New Roman" w:hAnsi="Times New Roman"/>
                <w:b/>
              </w:rPr>
              <w:t>rs</w:t>
            </w:r>
            <w:proofErr w:type="spellEnd"/>
            <w:r w:rsidR="003E423C">
              <w:rPr>
                <w:rFonts w:ascii="Times New Roman" w:hAnsi="Times New Roman"/>
                <w:b/>
              </w:rPr>
              <w:t>)</w:t>
            </w:r>
          </w:p>
          <w:p w:rsidR="006C222D" w:rsidRPr="004C2024" w:rsidRDefault="00134BAA" w:rsidP="00704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6C222D" w:rsidRPr="004C2024" w:rsidTr="000C3B3C">
        <w:tc>
          <w:tcPr>
            <w:tcW w:w="236" w:type="dxa"/>
            <w:shd w:val="clear" w:color="auto" w:fill="FFFFFF"/>
          </w:tcPr>
          <w:p w:rsidR="006C222D" w:rsidRPr="007A087A" w:rsidRDefault="006C222D" w:rsidP="00704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12" w:type="dxa"/>
            <w:shd w:val="clear" w:color="auto" w:fill="FFFFFF"/>
          </w:tcPr>
          <w:p w:rsidR="006C222D" w:rsidRDefault="003B1C60" w:rsidP="00823C3F">
            <w:pPr>
              <w:pStyle w:val="BodyText3"/>
              <w:suppressAutoHyphens w:val="0"/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PSE and </w:t>
            </w:r>
            <w:proofErr w:type="spellStart"/>
            <w:r w:rsidR="006C222D">
              <w:rPr>
                <w:sz w:val="24"/>
              </w:rPr>
              <w:t>Avista</w:t>
            </w:r>
            <w:proofErr w:type="spellEnd"/>
            <w:r w:rsidR="006C222D">
              <w:rPr>
                <w:sz w:val="24"/>
              </w:rPr>
              <w:t xml:space="preserve"> suggests rule language that a utility shall not be subjected to “any penalties” fo</w:t>
            </w:r>
            <w:r w:rsidR="000C3B3C">
              <w:rPr>
                <w:sz w:val="24"/>
              </w:rPr>
              <w:t>r failing to implement smart gri</w:t>
            </w:r>
            <w:r w:rsidR="006C222D">
              <w:rPr>
                <w:sz w:val="24"/>
              </w:rPr>
              <w:t>d technologies that it said i</w:t>
            </w:r>
            <w:r>
              <w:rPr>
                <w:sz w:val="24"/>
              </w:rPr>
              <w:t>t would in previous reports.</w:t>
            </w:r>
          </w:p>
          <w:p w:rsidR="006C222D" w:rsidRPr="004C2024" w:rsidRDefault="006C222D" w:rsidP="003B1C60">
            <w:pPr>
              <w:pStyle w:val="BodyText3"/>
              <w:suppressAutoHyphens w:val="0"/>
              <w:spacing w:line="264" w:lineRule="auto"/>
              <w:rPr>
                <w:b/>
              </w:rPr>
            </w:pPr>
          </w:p>
        </w:tc>
      </w:tr>
      <w:tr w:rsidR="006C222D" w:rsidRPr="004C2024" w:rsidTr="000C3B3C">
        <w:tc>
          <w:tcPr>
            <w:tcW w:w="236" w:type="dxa"/>
            <w:shd w:val="pct10" w:color="auto" w:fill="auto"/>
          </w:tcPr>
          <w:p w:rsidR="006C222D" w:rsidRPr="007A087A" w:rsidRDefault="006C222D" w:rsidP="00704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12" w:type="dxa"/>
            <w:shd w:val="pct10" w:color="auto" w:fill="auto"/>
          </w:tcPr>
          <w:p w:rsidR="003E423C" w:rsidRDefault="003E423C" w:rsidP="00704BFE">
            <w:pPr>
              <w:jc w:val="center"/>
              <w:rPr>
                <w:rFonts w:ascii="Times New Roman" w:hAnsi="Times New Roman"/>
                <w:b/>
              </w:rPr>
            </w:pPr>
            <w:r w:rsidRPr="007A087A">
              <w:rPr>
                <w:rFonts w:ascii="Times New Roman" w:hAnsi="Times New Roman"/>
                <w:b/>
              </w:rPr>
              <w:t>WAC 4</w:t>
            </w:r>
            <w:r w:rsidR="003B1C60">
              <w:rPr>
                <w:rFonts w:ascii="Times New Roman" w:hAnsi="Times New Roman"/>
                <w:b/>
              </w:rPr>
              <w:t>80-100-505</w:t>
            </w:r>
            <w:r w:rsidRPr="007A087A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10</w:t>
            </w:r>
            <w:r w:rsidRPr="007A087A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 xml:space="preserve"> (proposed by </w:t>
            </w:r>
            <w:proofErr w:type="spellStart"/>
            <w:r>
              <w:rPr>
                <w:rFonts w:ascii="Times New Roman" w:hAnsi="Times New Roman"/>
                <w:b/>
              </w:rPr>
              <w:t>commenters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  <w:p w:rsidR="006C222D" w:rsidRPr="004C2024" w:rsidRDefault="00134BAA" w:rsidP="00704B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6C222D" w:rsidRPr="004C2024" w:rsidTr="000C3B3C">
        <w:tc>
          <w:tcPr>
            <w:tcW w:w="236" w:type="dxa"/>
            <w:shd w:val="clear" w:color="auto" w:fill="FFFFFF"/>
          </w:tcPr>
          <w:p w:rsidR="006C222D" w:rsidRPr="007A087A" w:rsidRDefault="006C222D" w:rsidP="00704BF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12" w:type="dxa"/>
            <w:shd w:val="clear" w:color="auto" w:fill="FFFFFF"/>
          </w:tcPr>
          <w:p w:rsidR="006C222D" w:rsidRDefault="006C222D" w:rsidP="001221E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Avista</w:t>
            </w:r>
            <w:proofErr w:type="spellEnd"/>
            <w:r>
              <w:rPr>
                <w:rFonts w:ascii="Times New Roman" w:hAnsi="Times New Roman"/>
              </w:rPr>
              <w:t xml:space="preserve"> suggests that the Commission </w:t>
            </w:r>
            <w:r w:rsidR="003B1C60">
              <w:rPr>
                <w:rFonts w:ascii="Times New Roman" w:hAnsi="Times New Roman"/>
              </w:rPr>
              <w:t>should explain what actions it will take with the report after the compliance filing is made.</w:t>
            </w:r>
          </w:p>
          <w:p w:rsidR="006C222D" w:rsidRPr="00823C3F" w:rsidRDefault="006C222D" w:rsidP="003B1C60">
            <w:pPr>
              <w:pStyle w:val="BodyText3"/>
              <w:suppressAutoHyphens w:val="0"/>
              <w:spacing w:line="264" w:lineRule="auto"/>
            </w:pPr>
          </w:p>
        </w:tc>
      </w:tr>
    </w:tbl>
    <w:p w:rsidR="006C222D" w:rsidRPr="004C2024" w:rsidRDefault="006C222D" w:rsidP="00567286">
      <w:pPr>
        <w:rPr>
          <w:rFonts w:ascii="Times New Roman" w:hAnsi="Times New Roman"/>
        </w:rPr>
      </w:pPr>
    </w:p>
    <w:sectPr w:rsidR="006C222D" w:rsidRPr="004C2024" w:rsidSect="006A7A6E">
      <w:footerReference w:type="default" r:id="rId8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099" w:rsidRDefault="007E4099">
      <w:r>
        <w:separator/>
      </w:r>
    </w:p>
  </w:endnote>
  <w:endnote w:type="continuationSeparator" w:id="0">
    <w:p w:rsidR="007E4099" w:rsidRDefault="007E4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E2" w:rsidRPr="00A20B64" w:rsidRDefault="00CE40E2" w:rsidP="00A20B64">
    <w:pPr>
      <w:pStyle w:val="Footer"/>
      <w:jc w:val="center"/>
      <w:rPr>
        <w:b/>
      </w:rPr>
    </w:pPr>
    <w:r w:rsidRPr="00A20B64">
      <w:rPr>
        <w:b/>
      </w:rPr>
      <w:t xml:space="preserve">Page </w:t>
    </w:r>
    <w:r w:rsidR="00802705" w:rsidRPr="00A20B64">
      <w:rPr>
        <w:rStyle w:val="PageNumber"/>
        <w:b/>
      </w:rPr>
      <w:fldChar w:fldCharType="begin"/>
    </w:r>
    <w:r w:rsidRPr="00A20B64">
      <w:rPr>
        <w:rStyle w:val="PageNumber"/>
        <w:b/>
      </w:rPr>
      <w:instrText xml:space="preserve"> PAGE </w:instrText>
    </w:r>
    <w:r w:rsidR="00802705" w:rsidRPr="00A20B64">
      <w:rPr>
        <w:rStyle w:val="PageNumber"/>
        <w:b/>
      </w:rPr>
      <w:fldChar w:fldCharType="separate"/>
    </w:r>
    <w:r w:rsidR="00CF58F7">
      <w:rPr>
        <w:rStyle w:val="PageNumber"/>
        <w:b/>
        <w:noProof/>
      </w:rPr>
      <w:t>1</w:t>
    </w:r>
    <w:r w:rsidR="00802705" w:rsidRPr="00A20B64">
      <w:rPr>
        <w:rStyle w:val="PageNumber"/>
        <w:b/>
      </w:rPr>
      <w:fldChar w:fldCharType="end"/>
    </w:r>
    <w:r w:rsidRPr="00A20B64">
      <w:rPr>
        <w:rStyle w:val="PageNumber"/>
        <w:b/>
      </w:rPr>
      <w:t xml:space="preserve"> of </w:t>
    </w:r>
    <w:r w:rsidR="00802705" w:rsidRPr="00A20B64">
      <w:rPr>
        <w:rStyle w:val="PageNumber"/>
        <w:b/>
      </w:rPr>
      <w:fldChar w:fldCharType="begin"/>
    </w:r>
    <w:r w:rsidRPr="00A20B64">
      <w:rPr>
        <w:rStyle w:val="PageNumber"/>
        <w:b/>
      </w:rPr>
      <w:instrText xml:space="preserve"> NUMPAGES </w:instrText>
    </w:r>
    <w:r w:rsidR="00802705" w:rsidRPr="00A20B64">
      <w:rPr>
        <w:rStyle w:val="PageNumber"/>
        <w:b/>
      </w:rPr>
      <w:fldChar w:fldCharType="separate"/>
    </w:r>
    <w:r w:rsidR="00CF58F7">
      <w:rPr>
        <w:rStyle w:val="PageNumber"/>
        <w:b/>
        <w:noProof/>
      </w:rPr>
      <w:t>4</w:t>
    </w:r>
    <w:r w:rsidR="00802705" w:rsidRPr="00A20B64">
      <w:rPr>
        <w:rStyle w:val="PageNumber"/>
        <w:b/>
      </w:rPr>
      <w:fldChar w:fldCharType="end"/>
    </w:r>
    <w:r>
      <w:rPr>
        <w:rStyle w:val="PageNumber"/>
        <w:b/>
      </w:rPr>
      <w:t xml:space="preserve">  (</w:t>
    </w:r>
    <w:r w:rsidR="00802705">
      <w:rPr>
        <w:rStyle w:val="PageNumber"/>
        <w:b/>
      </w:rPr>
      <w:fldChar w:fldCharType="begin"/>
    </w:r>
    <w:r>
      <w:rPr>
        <w:rStyle w:val="PageNumber"/>
        <w:b/>
      </w:rPr>
      <w:instrText xml:space="preserve"> DATE \@ "M/d/yyyy" </w:instrText>
    </w:r>
    <w:r w:rsidR="00802705">
      <w:rPr>
        <w:rStyle w:val="PageNumber"/>
        <w:b/>
      </w:rPr>
      <w:fldChar w:fldCharType="separate"/>
    </w:r>
    <w:r w:rsidR="00CF58F7">
      <w:rPr>
        <w:rStyle w:val="PageNumber"/>
        <w:b/>
        <w:noProof/>
      </w:rPr>
      <w:t>2/23/2010</w:t>
    </w:r>
    <w:r w:rsidR="00802705">
      <w:rPr>
        <w:rStyle w:val="PageNumber"/>
        <w:b/>
      </w:rPr>
      <w:fldChar w:fldCharType="end"/>
    </w:r>
    <w:r>
      <w:rPr>
        <w:rStyle w:val="PageNumber"/>
        <w:b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099" w:rsidRDefault="007E4099">
      <w:r>
        <w:separator/>
      </w:r>
    </w:p>
  </w:footnote>
  <w:footnote w:type="continuationSeparator" w:id="0">
    <w:p w:rsidR="007E4099" w:rsidRDefault="007E4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926"/>
    <w:multiLevelType w:val="hybridMultilevel"/>
    <w:tmpl w:val="68B67AEA"/>
    <w:lvl w:ilvl="0" w:tplc="97F880DE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26A4855"/>
    <w:multiLevelType w:val="hybridMultilevel"/>
    <w:tmpl w:val="90C41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BC38BC"/>
    <w:multiLevelType w:val="hybridMultilevel"/>
    <w:tmpl w:val="0DA0FE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341FC"/>
    <w:multiLevelType w:val="hybridMultilevel"/>
    <w:tmpl w:val="70AC04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4E80F0F"/>
    <w:multiLevelType w:val="hybridMultilevel"/>
    <w:tmpl w:val="497C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751FFF"/>
    <w:multiLevelType w:val="hybridMultilevel"/>
    <w:tmpl w:val="1354BF2C"/>
    <w:lvl w:ilvl="0" w:tplc="2AD0FB6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Times New Roman" w:hint="default"/>
        <w:i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D73A3"/>
    <w:multiLevelType w:val="hybridMultilevel"/>
    <w:tmpl w:val="FCDC1392"/>
    <w:lvl w:ilvl="0" w:tplc="34609C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2749B0"/>
    <w:multiLevelType w:val="hybridMultilevel"/>
    <w:tmpl w:val="83421050"/>
    <w:lvl w:ilvl="0" w:tplc="3FD2C56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3BE4BE7"/>
    <w:multiLevelType w:val="hybridMultilevel"/>
    <w:tmpl w:val="C67AA892"/>
    <w:lvl w:ilvl="0" w:tplc="615A39F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Times New Roman" w:hint="default"/>
        <w:i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C42514"/>
    <w:multiLevelType w:val="hybridMultilevel"/>
    <w:tmpl w:val="394479A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43181F4A"/>
    <w:multiLevelType w:val="hybridMultilevel"/>
    <w:tmpl w:val="D83282AC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BE15BA"/>
    <w:multiLevelType w:val="hybridMultilevel"/>
    <w:tmpl w:val="6AE66E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5C5A33C4"/>
    <w:multiLevelType w:val="hybridMultilevel"/>
    <w:tmpl w:val="55D2C97A"/>
    <w:lvl w:ilvl="0" w:tplc="7A84AA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2E43FC"/>
    <w:multiLevelType w:val="hybridMultilevel"/>
    <w:tmpl w:val="3A8EC9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7C7F71"/>
    <w:multiLevelType w:val="hybridMultilevel"/>
    <w:tmpl w:val="53A2CECA"/>
    <w:lvl w:ilvl="0" w:tplc="3FD2C56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2F17A88"/>
    <w:multiLevelType w:val="hybridMultilevel"/>
    <w:tmpl w:val="21A064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67920EB0"/>
    <w:multiLevelType w:val="hybridMultilevel"/>
    <w:tmpl w:val="6994E8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470E58"/>
    <w:multiLevelType w:val="hybridMultilevel"/>
    <w:tmpl w:val="9FA64616"/>
    <w:lvl w:ilvl="0" w:tplc="08E6AE4A">
      <w:start w:val="1"/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814AAA"/>
    <w:multiLevelType w:val="hybridMultilevel"/>
    <w:tmpl w:val="162619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904639"/>
    <w:multiLevelType w:val="hybridMultilevel"/>
    <w:tmpl w:val="F0B025F2"/>
    <w:lvl w:ilvl="0" w:tplc="BD0264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5F5981"/>
    <w:multiLevelType w:val="hybridMultilevel"/>
    <w:tmpl w:val="C1987038"/>
    <w:lvl w:ilvl="0" w:tplc="178E2092">
      <w:start w:val="1"/>
      <w:numFmt w:val="decimal"/>
      <w:lvlText w:val="%1."/>
      <w:lvlJc w:val="left"/>
      <w:pPr>
        <w:ind w:left="405" w:hanging="360"/>
      </w:pPr>
      <w:rPr>
        <w:rFonts w:ascii="Palatino Linotype" w:hAnsi="Palatino Linotype" w:cs="Times New Roman" w:hint="default"/>
        <w:i/>
        <w:sz w:val="25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1">
    <w:nsid w:val="78860983"/>
    <w:multiLevelType w:val="hybridMultilevel"/>
    <w:tmpl w:val="F25A18C8"/>
    <w:lvl w:ilvl="0" w:tplc="C0D2C39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2">
    <w:nsid w:val="7D7072B2"/>
    <w:multiLevelType w:val="hybridMultilevel"/>
    <w:tmpl w:val="324265BA"/>
    <w:lvl w:ilvl="0" w:tplc="5010F31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Times New Roman" w:hint="default"/>
        <w:b w:val="0"/>
        <w:i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10"/>
  </w:num>
  <w:num w:numId="5">
    <w:abstractNumId w:val="14"/>
  </w:num>
  <w:num w:numId="6">
    <w:abstractNumId w:val="8"/>
  </w:num>
  <w:num w:numId="7">
    <w:abstractNumId w:val="15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3"/>
  </w:num>
  <w:num w:numId="15">
    <w:abstractNumId w:val="9"/>
  </w:num>
  <w:num w:numId="16">
    <w:abstractNumId w:val="12"/>
  </w:num>
  <w:num w:numId="17">
    <w:abstractNumId w:val="18"/>
  </w:num>
  <w:num w:numId="18">
    <w:abstractNumId w:val="2"/>
  </w:num>
  <w:num w:numId="19">
    <w:abstractNumId w:val="21"/>
  </w:num>
  <w:num w:numId="20">
    <w:abstractNumId w:val="22"/>
  </w:num>
  <w:num w:numId="21">
    <w:abstractNumId w:val="20"/>
  </w:num>
  <w:num w:numId="22">
    <w:abstractNumId w:val="16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70D"/>
    <w:rsid w:val="00001580"/>
    <w:rsid w:val="0000511F"/>
    <w:rsid w:val="00006059"/>
    <w:rsid w:val="00007776"/>
    <w:rsid w:val="00011B33"/>
    <w:rsid w:val="00017207"/>
    <w:rsid w:val="00023364"/>
    <w:rsid w:val="00051989"/>
    <w:rsid w:val="00055CAC"/>
    <w:rsid w:val="00056314"/>
    <w:rsid w:val="00057C7D"/>
    <w:rsid w:val="00060AEF"/>
    <w:rsid w:val="0006118D"/>
    <w:rsid w:val="00066CB0"/>
    <w:rsid w:val="00066FEC"/>
    <w:rsid w:val="00081998"/>
    <w:rsid w:val="000904B7"/>
    <w:rsid w:val="00097E69"/>
    <w:rsid w:val="000A06BB"/>
    <w:rsid w:val="000B058F"/>
    <w:rsid w:val="000B5AAF"/>
    <w:rsid w:val="000B7B43"/>
    <w:rsid w:val="000C0C51"/>
    <w:rsid w:val="000C3B3C"/>
    <w:rsid w:val="000D4340"/>
    <w:rsid w:val="000D79F0"/>
    <w:rsid w:val="000E1844"/>
    <w:rsid w:val="000E1E8F"/>
    <w:rsid w:val="000E2243"/>
    <w:rsid w:val="000E54E1"/>
    <w:rsid w:val="000E5521"/>
    <w:rsid w:val="000E58F3"/>
    <w:rsid w:val="000E5C74"/>
    <w:rsid w:val="000F0AB1"/>
    <w:rsid w:val="0011484B"/>
    <w:rsid w:val="001221EB"/>
    <w:rsid w:val="0012342E"/>
    <w:rsid w:val="00123875"/>
    <w:rsid w:val="00124321"/>
    <w:rsid w:val="001302A3"/>
    <w:rsid w:val="001333F2"/>
    <w:rsid w:val="00134BAA"/>
    <w:rsid w:val="00134BD3"/>
    <w:rsid w:val="00137DF8"/>
    <w:rsid w:val="0014141D"/>
    <w:rsid w:val="00142DFD"/>
    <w:rsid w:val="00150745"/>
    <w:rsid w:val="00154493"/>
    <w:rsid w:val="001574D2"/>
    <w:rsid w:val="00172FFA"/>
    <w:rsid w:val="00174AFF"/>
    <w:rsid w:val="0017779D"/>
    <w:rsid w:val="001807AA"/>
    <w:rsid w:val="00187C42"/>
    <w:rsid w:val="00196CFD"/>
    <w:rsid w:val="001A606E"/>
    <w:rsid w:val="001B5D09"/>
    <w:rsid w:val="001B7A83"/>
    <w:rsid w:val="001C1812"/>
    <w:rsid w:val="001D4D6A"/>
    <w:rsid w:val="001D5D31"/>
    <w:rsid w:val="001D78DA"/>
    <w:rsid w:val="001E1DCD"/>
    <w:rsid w:val="001F2D87"/>
    <w:rsid w:val="001F6F19"/>
    <w:rsid w:val="0020726B"/>
    <w:rsid w:val="0021059C"/>
    <w:rsid w:val="002170D2"/>
    <w:rsid w:val="00220F45"/>
    <w:rsid w:val="0022280D"/>
    <w:rsid w:val="00225934"/>
    <w:rsid w:val="00232AA1"/>
    <w:rsid w:val="00241BDF"/>
    <w:rsid w:val="00242299"/>
    <w:rsid w:val="002601C7"/>
    <w:rsid w:val="00266EC4"/>
    <w:rsid w:val="0027158F"/>
    <w:rsid w:val="00277312"/>
    <w:rsid w:val="002814DE"/>
    <w:rsid w:val="00282DEB"/>
    <w:rsid w:val="002839B1"/>
    <w:rsid w:val="00284774"/>
    <w:rsid w:val="002906C6"/>
    <w:rsid w:val="0029070D"/>
    <w:rsid w:val="002A1306"/>
    <w:rsid w:val="002B30AF"/>
    <w:rsid w:val="002B3396"/>
    <w:rsid w:val="002B560C"/>
    <w:rsid w:val="002C7606"/>
    <w:rsid w:val="002D468F"/>
    <w:rsid w:val="002E22BE"/>
    <w:rsid w:val="002E4B39"/>
    <w:rsid w:val="002E66F0"/>
    <w:rsid w:val="002E75B0"/>
    <w:rsid w:val="002F0F1C"/>
    <w:rsid w:val="002F4714"/>
    <w:rsid w:val="00300670"/>
    <w:rsid w:val="00306E58"/>
    <w:rsid w:val="00307B2D"/>
    <w:rsid w:val="00311D26"/>
    <w:rsid w:val="00330535"/>
    <w:rsid w:val="003333B1"/>
    <w:rsid w:val="003476CB"/>
    <w:rsid w:val="003541AC"/>
    <w:rsid w:val="00360AA6"/>
    <w:rsid w:val="00361A05"/>
    <w:rsid w:val="00363FBF"/>
    <w:rsid w:val="00366D02"/>
    <w:rsid w:val="00376EEB"/>
    <w:rsid w:val="003866B7"/>
    <w:rsid w:val="0038672F"/>
    <w:rsid w:val="00386B75"/>
    <w:rsid w:val="003A426A"/>
    <w:rsid w:val="003B1C60"/>
    <w:rsid w:val="003B7F57"/>
    <w:rsid w:val="003C6016"/>
    <w:rsid w:val="003D46D4"/>
    <w:rsid w:val="003D5186"/>
    <w:rsid w:val="003D6EAB"/>
    <w:rsid w:val="003E423C"/>
    <w:rsid w:val="003E5D94"/>
    <w:rsid w:val="003F0D84"/>
    <w:rsid w:val="003F2617"/>
    <w:rsid w:val="003F45EE"/>
    <w:rsid w:val="003F6735"/>
    <w:rsid w:val="003F7875"/>
    <w:rsid w:val="00405659"/>
    <w:rsid w:val="00410D3E"/>
    <w:rsid w:val="004148E0"/>
    <w:rsid w:val="00417F17"/>
    <w:rsid w:val="00424CAB"/>
    <w:rsid w:val="004348DF"/>
    <w:rsid w:val="00434B8A"/>
    <w:rsid w:val="004528F0"/>
    <w:rsid w:val="00452B21"/>
    <w:rsid w:val="004575A9"/>
    <w:rsid w:val="00466FBD"/>
    <w:rsid w:val="00481661"/>
    <w:rsid w:val="00487377"/>
    <w:rsid w:val="004A0E87"/>
    <w:rsid w:val="004A2439"/>
    <w:rsid w:val="004B190A"/>
    <w:rsid w:val="004B3E4C"/>
    <w:rsid w:val="004B54F1"/>
    <w:rsid w:val="004C2024"/>
    <w:rsid w:val="004C494D"/>
    <w:rsid w:val="004D52C1"/>
    <w:rsid w:val="004E1803"/>
    <w:rsid w:val="004E305F"/>
    <w:rsid w:val="004E6BF5"/>
    <w:rsid w:val="004E76F3"/>
    <w:rsid w:val="004F2034"/>
    <w:rsid w:val="004F3017"/>
    <w:rsid w:val="004F5166"/>
    <w:rsid w:val="00510CEF"/>
    <w:rsid w:val="00512559"/>
    <w:rsid w:val="005170B0"/>
    <w:rsid w:val="00517676"/>
    <w:rsid w:val="00522B9A"/>
    <w:rsid w:val="005317F0"/>
    <w:rsid w:val="00544E8A"/>
    <w:rsid w:val="00550AC8"/>
    <w:rsid w:val="00564124"/>
    <w:rsid w:val="00567286"/>
    <w:rsid w:val="00574848"/>
    <w:rsid w:val="0057507D"/>
    <w:rsid w:val="0058274D"/>
    <w:rsid w:val="00582A7D"/>
    <w:rsid w:val="005848F1"/>
    <w:rsid w:val="0058617C"/>
    <w:rsid w:val="0058656E"/>
    <w:rsid w:val="00586B10"/>
    <w:rsid w:val="0058785F"/>
    <w:rsid w:val="00596289"/>
    <w:rsid w:val="005A62F0"/>
    <w:rsid w:val="005B2AE9"/>
    <w:rsid w:val="005B2DA4"/>
    <w:rsid w:val="005B7426"/>
    <w:rsid w:val="005C1783"/>
    <w:rsid w:val="005D0243"/>
    <w:rsid w:val="005D0D1F"/>
    <w:rsid w:val="005D2D2F"/>
    <w:rsid w:val="005D3122"/>
    <w:rsid w:val="005E2EF9"/>
    <w:rsid w:val="005E3AEC"/>
    <w:rsid w:val="005E417E"/>
    <w:rsid w:val="005F39E2"/>
    <w:rsid w:val="005F67DE"/>
    <w:rsid w:val="00600280"/>
    <w:rsid w:val="00603FA1"/>
    <w:rsid w:val="00607AE7"/>
    <w:rsid w:val="006169D1"/>
    <w:rsid w:val="00624808"/>
    <w:rsid w:val="006279F3"/>
    <w:rsid w:val="00632BAE"/>
    <w:rsid w:val="00633C38"/>
    <w:rsid w:val="00641FA5"/>
    <w:rsid w:val="006421CF"/>
    <w:rsid w:val="00650B58"/>
    <w:rsid w:val="00651723"/>
    <w:rsid w:val="00651F3E"/>
    <w:rsid w:val="00662A88"/>
    <w:rsid w:val="0066429A"/>
    <w:rsid w:val="00665D4B"/>
    <w:rsid w:val="00674F57"/>
    <w:rsid w:val="006751A1"/>
    <w:rsid w:val="00683B7E"/>
    <w:rsid w:val="00684C6A"/>
    <w:rsid w:val="0069775C"/>
    <w:rsid w:val="006A54A7"/>
    <w:rsid w:val="006A7A6E"/>
    <w:rsid w:val="006B13AA"/>
    <w:rsid w:val="006C222D"/>
    <w:rsid w:val="006C62C6"/>
    <w:rsid w:val="006D41F3"/>
    <w:rsid w:val="006F0AB7"/>
    <w:rsid w:val="006F57DF"/>
    <w:rsid w:val="00701DD0"/>
    <w:rsid w:val="00704BFE"/>
    <w:rsid w:val="00711651"/>
    <w:rsid w:val="00711AB2"/>
    <w:rsid w:val="007167D5"/>
    <w:rsid w:val="00725808"/>
    <w:rsid w:val="00727B90"/>
    <w:rsid w:val="00734012"/>
    <w:rsid w:val="007370CB"/>
    <w:rsid w:val="00745A71"/>
    <w:rsid w:val="00746DD4"/>
    <w:rsid w:val="00750004"/>
    <w:rsid w:val="00754759"/>
    <w:rsid w:val="007631F6"/>
    <w:rsid w:val="0076358A"/>
    <w:rsid w:val="00775ACE"/>
    <w:rsid w:val="00781356"/>
    <w:rsid w:val="00781D40"/>
    <w:rsid w:val="00782635"/>
    <w:rsid w:val="0079092C"/>
    <w:rsid w:val="0079319E"/>
    <w:rsid w:val="007A087A"/>
    <w:rsid w:val="007A4DD1"/>
    <w:rsid w:val="007A5EA0"/>
    <w:rsid w:val="007B03DE"/>
    <w:rsid w:val="007B14BC"/>
    <w:rsid w:val="007B702C"/>
    <w:rsid w:val="007C3501"/>
    <w:rsid w:val="007C3E81"/>
    <w:rsid w:val="007C6E64"/>
    <w:rsid w:val="007E4099"/>
    <w:rsid w:val="007E4E4F"/>
    <w:rsid w:val="007F4739"/>
    <w:rsid w:val="007F5DC1"/>
    <w:rsid w:val="007F61F3"/>
    <w:rsid w:val="007F6708"/>
    <w:rsid w:val="00802705"/>
    <w:rsid w:val="00807F86"/>
    <w:rsid w:val="0081050E"/>
    <w:rsid w:val="00812047"/>
    <w:rsid w:val="008128CD"/>
    <w:rsid w:val="00823C3F"/>
    <w:rsid w:val="00834F01"/>
    <w:rsid w:val="0084003C"/>
    <w:rsid w:val="008444CC"/>
    <w:rsid w:val="00850F5D"/>
    <w:rsid w:val="00851B95"/>
    <w:rsid w:val="00871F41"/>
    <w:rsid w:val="00872193"/>
    <w:rsid w:val="008848F4"/>
    <w:rsid w:val="0088669F"/>
    <w:rsid w:val="00887CD3"/>
    <w:rsid w:val="008A091E"/>
    <w:rsid w:val="008A73D2"/>
    <w:rsid w:val="008C6193"/>
    <w:rsid w:val="008D409B"/>
    <w:rsid w:val="008F0688"/>
    <w:rsid w:val="008F0804"/>
    <w:rsid w:val="008F1F9D"/>
    <w:rsid w:val="008F483E"/>
    <w:rsid w:val="008F7663"/>
    <w:rsid w:val="008F7B2D"/>
    <w:rsid w:val="008F7D82"/>
    <w:rsid w:val="009023E8"/>
    <w:rsid w:val="00904D38"/>
    <w:rsid w:val="00907F40"/>
    <w:rsid w:val="009164B8"/>
    <w:rsid w:val="00920228"/>
    <w:rsid w:val="009265D3"/>
    <w:rsid w:val="00927411"/>
    <w:rsid w:val="00930EA4"/>
    <w:rsid w:val="00936FD8"/>
    <w:rsid w:val="00941FB9"/>
    <w:rsid w:val="009425E5"/>
    <w:rsid w:val="00946E86"/>
    <w:rsid w:val="009502BF"/>
    <w:rsid w:val="00954EC3"/>
    <w:rsid w:val="009557D5"/>
    <w:rsid w:val="00971F3A"/>
    <w:rsid w:val="009851A1"/>
    <w:rsid w:val="009903A5"/>
    <w:rsid w:val="00993D98"/>
    <w:rsid w:val="009960E4"/>
    <w:rsid w:val="009B489F"/>
    <w:rsid w:val="009B4E42"/>
    <w:rsid w:val="009B5AA5"/>
    <w:rsid w:val="009B6D0C"/>
    <w:rsid w:val="009C0813"/>
    <w:rsid w:val="009D43AF"/>
    <w:rsid w:val="009E4ED0"/>
    <w:rsid w:val="009F0472"/>
    <w:rsid w:val="009F45DD"/>
    <w:rsid w:val="00A07551"/>
    <w:rsid w:val="00A07778"/>
    <w:rsid w:val="00A15413"/>
    <w:rsid w:val="00A20B64"/>
    <w:rsid w:val="00A30675"/>
    <w:rsid w:val="00A34086"/>
    <w:rsid w:val="00A40222"/>
    <w:rsid w:val="00A53E3E"/>
    <w:rsid w:val="00A82187"/>
    <w:rsid w:val="00A83AED"/>
    <w:rsid w:val="00A975CC"/>
    <w:rsid w:val="00AA19FB"/>
    <w:rsid w:val="00AA4D5E"/>
    <w:rsid w:val="00AB4159"/>
    <w:rsid w:val="00AB561C"/>
    <w:rsid w:val="00AB58DB"/>
    <w:rsid w:val="00AC4DCC"/>
    <w:rsid w:val="00AD3339"/>
    <w:rsid w:val="00AD6278"/>
    <w:rsid w:val="00AF6356"/>
    <w:rsid w:val="00B169E0"/>
    <w:rsid w:val="00B17EAF"/>
    <w:rsid w:val="00B20F74"/>
    <w:rsid w:val="00B315AB"/>
    <w:rsid w:val="00B36EFC"/>
    <w:rsid w:val="00B37AA6"/>
    <w:rsid w:val="00B4242E"/>
    <w:rsid w:val="00B47AB1"/>
    <w:rsid w:val="00B770DD"/>
    <w:rsid w:val="00B77209"/>
    <w:rsid w:val="00B815E9"/>
    <w:rsid w:val="00BA729E"/>
    <w:rsid w:val="00BC0BCE"/>
    <w:rsid w:val="00BC264A"/>
    <w:rsid w:val="00BD2E28"/>
    <w:rsid w:val="00BD3D09"/>
    <w:rsid w:val="00C0494A"/>
    <w:rsid w:val="00C13689"/>
    <w:rsid w:val="00C15176"/>
    <w:rsid w:val="00C20126"/>
    <w:rsid w:val="00C231EF"/>
    <w:rsid w:val="00C232E7"/>
    <w:rsid w:val="00C236BC"/>
    <w:rsid w:val="00C237A6"/>
    <w:rsid w:val="00C33C8E"/>
    <w:rsid w:val="00C4344F"/>
    <w:rsid w:val="00C45147"/>
    <w:rsid w:val="00C46735"/>
    <w:rsid w:val="00C55247"/>
    <w:rsid w:val="00C56324"/>
    <w:rsid w:val="00C5676E"/>
    <w:rsid w:val="00C65C73"/>
    <w:rsid w:val="00C66CBB"/>
    <w:rsid w:val="00C752A4"/>
    <w:rsid w:val="00C757E9"/>
    <w:rsid w:val="00C81EDD"/>
    <w:rsid w:val="00C87635"/>
    <w:rsid w:val="00C87A22"/>
    <w:rsid w:val="00C900D4"/>
    <w:rsid w:val="00C9568A"/>
    <w:rsid w:val="00CA646F"/>
    <w:rsid w:val="00CB0986"/>
    <w:rsid w:val="00CB1A98"/>
    <w:rsid w:val="00CB6C69"/>
    <w:rsid w:val="00CC25EB"/>
    <w:rsid w:val="00CC371A"/>
    <w:rsid w:val="00CC7862"/>
    <w:rsid w:val="00CD166A"/>
    <w:rsid w:val="00CD2979"/>
    <w:rsid w:val="00CD6D08"/>
    <w:rsid w:val="00CE118E"/>
    <w:rsid w:val="00CE40E2"/>
    <w:rsid w:val="00CE569A"/>
    <w:rsid w:val="00CF58F7"/>
    <w:rsid w:val="00D047AF"/>
    <w:rsid w:val="00D06B60"/>
    <w:rsid w:val="00D10008"/>
    <w:rsid w:val="00D12770"/>
    <w:rsid w:val="00D1563C"/>
    <w:rsid w:val="00D21AD4"/>
    <w:rsid w:val="00D25980"/>
    <w:rsid w:val="00D3022C"/>
    <w:rsid w:val="00D32429"/>
    <w:rsid w:val="00D33F60"/>
    <w:rsid w:val="00D41E1F"/>
    <w:rsid w:val="00D50118"/>
    <w:rsid w:val="00D55CF7"/>
    <w:rsid w:val="00D6222A"/>
    <w:rsid w:val="00D641B3"/>
    <w:rsid w:val="00D71F9A"/>
    <w:rsid w:val="00D7759F"/>
    <w:rsid w:val="00D812C7"/>
    <w:rsid w:val="00D81876"/>
    <w:rsid w:val="00D82E51"/>
    <w:rsid w:val="00D85A74"/>
    <w:rsid w:val="00D913E1"/>
    <w:rsid w:val="00DA4ECB"/>
    <w:rsid w:val="00DA7EC1"/>
    <w:rsid w:val="00DB0726"/>
    <w:rsid w:val="00DB1989"/>
    <w:rsid w:val="00DB72ED"/>
    <w:rsid w:val="00DD198D"/>
    <w:rsid w:val="00DD62A5"/>
    <w:rsid w:val="00DD7BAF"/>
    <w:rsid w:val="00DD7C9A"/>
    <w:rsid w:val="00DE0E7D"/>
    <w:rsid w:val="00DE2CB4"/>
    <w:rsid w:val="00DE38FF"/>
    <w:rsid w:val="00DE4157"/>
    <w:rsid w:val="00DF1F72"/>
    <w:rsid w:val="00DF2D87"/>
    <w:rsid w:val="00E13CE8"/>
    <w:rsid w:val="00E161DB"/>
    <w:rsid w:val="00E2321D"/>
    <w:rsid w:val="00E26C2B"/>
    <w:rsid w:val="00E3024C"/>
    <w:rsid w:val="00E3030D"/>
    <w:rsid w:val="00E4032A"/>
    <w:rsid w:val="00E47860"/>
    <w:rsid w:val="00E520F7"/>
    <w:rsid w:val="00E57D83"/>
    <w:rsid w:val="00E607FB"/>
    <w:rsid w:val="00E67089"/>
    <w:rsid w:val="00E67FB2"/>
    <w:rsid w:val="00E724C2"/>
    <w:rsid w:val="00E765C1"/>
    <w:rsid w:val="00E94FF3"/>
    <w:rsid w:val="00EA2B20"/>
    <w:rsid w:val="00EA41FD"/>
    <w:rsid w:val="00EB0694"/>
    <w:rsid w:val="00EB6574"/>
    <w:rsid w:val="00EB7BBC"/>
    <w:rsid w:val="00ED179F"/>
    <w:rsid w:val="00ED1CE6"/>
    <w:rsid w:val="00ED2A38"/>
    <w:rsid w:val="00EE2714"/>
    <w:rsid w:val="00EE6D9D"/>
    <w:rsid w:val="00EF1E45"/>
    <w:rsid w:val="00F02BCD"/>
    <w:rsid w:val="00F02DAD"/>
    <w:rsid w:val="00F2500B"/>
    <w:rsid w:val="00F33402"/>
    <w:rsid w:val="00F409BA"/>
    <w:rsid w:val="00F672C0"/>
    <w:rsid w:val="00F67959"/>
    <w:rsid w:val="00F75D83"/>
    <w:rsid w:val="00F76A02"/>
    <w:rsid w:val="00F91F33"/>
    <w:rsid w:val="00F9256A"/>
    <w:rsid w:val="00F92ACB"/>
    <w:rsid w:val="00FA192A"/>
    <w:rsid w:val="00FA2AA4"/>
    <w:rsid w:val="00FB45CB"/>
    <w:rsid w:val="00FC5D81"/>
    <w:rsid w:val="00FC653A"/>
    <w:rsid w:val="00FD2227"/>
    <w:rsid w:val="00FD22F4"/>
    <w:rsid w:val="00FD3ABA"/>
    <w:rsid w:val="00FE3066"/>
    <w:rsid w:val="00FE3DEB"/>
    <w:rsid w:val="00FE54CD"/>
    <w:rsid w:val="00FE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70D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oNumBodyCharCharCharCharCharChar">
    <w:name w:val="AutoNum Body Char Char Char Char Char Char"/>
    <w:basedOn w:val="Normal"/>
    <w:link w:val="AutoNumBodyCharCharCharCharCharCharChar"/>
    <w:autoRedefine/>
    <w:uiPriority w:val="99"/>
    <w:rsid w:val="000E5521"/>
    <w:pPr>
      <w:widowControl w:val="0"/>
      <w:tabs>
        <w:tab w:val="num" w:pos="720"/>
      </w:tabs>
    </w:pPr>
    <w:rPr>
      <w:rFonts w:ascii="Times New Roman" w:hAnsi="Times New Roman"/>
    </w:rPr>
  </w:style>
  <w:style w:type="character" w:customStyle="1" w:styleId="AutoNumBodyCharCharCharCharCharCharChar">
    <w:name w:val="AutoNum Body Char Char Char Char Char Char Char"/>
    <w:basedOn w:val="DefaultParagraphFont"/>
    <w:link w:val="AutoNumBodyCharCharCharCharCharChar"/>
    <w:uiPriority w:val="99"/>
    <w:locked/>
    <w:rsid w:val="000E5521"/>
    <w:rPr>
      <w:rFonts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A20B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1AD4"/>
    <w:rPr>
      <w:rFonts w:ascii="Palatino Linotype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20B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1AD4"/>
    <w:rPr>
      <w:rFonts w:ascii="Palatino Linotype" w:hAnsi="Palatino Linotype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20B6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812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12047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1D78DA"/>
    <w:pPr>
      <w:suppressAutoHyphens/>
      <w:spacing w:line="240" w:lineRule="atLeast"/>
    </w:pPr>
    <w:rPr>
      <w:rFonts w:ascii="Times New Roman" w:hAnsi="Times New Roman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D78DA"/>
    <w:rPr>
      <w:rFonts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72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27B90"/>
    <w:rPr>
      <w:rFonts w:ascii="Courier New" w:hAnsi="Courier New" w:cs="Courier New"/>
    </w:rPr>
  </w:style>
  <w:style w:type="paragraph" w:styleId="FootnoteText">
    <w:name w:val="footnote text"/>
    <w:basedOn w:val="Normal"/>
    <w:link w:val="FootnoteTextChar"/>
    <w:uiPriority w:val="99"/>
    <w:rsid w:val="00B815E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15E9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B815E9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E3024C"/>
    <w:rPr>
      <w:rFonts w:ascii="Palatino Linotype" w:hAnsi="Palatino Linotype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962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1AD4"/>
    <w:rPr>
      <w:rFonts w:ascii="Palatino Linotype" w:hAnsi="Palatino Linotype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6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CB0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C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2009-02-11T08:00:00+00:00</OpenedDate>
    <Date1 xmlns="dc463f71-b30c-4ab2-9473-d307f9d35888">2010-02-23T08:00:00+00:00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090222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FF56C1E26BA042A97E315D7BF77C94" ma:contentTypeVersion="131" ma:contentTypeDescription="" ma:contentTypeScope="" ma:versionID="c760d56c37644c1788f6a13b456177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A0B999D-34CA-4AEC-8CEC-5F037845DEBF}"/>
</file>

<file path=customXml/itemProps2.xml><?xml version="1.0" encoding="utf-8"?>
<ds:datastoreItem xmlns:ds="http://schemas.openxmlformats.org/officeDocument/2006/customXml" ds:itemID="{D9181BF3-D65F-44A1-A26E-C879E3C2C67A}"/>
</file>

<file path=customXml/itemProps3.xml><?xml version="1.0" encoding="utf-8"?>
<ds:datastoreItem xmlns:ds="http://schemas.openxmlformats.org/officeDocument/2006/customXml" ds:itemID="{118EC263-FD68-47B9-A8B2-40030B18B9DF}"/>
</file>

<file path=customXml/itemProps4.xml><?xml version="1.0" encoding="utf-8"?>
<ds:datastoreItem xmlns:ds="http://schemas.openxmlformats.org/officeDocument/2006/customXml" ds:itemID="{8555FF6F-0FBC-4E90-844B-66E04B195C7C}"/>
</file>

<file path=customXml/itemProps5.xml><?xml version="1.0" encoding="utf-8"?>
<ds:datastoreItem xmlns:ds="http://schemas.openxmlformats.org/officeDocument/2006/customXml" ds:itemID="{C160BC0C-F8B8-4772-9AEC-866C2350DC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</vt:lpstr>
    </vt:vector>
  </TitlesOfParts>
  <Company>WUTC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</dc:title>
  <dc:creator>Right Systems Inc</dc:creator>
  <cp:lastModifiedBy>Kippi Walker</cp:lastModifiedBy>
  <cp:revision>2</cp:revision>
  <cp:lastPrinted>2010-02-22T20:38:00Z</cp:lastPrinted>
  <dcterms:created xsi:type="dcterms:W3CDTF">2010-02-23T22:07:00Z</dcterms:created>
  <dcterms:modified xsi:type="dcterms:W3CDTF">2010-02-23T22:07:00Z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0x0101006E56B4D1795A2E4DB2F0B01679ED314A0034FF56C1E26BA042A97E315D7BF77C94</vt:lpwstr>
  </property>
  <property fmtid="{D5CDD505-2E9C-101B-9397-08002B2CF9AE}" pid="3" name="_docset_NoMedatataSyncRequired">
    <vt:lpwstr>False</vt:lpwstr>
  </property>
</Properties>
</file>