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11E0A" w14:textId="5FEAF6E1" w:rsidR="008A4054" w:rsidRPr="005440CF" w:rsidRDefault="00657DEE" w:rsidP="00FF75F4">
      <w:bookmarkStart w:id="0" w:name="_GoBack"/>
      <w:bookmarkEnd w:id="0"/>
      <w:r w:rsidRPr="005440CF">
        <w:t>Agenda Date:</w:t>
      </w:r>
      <w:r w:rsidRPr="005440CF">
        <w:tab/>
      </w:r>
      <w:r w:rsidR="00744C90" w:rsidRPr="005440CF">
        <w:tab/>
      </w:r>
      <w:r w:rsidR="00040CE3">
        <w:t>December</w:t>
      </w:r>
      <w:r w:rsidR="007B7BB4" w:rsidRPr="005440CF">
        <w:t xml:space="preserve"> </w:t>
      </w:r>
      <w:r w:rsidR="000A3D0E">
        <w:t>20</w:t>
      </w:r>
      <w:r w:rsidR="008A4054" w:rsidRPr="005440CF">
        <w:t>, 201</w:t>
      </w:r>
      <w:r w:rsidR="000A3D0E">
        <w:t>7</w:t>
      </w:r>
    </w:p>
    <w:p w14:paraId="2F211E0B" w14:textId="253928BD" w:rsidR="00657DEE" w:rsidRPr="005440CF" w:rsidRDefault="00657DEE" w:rsidP="00FF75F4">
      <w:r w:rsidRPr="005440CF">
        <w:t>Item Number</w:t>
      </w:r>
      <w:r w:rsidR="003F2771">
        <w:t>s</w:t>
      </w:r>
      <w:r w:rsidRPr="005440CF">
        <w:t>:</w:t>
      </w:r>
      <w:r w:rsidRPr="005440CF">
        <w:tab/>
      </w:r>
      <w:r w:rsidR="00453AA9" w:rsidRPr="00453AA9">
        <w:t>D</w:t>
      </w:r>
      <w:r w:rsidR="00DF6ADE" w:rsidRPr="009F0545">
        <w:t>1</w:t>
      </w:r>
      <w:r w:rsidR="00DF6ADE" w:rsidRPr="000A3D0E">
        <w:rPr>
          <w:color w:val="FF0000"/>
        </w:rPr>
        <w:t xml:space="preserve"> </w:t>
      </w:r>
      <w:r w:rsidR="00DF6ADE" w:rsidRPr="00453AA9">
        <w:t xml:space="preserve">and </w:t>
      </w:r>
      <w:r w:rsidR="00453AA9" w:rsidRPr="009F0545">
        <w:t>D</w:t>
      </w:r>
      <w:r w:rsidR="009F0545" w:rsidRPr="009F0545">
        <w:t>3</w:t>
      </w:r>
    </w:p>
    <w:p w14:paraId="2F211E0C" w14:textId="77777777" w:rsidR="00657DEE" w:rsidRPr="005440CF" w:rsidRDefault="00657DEE" w:rsidP="00FF75F4"/>
    <w:p w14:paraId="2F211E0D" w14:textId="106956EC" w:rsidR="00657DEE" w:rsidRPr="00204A52" w:rsidRDefault="00657DEE" w:rsidP="002C648F">
      <w:pPr>
        <w:rPr>
          <w:b/>
        </w:rPr>
      </w:pPr>
      <w:r w:rsidRPr="00204A52">
        <w:rPr>
          <w:b/>
        </w:rPr>
        <w:t>Docket</w:t>
      </w:r>
      <w:r w:rsidR="00E04F57">
        <w:rPr>
          <w:b/>
        </w:rPr>
        <w:t>s</w:t>
      </w:r>
      <w:r w:rsidR="002C648F">
        <w:rPr>
          <w:b/>
        </w:rPr>
        <w:t>:</w:t>
      </w:r>
      <w:r w:rsidR="002C648F">
        <w:rPr>
          <w:b/>
        </w:rPr>
        <w:tab/>
      </w:r>
      <w:r w:rsidR="002C648F">
        <w:rPr>
          <w:b/>
        </w:rPr>
        <w:tab/>
      </w:r>
      <w:r w:rsidR="003B26AE">
        <w:rPr>
          <w:b/>
        </w:rPr>
        <w:t>UE-1</w:t>
      </w:r>
      <w:r w:rsidR="000A3D0E">
        <w:rPr>
          <w:b/>
        </w:rPr>
        <w:t>71087</w:t>
      </w:r>
      <w:r w:rsidR="003B26AE">
        <w:rPr>
          <w:b/>
        </w:rPr>
        <w:t xml:space="preserve"> and </w:t>
      </w:r>
      <w:r w:rsidR="00C73105">
        <w:rPr>
          <w:b/>
        </w:rPr>
        <w:t>UE</w:t>
      </w:r>
      <w:r w:rsidR="00000FCF">
        <w:rPr>
          <w:b/>
        </w:rPr>
        <w:t>-</w:t>
      </w:r>
      <w:r w:rsidR="00B90DC3">
        <w:rPr>
          <w:b/>
        </w:rPr>
        <w:t>1</w:t>
      </w:r>
      <w:r w:rsidR="000A3D0E">
        <w:rPr>
          <w:b/>
        </w:rPr>
        <w:t>71094</w:t>
      </w:r>
    </w:p>
    <w:p w14:paraId="2F211E0F" w14:textId="77777777" w:rsidR="00657DEE" w:rsidRPr="005440CF" w:rsidRDefault="00657DEE" w:rsidP="00FF75F4">
      <w:r w:rsidRPr="005440CF">
        <w:t>Company:</w:t>
      </w:r>
      <w:r w:rsidRPr="005440CF">
        <w:tab/>
      </w:r>
      <w:r w:rsidRPr="005440CF">
        <w:tab/>
      </w:r>
      <w:r w:rsidR="00E239BC">
        <w:rPr>
          <w:b/>
        </w:rPr>
        <w:t xml:space="preserve">Puget Sound </w:t>
      </w:r>
      <w:r w:rsidR="00FD7AB8" w:rsidRPr="00FD7AB8">
        <w:rPr>
          <w:b/>
        </w:rPr>
        <w:t>Energy</w:t>
      </w:r>
    </w:p>
    <w:p w14:paraId="2F211E10" w14:textId="77777777" w:rsidR="00657DEE" w:rsidRPr="005440CF" w:rsidRDefault="00657DEE" w:rsidP="00FF75F4"/>
    <w:p w14:paraId="14CEC416" w14:textId="5D6C4359" w:rsidR="00C73105" w:rsidRDefault="00657DEE" w:rsidP="00FF75F4">
      <w:r w:rsidRPr="005440CF">
        <w:t>Staff:</w:t>
      </w:r>
      <w:r w:rsidRPr="005440CF">
        <w:tab/>
      </w:r>
      <w:r w:rsidRPr="005440CF">
        <w:tab/>
      </w:r>
      <w:r w:rsidRPr="005440CF">
        <w:tab/>
      </w:r>
      <w:r w:rsidR="00C73105">
        <w:t>Jennifer Snyder, Regulatory Analyst</w:t>
      </w:r>
      <w:r w:rsidR="00C73105">
        <w:tab/>
      </w:r>
    </w:p>
    <w:p w14:paraId="2F211E12" w14:textId="77777777" w:rsidR="001923BA" w:rsidRPr="005440CF" w:rsidRDefault="003B26AE" w:rsidP="00FF75F4">
      <w:r>
        <w:tab/>
      </w:r>
      <w:r>
        <w:tab/>
      </w:r>
      <w:r>
        <w:tab/>
      </w:r>
      <w:r w:rsidR="00D75C47">
        <w:tab/>
      </w:r>
      <w:r w:rsidR="00D75C47">
        <w:tab/>
      </w:r>
    </w:p>
    <w:p w14:paraId="2F211E13" w14:textId="77777777" w:rsidR="009363BA" w:rsidRPr="00CD74CC" w:rsidRDefault="00BF3D13" w:rsidP="00204A52">
      <w:pPr>
        <w:pStyle w:val="Heading1"/>
        <w:rPr>
          <w:u w:val="single"/>
        </w:rPr>
      </w:pPr>
      <w:r w:rsidRPr="00CD74CC">
        <w:rPr>
          <w:u w:val="single"/>
        </w:rPr>
        <w:t>Recommendation</w:t>
      </w:r>
    </w:p>
    <w:p w14:paraId="66AF6995" w14:textId="22A7EB03" w:rsidR="00EA6C43" w:rsidRDefault="00000FCF" w:rsidP="009652E7">
      <w:r>
        <w:t>Issue an order</w:t>
      </w:r>
      <w:r w:rsidR="00D74A78">
        <w:t xml:space="preserve"> in Docket UE-171087</w:t>
      </w:r>
      <w:r>
        <w:t xml:space="preserve"> </w:t>
      </w:r>
      <w:r w:rsidR="00EA6C43">
        <w:t>rejecting</w:t>
      </w:r>
      <w:r>
        <w:t xml:space="preserve"> Puget Sound Energy’s biennial conservation target</w:t>
      </w:r>
      <w:r w:rsidR="001168EB">
        <w:t xml:space="preserve"> of </w:t>
      </w:r>
      <w:r w:rsidR="00F36C56" w:rsidRPr="0011037B">
        <w:rPr>
          <w:rFonts w:eastAsia="Calibri"/>
        </w:rPr>
        <w:t>4</w:t>
      </w:r>
      <w:r w:rsidR="00EA6C43">
        <w:rPr>
          <w:rFonts w:eastAsia="Calibri"/>
        </w:rPr>
        <w:t>48</w:t>
      </w:r>
      <w:r w:rsidR="00F36C56" w:rsidRPr="0011037B">
        <w:rPr>
          <w:rFonts w:eastAsia="Calibri"/>
        </w:rPr>
        <w:t>,</w:t>
      </w:r>
      <w:r w:rsidR="00EA6C43">
        <w:rPr>
          <w:rFonts w:eastAsia="Calibri"/>
        </w:rPr>
        <w:t>109</w:t>
      </w:r>
      <w:r w:rsidR="00F36C56" w:rsidRPr="0011037B">
        <w:rPr>
          <w:rFonts w:eastAsia="Calibri"/>
        </w:rPr>
        <w:t xml:space="preserve"> </w:t>
      </w:r>
      <w:r w:rsidR="00EA6C43">
        <w:rPr>
          <w:rFonts w:eastAsia="Calibri"/>
        </w:rPr>
        <w:t>megawatt-hours</w:t>
      </w:r>
      <w:r w:rsidR="00EA6C43">
        <w:t xml:space="preserve">, </w:t>
      </w:r>
      <w:r w:rsidR="00E211E1">
        <w:t xml:space="preserve">and </w:t>
      </w:r>
      <w:r w:rsidR="00EA6C43">
        <w:t xml:space="preserve">direct the company to refile its biennial conservation plan consistent with </w:t>
      </w:r>
      <w:r w:rsidR="00433A8C">
        <w:t xml:space="preserve">the </w:t>
      </w:r>
      <w:r>
        <w:t>conditions</w:t>
      </w:r>
      <w:r w:rsidR="00433A8C">
        <w:t xml:space="preserve"> in Attachment A</w:t>
      </w:r>
      <w:r w:rsidR="00DC0307">
        <w:t xml:space="preserve"> (biennial conservation target of 473,163 megawatt-hours)</w:t>
      </w:r>
      <w:r w:rsidR="00EA6C43">
        <w:t>.</w:t>
      </w:r>
      <w:r>
        <w:t xml:space="preserve"> </w:t>
      </w:r>
    </w:p>
    <w:p w14:paraId="2C77859F" w14:textId="77777777" w:rsidR="00EA6C43" w:rsidRDefault="00EA6C43" w:rsidP="009652E7"/>
    <w:p w14:paraId="2F211E14" w14:textId="7EDC84FB" w:rsidR="009B62BA" w:rsidRDefault="00EA6C43" w:rsidP="009652E7">
      <w:r>
        <w:t>A</w:t>
      </w:r>
      <w:r w:rsidR="009B62BA">
        <w:t>llow</w:t>
      </w:r>
      <w:r>
        <w:t xml:space="preserve"> the</w:t>
      </w:r>
      <w:r w:rsidR="009B62BA">
        <w:t xml:space="preserve"> tariff revisions filed by PSE in Docket UE-</w:t>
      </w:r>
      <w:r w:rsidR="00B90DC3">
        <w:t>1</w:t>
      </w:r>
      <w:r w:rsidR="000A3D0E">
        <w:t xml:space="preserve">71094 </w:t>
      </w:r>
      <w:r w:rsidR="009B62BA">
        <w:t xml:space="preserve">to take effect </w:t>
      </w:r>
      <w:r w:rsidR="001168EB">
        <w:t>Jan</w:t>
      </w:r>
      <w:r w:rsidR="003617FE">
        <w:t xml:space="preserve">uary </w:t>
      </w:r>
      <w:r w:rsidR="00C73105">
        <w:t>1, 201</w:t>
      </w:r>
      <w:r w:rsidR="000A3D0E">
        <w:t>8</w:t>
      </w:r>
      <w:r w:rsidR="009B62BA">
        <w:t>, by operation of law.</w:t>
      </w:r>
    </w:p>
    <w:p w14:paraId="2F211E15" w14:textId="77777777" w:rsidR="000F05C4" w:rsidRPr="00CD74CC" w:rsidRDefault="00CA5322" w:rsidP="005A60BD">
      <w:pPr>
        <w:pStyle w:val="Heading1"/>
        <w:rPr>
          <w:u w:val="single"/>
        </w:rPr>
      </w:pPr>
      <w:r>
        <w:rPr>
          <w:u w:val="single"/>
        </w:rPr>
        <w:t>Background</w:t>
      </w:r>
    </w:p>
    <w:p w14:paraId="2F211E16" w14:textId="601D6E8C" w:rsidR="00CE51EA" w:rsidRPr="0024211E" w:rsidRDefault="00C40BED" w:rsidP="000F05C4">
      <w:pPr>
        <w:rPr>
          <w:highlight w:val="yellow"/>
        </w:rPr>
      </w:pPr>
      <w:r w:rsidRPr="0024211E">
        <w:t xml:space="preserve">On </w:t>
      </w:r>
      <w:r w:rsidR="0024211E" w:rsidRPr="0024211E">
        <w:t>November 1</w:t>
      </w:r>
      <w:r w:rsidR="00C73105" w:rsidRPr="0024211E">
        <w:t>, 201</w:t>
      </w:r>
      <w:r w:rsidR="0024211E" w:rsidRPr="0024211E">
        <w:t>7</w:t>
      </w:r>
      <w:r w:rsidRPr="0024211E">
        <w:t xml:space="preserve">, </w:t>
      </w:r>
      <w:r w:rsidR="00075518" w:rsidRPr="00075518">
        <w:t xml:space="preserve">Puget Sound Energy </w:t>
      </w:r>
      <w:r w:rsidR="00075518">
        <w:t>(</w:t>
      </w:r>
      <w:r w:rsidRPr="0024211E">
        <w:t>PSE</w:t>
      </w:r>
      <w:r w:rsidR="00075518">
        <w:t xml:space="preserve"> or company)</w:t>
      </w:r>
      <w:r w:rsidRPr="0024211E">
        <w:t xml:space="preserve"> filed its “201</w:t>
      </w:r>
      <w:r w:rsidR="0024211E" w:rsidRPr="0024211E">
        <w:t>8</w:t>
      </w:r>
      <w:r w:rsidRPr="0024211E">
        <w:t>-201</w:t>
      </w:r>
      <w:r w:rsidR="0024211E" w:rsidRPr="0024211E">
        <w:t>9</w:t>
      </w:r>
      <w:r w:rsidRPr="0024211E">
        <w:t xml:space="preserve"> Biennial Conservation Plan”</w:t>
      </w:r>
      <w:r w:rsidR="00CB3FE8" w:rsidRPr="0024211E">
        <w:t xml:space="preserve"> (BCP</w:t>
      </w:r>
      <w:r w:rsidR="00CD74CC" w:rsidRPr="0024211E">
        <w:t xml:space="preserve"> or Plan</w:t>
      </w:r>
      <w:r w:rsidR="00CB3FE8" w:rsidRPr="0024211E">
        <w:t>)</w:t>
      </w:r>
      <w:r w:rsidR="00CD74CC" w:rsidRPr="0024211E">
        <w:t xml:space="preserve"> with the Washington Utilities and Transportation Commission (commission)</w:t>
      </w:r>
      <w:r w:rsidR="001363A7" w:rsidRPr="0024211E">
        <w:t xml:space="preserve"> under Docket UE-</w:t>
      </w:r>
      <w:r w:rsidR="0024211E" w:rsidRPr="0024211E">
        <w:t>1710</w:t>
      </w:r>
      <w:r w:rsidR="00C73105" w:rsidRPr="0024211E">
        <w:t>8</w:t>
      </w:r>
      <w:r w:rsidR="0024211E" w:rsidRPr="0024211E">
        <w:t>7</w:t>
      </w:r>
      <w:r w:rsidR="00CD3FC6" w:rsidRPr="0024211E">
        <w:t xml:space="preserve">. </w:t>
      </w:r>
      <w:r w:rsidR="00CD74CC" w:rsidRPr="0024211E">
        <w:t xml:space="preserve">The Plan </w:t>
      </w:r>
      <w:r w:rsidRPr="0024211E">
        <w:t>identifie</w:t>
      </w:r>
      <w:r w:rsidR="00CD74CC" w:rsidRPr="0024211E">
        <w:t>s</w:t>
      </w:r>
      <w:r w:rsidRPr="0024211E">
        <w:t xml:space="preserve"> a 201</w:t>
      </w:r>
      <w:r w:rsidR="0024211E" w:rsidRPr="0024211E">
        <w:t>8</w:t>
      </w:r>
      <w:r w:rsidRPr="0024211E">
        <w:t>-202</w:t>
      </w:r>
      <w:r w:rsidR="0024211E" w:rsidRPr="0024211E">
        <w:t>7</w:t>
      </w:r>
      <w:r w:rsidRPr="0024211E">
        <w:t xml:space="preserve"> achievable conservation potential</w:t>
      </w:r>
      <w:r w:rsidR="00CD74CC" w:rsidRPr="0024211E">
        <w:t xml:space="preserve"> of </w:t>
      </w:r>
      <w:r w:rsidR="0024211E" w:rsidRPr="0024211E">
        <w:t xml:space="preserve">1,799,149 </w:t>
      </w:r>
      <w:r w:rsidR="00CD74CC" w:rsidRPr="0024211E">
        <w:t>megawatt-hours (MWh)</w:t>
      </w:r>
      <w:r w:rsidRPr="0024211E">
        <w:t xml:space="preserve">, </w:t>
      </w:r>
      <w:r w:rsidR="00CD74CC" w:rsidRPr="0024211E">
        <w:t xml:space="preserve">a </w:t>
      </w:r>
      <w:r w:rsidRPr="0024211E">
        <w:t>201</w:t>
      </w:r>
      <w:r w:rsidR="0024211E" w:rsidRPr="0024211E">
        <w:t>8</w:t>
      </w:r>
      <w:r w:rsidRPr="0024211E">
        <w:t>-201</w:t>
      </w:r>
      <w:r w:rsidR="0024211E" w:rsidRPr="0024211E">
        <w:t>9</w:t>
      </w:r>
      <w:r w:rsidRPr="0024211E">
        <w:t xml:space="preserve"> biennial conservation </w:t>
      </w:r>
      <w:r w:rsidR="00341972" w:rsidRPr="0024211E">
        <w:t>target</w:t>
      </w:r>
      <w:r w:rsidR="00CD74CC" w:rsidRPr="0024211E">
        <w:t xml:space="preserve"> of </w:t>
      </w:r>
      <w:r w:rsidR="0011037B" w:rsidRPr="0011037B">
        <w:t>448,109</w:t>
      </w:r>
      <w:r w:rsidR="00DF6ADE" w:rsidRPr="0011037B">
        <w:t xml:space="preserve"> </w:t>
      </w:r>
      <w:r w:rsidR="00CD74CC" w:rsidRPr="0011037B">
        <w:t>MWh</w:t>
      </w:r>
      <w:r w:rsidRPr="0011037B">
        <w:t>,</w:t>
      </w:r>
      <w:r w:rsidR="00E211E1">
        <w:t xml:space="preserve"> a decoupling commitment </w:t>
      </w:r>
      <w:r w:rsidR="00A13688">
        <w:t xml:space="preserve">target </w:t>
      </w:r>
      <w:r w:rsidR="00E211E1">
        <w:t xml:space="preserve">of </w:t>
      </w:r>
      <w:r w:rsidR="00E211E1" w:rsidRPr="00E211E1">
        <w:t>23,658</w:t>
      </w:r>
      <w:r w:rsidR="00E211E1">
        <w:t xml:space="preserve"> MWh,</w:t>
      </w:r>
      <w:r w:rsidR="00E211E1">
        <w:rPr>
          <w:rStyle w:val="FootnoteReference"/>
        </w:rPr>
        <w:footnoteReference w:id="2"/>
      </w:r>
      <w:r w:rsidR="00E211E1">
        <w:t xml:space="preserve"> </w:t>
      </w:r>
      <w:r w:rsidRPr="0011037B">
        <w:t>a</w:t>
      </w:r>
      <w:r w:rsidRPr="0024211E">
        <w:t>nd business plan to implement conservation programs to achieve th</w:t>
      </w:r>
      <w:r w:rsidR="0051781D">
        <w:t>e combined</w:t>
      </w:r>
      <w:r w:rsidRPr="0024211E">
        <w:t xml:space="preserve"> target.</w:t>
      </w:r>
      <w:r w:rsidR="00CD3FC6" w:rsidRPr="0024211E">
        <w:t xml:space="preserve"> Staff filed responsive comments on the Plan on Dec</w:t>
      </w:r>
      <w:r w:rsidR="003617FE" w:rsidRPr="0024211E">
        <w:t xml:space="preserve">ember </w:t>
      </w:r>
      <w:r w:rsidR="0024211E" w:rsidRPr="0024211E">
        <w:t>1</w:t>
      </w:r>
      <w:r w:rsidR="00C73105" w:rsidRPr="0024211E">
        <w:t>, 201</w:t>
      </w:r>
      <w:r w:rsidR="0024211E" w:rsidRPr="0024211E">
        <w:t>7</w:t>
      </w:r>
      <w:r w:rsidR="00CD3FC6" w:rsidRPr="0024211E">
        <w:t>.</w:t>
      </w:r>
      <w:r w:rsidR="009F0545">
        <w:t xml:space="preserve"> On December 11, 2017, PSE filed replacement pages in response to </w:t>
      </w:r>
      <w:r w:rsidR="008D024C">
        <w:t>commission</w:t>
      </w:r>
      <w:r w:rsidR="009F0545">
        <w:t xml:space="preserve"> Order 08 in Docket UE-170033.</w:t>
      </w:r>
    </w:p>
    <w:p w14:paraId="2F211E17" w14:textId="77777777" w:rsidR="00604FFF" w:rsidRPr="000A3D0E" w:rsidRDefault="00604FFF" w:rsidP="000F05C4">
      <w:pPr>
        <w:rPr>
          <w:color w:val="FF0000"/>
          <w:highlight w:val="yellow"/>
        </w:rPr>
      </w:pPr>
    </w:p>
    <w:p w14:paraId="2F211E18" w14:textId="5CB0C3B5" w:rsidR="001363A7" w:rsidRPr="000A3D0E" w:rsidRDefault="0024211E" w:rsidP="000F05C4">
      <w:pPr>
        <w:rPr>
          <w:color w:val="FF0000"/>
        </w:rPr>
      </w:pPr>
      <w:r w:rsidRPr="0024211E">
        <w:t>O</w:t>
      </w:r>
      <w:r w:rsidR="001363A7" w:rsidRPr="0024211E">
        <w:t xml:space="preserve">n </w:t>
      </w:r>
      <w:r w:rsidRPr="0024211E">
        <w:t>November 2</w:t>
      </w:r>
      <w:r w:rsidR="00B90DC3" w:rsidRPr="0024211E">
        <w:t>, 201</w:t>
      </w:r>
      <w:r w:rsidRPr="0024211E">
        <w:t>7</w:t>
      </w:r>
      <w:r w:rsidR="001363A7" w:rsidRPr="0024211E">
        <w:t>, PSE filed tariff changes under Docket UE-1</w:t>
      </w:r>
      <w:r w:rsidRPr="0024211E">
        <w:t>71094</w:t>
      </w:r>
      <w:r w:rsidR="001363A7" w:rsidRPr="0024211E">
        <w:t xml:space="preserve"> to </w:t>
      </w:r>
      <w:r w:rsidR="001363A7" w:rsidRPr="00BD6328">
        <w:t>provide for continuation of PSE’s e</w:t>
      </w:r>
      <w:r w:rsidR="00F33C95" w:rsidRPr="00BD6328">
        <w:t>l</w:t>
      </w:r>
      <w:r w:rsidR="001363A7" w:rsidRPr="00BD6328">
        <w:t xml:space="preserve">ectric conservation programs, </w:t>
      </w:r>
      <w:r w:rsidR="001363A7" w:rsidRPr="0051781D">
        <w:t xml:space="preserve">which are set to expire on </w:t>
      </w:r>
      <w:r w:rsidR="001168EB" w:rsidRPr="0051781D">
        <w:t>Dec</w:t>
      </w:r>
      <w:r w:rsidR="003617FE" w:rsidRPr="0051781D">
        <w:t xml:space="preserve">ember </w:t>
      </w:r>
      <w:r w:rsidR="00B90DC3" w:rsidRPr="0051781D">
        <w:t>31, 201</w:t>
      </w:r>
      <w:r w:rsidR="0051781D" w:rsidRPr="0051781D">
        <w:t>7</w:t>
      </w:r>
      <w:r w:rsidR="00CD3FC6" w:rsidRPr="0051781D">
        <w:t>.</w:t>
      </w:r>
      <w:r w:rsidR="00CD3FC6" w:rsidRPr="00BD6328">
        <w:t xml:space="preserve"> </w:t>
      </w:r>
      <w:r w:rsidR="00E8228B" w:rsidRPr="00BD6328">
        <w:t xml:space="preserve">The tariff changes make a couple of minor programmatic changes, but do not </w:t>
      </w:r>
      <w:r w:rsidR="00D74A78">
        <w:t>a</w:t>
      </w:r>
      <w:r w:rsidR="00E8228B" w:rsidRPr="00BD6328">
        <w:t xml:space="preserve">ffect rates. </w:t>
      </w:r>
    </w:p>
    <w:p w14:paraId="2F211E19" w14:textId="77777777" w:rsidR="00604FFF" w:rsidRPr="000A3D0E" w:rsidRDefault="00604FFF" w:rsidP="00604FFF">
      <w:pPr>
        <w:rPr>
          <w:color w:val="FF0000"/>
          <w:highlight w:val="yellow"/>
        </w:rPr>
      </w:pPr>
    </w:p>
    <w:p w14:paraId="52EE9960" w14:textId="5D7BB3D0" w:rsidR="00294540" w:rsidRPr="0024211E" w:rsidRDefault="00B90DC3" w:rsidP="00604FFF">
      <w:r w:rsidRPr="0024211E">
        <w:t xml:space="preserve">PSE serves </w:t>
      </w:r>
      <w:r w:rsidRPr="00DE67D2">
        <w:t>approximately 1.</w:t>
      </w:r>
      <w:r w:rsidR="00DE67D2" w:rsidRPr="00DE67D2">
        <w:t>1</w:t>
      </w:r>
      <w:r w:rsidR="00604FFF" w:rsidRPr="00DE67D2">
        <w:t xml:space="preserve"> million electric </w:t>
      </w:r>
      <w:r w:rsidR="00604FFF" w:rsidRPr="0024211E">
        <w:t xml:space="preserve">customers in Island, King, Kitsap, Kittitas, Pierce, Skagit, Thurston and Whatcom counties. </w:t>
      </w:r>
    </w:p>
    <w:p w14:paraId="2F211E1B" w14:textId="77777777" w:rsidR="00604FFF" w:rsidRPr="00515633" w:rsidRDefault="00604FFF" w:rsidP="00520CC1">
      <w:pPr>
        <w:rPr>
          <w:highlight w:val="yellow"/>
        </w:rPr>
      </w:pPr>
    </w:p>
    <w:p w14:paraId="2F211E1C" w14:textId="77777777" w:rsidR="000B6FA5" w:rsidRPr="00CA5322" w:rsidRDefault="001363A7" w:rsidP="00520CC1">
      <w:pPr>
        <w:rPr>
          <w:b/>
        </w:rPr>
      </w:pPr>
      <w:r w:rsidRPr="00CA5322">
        <w:rPr>
          <w:b/>
        </w:rPr>
        <w:t xml:space="preserve">Biennial Conservation Target </w:t>
      </w:r>
      <w:r w:rsidR="00BE498D">
        <w:rPr>
          <w:b/>
        </w:rPr>
        <w:t>and Portfolio Savings</w:t>
      </w:r>
    </w:p>
    <w:p w14:paraId="5F01E9BE" w14:textId="77777777" w:rsidR="00294540" w:rsidRDefault="00294540" w:rsidP="007A36E7"/>
    <w:p w14:paraId="2F211E1D" w14:textId="5A2E1A12" w:rsidR="0044594A" w:rsidRPr="000A3D0E" w:rsidRDefault="007A36E7" w:rsidP="007A36E7">
      <w:pPr>
        <w:rPr>
          <w:color w:val="FF0000"/>
        </w:rPr>
      </w:pPr>
      <w:r w:rsidRPr="0011037B">
        <w:t xml:space="preserve">As described in </w:t>
      </w:r>
      <w:r w:rsidR="00B70CD6">
        <w:t>s</w:t>
      </w:r>
      <w:r w:rsidRPr="0011037B">
        <w:t xml:space="preserve">taff </w:t>
      </w:r>
      <w:r w:rsidR="00B70CD6">
        <w:t>c</w:t>
      </w:r>
      <w:r w:rsidRPr="0011037B">
        <w:t xml:space="preserve">omments, PSE conducted a Conservation Potential </w:t>
      </w:r>
      <w:r w:rsidR="00D127E0" w:rsidRPr="0011037B">
        <w:t>Assessment, which</w:t>
      </w:r>
      <w:r w:rsidRPr="0011037B">
        <w:t xml:space="preserve"> evaluated the 201</w:t>
      </w:r>
      <w:r w:rsidR="0011037B" w:rsidRPr="0011037B">
        <w:t>8</w:t>
      </w:r>
      <w:r w:rsidRPr="0011037B">
        <w:t>-202</w:t>
      </w:r>
      <w:r w:rsidR="0011037B" w:rsidRPr="0011037B">
        <w:t>7</w:t>
      </w:r>
      <w:r w:rsidRPr="0011037B">
        <w:t xml:space="preserve"> achievable conservation potential resulting in a 10-year potential of </w:t>
      </w:r>
      <w:r w:rsidR="0011037B" w:rsidRPr="0011037B">
        <w:t xml:space="preserve">1,799,149 </w:t>
      </w:r>
      <w:r w:rsidRPr="0011037B">
        <w:t>MWh.</w:t>
      </w:r>
      <w:r w:rsidRPr="000A3D0E">
        <w:rPr>
          <w:color w:val="FF0000"/>
        </w:rPr>
        <w:t xml:space="preserve"> </w:t>
      </w:r>
      <w:r w:rsidRPr="0011037B">
        <w:t xml:space="preserve">The two-year share of PSE’s 10-year potential is </w:t>
      </w:r>
      <w:r w:rsidR="0011037B" w:rsidRPr="0011037B">
        <w:t>473</w:t>
      </w:r>
      <w:r w:rsidRPr="0011037B">
        <w:t>,1</w:t>
      </w:r>
      <w:r w:rsidR="0011037B" w:rsidRPr="0011037B">
        <w:t>63</w:t>
      </w:r>
      <w:r w:rsidRPr="0011037B">
        <w:t xml:space="preserve"> MWh (</w:t>
      </w:r>
      <w:r w:rsidR="0011037B" w:rsidRPr="0011037B">
        <w:t>54.0</w:t>
      </w:r>
      <w:r w:rsidRPr="0011037B">
        <w:t xml:space="preserve"> aMW) </w:t>
      </w:r>
      <w:r w:rsidRPr="00047DFC">
        <w:t xml:space="preserve">including </w:t>
      </w:r>
      <w:r w:rsidR="00047DFC" w:rsidRPr="00047DFC">
        <w:t>1,500</w:t>
      </w:r>
      <w:r w:rsidRPr="00047DFC">
        <w:t xml:space="preserve"> MWh of distribution efficiency. </w:t>
      </w:r>
      <w:r w:rsidRPr="00982F76">
        <w:t>PSE subtracted 2</w:t>
      </w:r>
      <w:r w:rsidR="00982F76" w:rsidRPr="00982F76">
        <w:t>5</w:t>
      </w:r>
      <w:r w:rsidRPr="00982F76">
        <w:t>,</w:t>
      </w:r>
      <w:r w:rsidR="00982F76" w:rsidRPr="00982F76">
        <w:t>054</w:t>
      </w:r>
      <w:r w:rsidRPr="00982F76">
        <w:t xml:space="preserve"> MWh of savings attributable to NEEA programs from the biennial conservation target, </w:t>
      </w:r>
      <w:r w:rsidR="00982F76" w:rsidRPr="00982F76">
        <w:t>as was done for the 2014-2015 and 2016-2017 biennia.</w:t>
      </w:r>
      <w:r w:rsidRPr="00982F76">
        <w:t xml:space="preserve"> </w:t>
      </w:r>
      <w:r w:rsidR="000D71C1" w:rsidRPr="00982F76">
        <w:t>This</w:t>
      </w:r>
      <w:r w:rsidRPr="00982F76">
        <w:t xml:space="preserve"> ad</w:t>
      </w:r>
      <w:r w:rsidRPr="000D71C1">
        <w:t>justments resulted in a 201</w:t>
      </w:r>
      <w:r w:rsidR="000D71C1" w:rsidRPr="000D71C1">
        <w:t>8</w:t>
      </w:r>
      <w:r w:rsidRPr="000D71C1">
        <w:t>-201</w:t>
      </w:r>
      <w:r w:rsidR="000D71C1" w:rsidRPr="000D71C1">
        <w:t>9</w:t>
      </w:r>
      <w:r w:rsidRPr="000D71C1">
        <w:t xml:space="preserve"> biennial conservation </w:t>
      </w:r>
      <w:r w:rsidRPr="000D71C1">
        <w:lastRenderedPageBreak/>
        <w:t xml:space="preserve">target of </w:t>
      </w:r>
      <w:r w:rsidR="000D71C1" w:rsidRPr="000D71C1">
        <w:t xml:space="preserve">448,109 </w:t>
      </w:r>
      <w:r w:rsidRPr="00982F76">
        <w:t>MWh (</w:t>
      </w:r>
      <w:r w:rsidR="00982F76" w:rsidRPr="00982F76">
        <w:t>51.2</w:t>
      </w:r>
      <w:r w:rsidRPr="00982F76">
        <w:t xml:space="preserve"> aMW).</w:t>
      </w:r>
      <w:r w:rsidR="00B70CD6">
        <w:t xml:space="preserve"> </w:t>
      </w:r>
      <w:r w:rsidR="00982F76" w:rsidRPr="00982F76">
        <w:t xml:space="preserve">PSE </w:t>
      </w:r>
      <w:r w:rsidR="00982F76" w:rsidRPr="0011037B">
        <w:t>discussed these adjustments with the Conservation Resources Advisory Group (CRAG) during the months leading up to the filing of the BCP.</w:t>
      </w:r>
    </w:p>
    <w:p w14:paraId="2F211E21" w14:textId="77777777" w:rsidR="00433A8C" w:rsidRPr="000A3D0E" w:rsidRDefault="00433A8C" w:rsidP="0044594A">
      <w:pPr>
        <w:rPr>
          <w:color w:val="FF0000"/>
        </w:rPr>
      </w:pPr>
    </w:p>
    <w:p w14:paraId="2F211E22" w14:textId="77777777" w:rsidR="00341972" w:rsidRPr="0011037B" w:rsidRDefault="00341972" w:rsidP="00342933">
      <w:pPr>
        <w:keepNext/>
        <w:keepLines/>
        <w:spacing w:after="240" w:line="264" w:lineRule="auto"/>
        <w:ind w:left="900" w:right="720" w:hanging="900"/>
        <w:rPr>
          <w:b/>
        </w:rPr>
      </w:pPr>
      <w:r w:rsidRPr="0011037B">
        <w:rPr>
          <w:b/>
        </w:rPr>
        <w:t>Table 1. Development of PSE</w:t>
      </w:r>
      <w:r w:rsidR="00695D26" w:rsidRPr="0011037B">
        <w:rPr>
          <w:b/>
        </w:rPr>
        <w:t>’s 201</w:t>
      </w:r>
      <w:r w:rsidR="0011037B" w:rsidRPr="0011037B">
        <w:rPr>
          <w:b/>
        </w:rPr>
        <w:t>8</w:t>
      </w:r>
      <w:r w:rsidR="00695D26" w:rsidRPr="0011037B">
        <w:rPr>
          <w:b/>
        </w:rPr>
        <w:t>-201</w:t>
      </w:r>
      <w:r w:rsidR="0011037B" w:rsidRPr="0011037B">
        <w:rPr>
          <w:b/>
        </w:rPr>
        <w:t>9</w:t>
      </w:r>
      <w:r w:rsidRPr="0011037B">
        <w:rPr>
          <w:b/>
        </w:rPr>
        <w:t xml:space="preserve"> Biennial Conservation Target</w:t>
      </w:r>
      <w:r w:rsidR="00BE498D" w:rsidRPr="0011037B">
        <w:rPr>
          <w:b/>
        </w:rPr>
        <w:t xml:space="preserve"> and Portfolio Savings</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03"/>
        <w:gridCol w:w="2181"/>
      </w:tblGrid>
      <w:tr w:rsidR="000A3D0E" w:rsidRPr="000A3D0E" w14:paraId="2F211E25" w14:textId="77777777" w:rsidTr="003E36BB">
        <w:trPr>
          <w:trHeight w:val="379"/>
        </w:trPr>
        <w:tc>
          <w:tcPr>
            <w:tcW w:w="5203" w:type="dxa"/>
            <w:tcMar>
              <w:top w:w="0" w:type="dxa"/>
              <w:left w:w="108" w:type="dxa"/>
              <w:bottom w:w="0" w:type="dxa"/>
              <w:right w:w="108" w:type="dxa"/>
            </w:tcMar>
            <w:vAlign w:val="bottom"/>
            <w:hideMark/>
          </w:tcPr>
          <w:p w14:paraId="2F211E23" w14:textId="77777777" w:rsidR="00341972" w:rsidRPr="0011037B" w:rsidRDefault="00341972" w:rsidP="00342933">
            <w:pPr>
              <w:keepNext/>
              <w:keepLines/>
              <w:spacing w:line="264" w:lineRule="auto"/>
              <w:ind w:right="720"/>
              <w:rPr>
                <w:b/>
                <w:bCs/>
              </w:rPr>
            </w:pPr>
            <w:r w:rsidRPr="0011037B">
              <w:rPr>
                <w:b/>
                <w:bCs/>
              </w:rPr>
              <w:t>Savings Category</w:t>
            </w:r>
          </w:p>
        </w:tc>
        <w:tc>
          <w:tcPr>
            <w:tcW w:w="2181" w:type="dxa"/>
            <w:tcMar>
              <w:top w:w="0" w:type="dxa"/>
              <w:left w:w="108" w:type="dxa"/>
              <w:bottom w:w="0" w:type="dxa"/>
              <w:right w:w="108" w:type="dxa"/>
            </w:tcMar>
            <w:hideMark/>
          </w:tcPr>
          <w:p w14:paraId="2F211E24" w14:textId="77777777" w:rsidR="00341972" w:rsidRPr="0011037B" w:rsidRDefault="00BE498D" w:rsidP="00342933">
            <w:pPr>
              <w:keepNext/>
              <w:keepLines/>
              <w:spacing w:line="264" w:lineRule="auto"/>
              <w:ind w:right="720"/>
              <w:jc w:val="right"/>
              <w:rPr>
                <w:b/>
                <w:bCs/>
              </w:rPr>
            </w:pPr>
            <w:r w:rsidRPr="0011037B">
              <w:rPr>
                <w:b/>
                <w:bCs/>
              </w:rPr>
              <w:t>Savings</w:t>
            </w:r>
            <w:r w:rsidR="00341972" w:rsidRPr="0011037B">
              <w:rPr>
                <w:b/>
                <w:bCs/>
              </w:rPr>
              <w:t xml:space="preserve"> (MWh)</w:t>
            </w:r>
          </w:p>
        </w:tc>
      </w:tr>
      <w:tr w:rsidR="000A3D0E" w:rsidRPr="000A3D0E" w14:paraId="2F211E28" w14:textId="77777777" w:rsidTr="003E36BB">
        <w:trPr>
          <w:trHeight w:val="269"/>
        </w:trPr>
        <w:tc>
          <w:tcPr>
            <w:tcW w:w="5203" w:type="dxa"/>
            <w:tcMar>
              <w:top w:w="0" w:type="dxa"/>
              <w:left w:w="108" w:type="dxa"/>
              <w:bottom w:w="0" w:type="dxa"/>
              <w:right w:w="108" w:type="dxa"/>
            </w:tcMar>
            <w:hideMark/>
          </w:tcPr>
          <w:p w14:paraId="2F211E26" w14:textId="5EE95E27" w:rsidR="00341972" w:rsidRPr="000A3D0E" w:rsidRDefault="00340BB5" w:rsidP="00342933">
            <w:pPr>
              <w:keepNext/>
              <w:keepLines/>
              <w:spacing w:line="264" w:lineRule="auto"/>
              <w:ind w:right="720"/>
              <w:rPr>
                <w:color w:val="FF0000"/>
              </w:rPr>
            </w:pPr>
            <w:r>
              <w:t>IRP identified potential</w:t>
            </w:r>
            <w:r w:rsidR="00341972" w:rsidRPr="00340BB5">
              <w:t xml:space="preserve"> (CPA)</w:t>
            </w:r>
          </w:p>
        </w:tc>
        <w:tc>
          <w:tcPr>
            <w:tcW w:w="2181" w:type="dxa"/>
            <w:tcMar>
              <w:top w:w="0" w:type="dxa"/>
              <w:left w:w="108" w:type="dxa"/>
              <w:bottom w:w="0" w:type="dxa"/>
              <w:right w:w="108" w:type="dxa"/>
            </w:tcMar>
            <w:hideMark/>
          </w:tcPr>
          <w:p w14:paraId="2F211E27" w14:textId="25276494" w:rsidR="00AB28F3" w:rsidRPr="000A3D0E" w:rsidRDefault="009B624B" w:rsidP="000E0B83">
            <w:pPr>
              <w:keepNext/>
              <w:keepLines/>
              <w:tabs>
                <w:tab w:val="decimal" w:pos="1261"/>
              </w:tabs>
              <w:spacing w:line="264" w:lineRule="auto"/>
              <w:ind w:right="344"/>
              <w:jc w:val="center"/>
              <w:rPr>
                <w:color w:val="FF0000"/>
              </w:rPr>
            </w:pPr>
            <w:r w:rsidRPr="009B624B">
              <w:t>473,163</w:t>
            </w:r>
          </w:p>
        </w:tc>
      </w:tr>
      <w:tr w:rsidR="000A3D0E" w:rsidRPr="000A3D0E" w14:paraId="2F211E2B" w14:textId="77777777" w:rsidTr="003E36BB">
        <w:trPr>
          <w:trHeight w:val="314"/>
        </w:trPr>
        <w:tc>
          <w:tcPr>
            <w:tcW w:w="5203" w:type="dxa"/>
            <w:tcMar>
              <w:top w:w="0" w:type="dxa"/>
              <w:left w:w="108" w:type="dxa"/>
              <w:bottom w:w="0" w:type="dxa"/>
              <w:right w:w="108" w:type="dxa"/>
            </w:tcMar>
            <w:hideMark/>
          </w:tcPr>
          <w:p w14:paraId="2F211E29" w14:textId="26FF8B3C" w:rsidR="00341972" w:rsidRPr="00340BB5" w:rsidRDefault="00340BB5" w:rsidP="00342933">
            <w:pPr>
              <w:keepNext/>
              <w:keepLines/>
              <w:spacing w:line="264" w:lineRule="auto"/>
              <w:ind w:right="720"/>
            </w:pPr>
            <w:r w:rsidRPr="00340BB5">
              <w:t>Plus projected savings from retail wheeling customers</w:t>
            </w:r>
          </w:p>
        </w:tc>
        <w:tc>
          <w:tcPr>
            <w:tcW w:w="2181" w:type="dxa"/>
            <w:tcMar>
              <w:top w:w="0" w:type="dxa"/>
              <w:left w:w="108" w:type="dxa"/>
              <w:bottom w:w="0" w:type="dxa"/>
              <w:right w:w="108" w:type="dxa"/>
            </w:tcMar>
            <w:hideMark/>
          </w:tcPr>
          <w:p w14:paraId="2F211E2A" w14:textId="6175627E" w:rsidR="00341972" w:rsidRPr="000A3D0E" w:rsidRDefault="009B624B" w:rsidP="000E0B83">
            <w:pPr>
              <w:keepNext/>
              <w:keepLines/>
              <w:tabs>
                <w:tab w:val="decimal" w:pos="1261"/>
              </w:tabs>
              <w:spacing w:line="264" w:lineRule="auto"/>
              <w:ind w:right="344"/>
              <w:jc w:val="center"/>
              <w:rPr>
                <w:color w:val="FF0000"/>
              </w:rPr>
            </w:pPr>
            <w:r w:rsidRPr="009B624B">
              <w:t>18,693</w:t>
            </w:r>
          </w:p>
        </w:tc>
      </w:tr>
      <w:tr w:rsidR="000A3D0E" w:rsidRPr="000A3D0E" w14:paraId="2F211E31" w14:textId="77777777" w:rsidTr="003E36BB">
        <w:trPr>
          <w:trHeight w:val="305"/>
        </w:trPr>
        <w:tc>
          <w:tcPr>
            <w:tcW w:w="5203" w:type="dxa"/>
            <w:tcMar>
              <w:top w:w="0" w:type="dxa"/>
              <w:left w:w="108" w:type="dxa"/>
              <w:bottom w:w="0" w:type="dxa"/>
              <w:right w:w="108" w:type="dxa"/>
            </w:tcMar>
            <w:hideMark/>
          </w:tcPr>
          <w:p w14:paraId="2F211E2F" w14:textId="2C9DA443" w:rsidR="00341972" w:rsidRPr="00340BB5" w:rsidRDefault="00340BB5" w:rsidP="00342933">
            <w:pPr>
              <w:keepNext/>
              <w:keepLines/>
              <w:spacing w:line="264" w:lineRule="auto"/>
              <w:ind w:right="720"/>
            </w:pPr>
            <w:r w:rsidRPr="00340BB5">
              <w:t>Plus pilots with uncertain savings</w:t>
            </w:r>
          </w:p>
        </w:tc>
        <w:tc>
          <w:tcPr>
            <w:tcW w:w="2181" w:type="dxa"/>
            <w:tcMar>
              <w:top w:w="0" w:type="dxa"/>
              <w:left w:w="108" w:type="dxa"/>
              <w:bottom w:w="0" w:type="dxa"/>
              <w:right w:w="108" w:type="dxa"/>
            </w:tcMar>
            <w:hideMark/>
          </w:tcPr>
          <w:p w14:paraId="2F211E30" w14:textId="7EB7436D" w:rsidR="00341972" w:rsidRPr="000A3D0E" w:rsidRDefault="009B624B" w:rsidP="000E0B83">
            <w:pPr>
              <w:keepNext/>
              <w:keepLines/>
              <w:tabs>
                <w:tab w:val="decimal" w:pos="1261"/>
              </w:tabs>
              <w:spacing w:line="264" w:lineRule="auto"/>
              <w:ind w:right="344"/>
              <w:jc w:val="center"/>
              <w:rPr>
                <w:color w:val="FF0000"/>
              </w:rPr>
            </w:pPr>
            <w:r w:rsidRPr="009B624B">
              <w:t>4,480</w:t>
            </w:r>
          </w:p>
        </w:tc>
      </w:tr>
      <w:tr w:rsidR="00340BB5" w:rsidRPr="000A3D0E" w14:paraId="31DB5090" w14:textId="77777777" w:rsidTr="003E36BB">
        <w:trPr>
          <w:trHeight w:val="99"/>
        </w:trPr>
        <w:tc>
          <w:tcPr>
            <w:tcW w:w="5203" w:type="dxa"/>
            <w:tcMar>
              <w:top w:w="0" w:type="dxa"/>
              <w:left w:w="108" w:type="dxa"/>
              <w:bottom w:w="0" w:type="dxa"/>
              <w:right w:w="108" w:type="dxa"/>
            </w:tcMar>
          </w:tcPr>
          <w:p w14:paraId="09EA8858" w14:textId="01F4F08A" w:rsidR="00340BB5" w:rsidRPr="00340BB5" w:rsidRDefault="00340BB5" w:rsidP="00625995">
            <w:pPr>
              <w:keepNext/>
              <w:keepLines/>
              <w:spacing w:line="264" w:lineRule="auto"/>
              <w:ind w:right="720"/>
              <w:rPr>
                <w:bCs/>
              </w:rPr>
            </w:pPr>
            <w:r w:rsidRPr="00340BB5">
              <w:rPr>
                <w:bCs/>
              </w:rPr>
              <w:t xml:space="preserve">Plus </w:t>
            </w:r>
            <w:r w:rsidR="00625995">
              <w:rPr>
                <w:bCs/>
              </w:rPr>
              <w:t>d</w:t>
            </w:r>
            <w:r w:rsidRPr="00340BB5">
              <w:rPr>
                <w:bCs/>
              </w:rPr>
              <w:t xml:space="preserve">ecoupling </w:t>
            </w:r>
            <w:r w:rsidR="00625995">
              <w:rPr>
                <w:bCs/>
              </w:rPr>
              <w:t>c</w:t>
            </w:r>
            <w:r w:rsidRPr="00340BB5">
              <w:rPr>
                <w:bCs/>
              </w:rPr>
              <w:t>ommitment (5%</w:t>
            </w:r>
            <w:r w:rsidR="00EE5C2C">
              <w:rPr>
                <w:bCs/>
              </w:rPr>
              <w:t xml:space="preserve"> of IRP</w:t>
            </w:r>
            <w:r w:rsidRPr="00340BB5">
              <w:rPr>
                <w:bCs/>
              </w:rPr>
              <w:t>)</w:t>
            </w:r>
            <w:r w:rsidR="00EE5C2C">
              <w:rPr>
                <w:bCs/>
              </w:rPr>
              <w:t xml:space="preserve"> </w:t>
            </w:r>
          </w:p>
        </w:tc>
        <w:tc>
          <w:tcPr>
            <w:tcW w:w="2181" w:type="dxa"/>
            <w:tcMar>
              <w:top w:w="0" w:type="dxa"/>
              <w:left w:w="108" w:type="dxa"/>
              <w:bottom w:w="0" w:type="dxa"/>
              <w:right w:w="108" w:type="dxa"/>
            </w:tcMar>
          </w:tcPr>
          <w:p w14:paraId="057D4561" w14:textId="71EF33E8" w:rsidR="00340BB5" w:rsidRPr="009B624B" w:rsidRDefault="009B624B" w:rsidP="000E0B83">
            <w:pPr>
              <w:keepNext/>
              <w:keepLines/>
              <w:tabs>
                <w:tab w:val="decimal" w:pos="1261"/>
              </w:tabs>
              <w:spacing w:line="264" w:lineRule="auto"/>
              <w:ind w:right="344"/>
              <w:jc w:val="center"/>
              <w:rPr>
                <w:bCs/>
                <w:color w:val="FF0000"/>
              </w:rPr>
            </w:pPr>
            <w:r w:rsidRPr="009B624B">
              <w:rPr>
                <w:bCs/>
              </w:rPr>
              <w:t>23,658</w:t>
            </w:r>
          </w:p>
        </w:tc>
      </w:tr>
      <w:tr w:rsidR="00340BB5" w:rsidRPr="000A3D0E" w14:paraId="204130AA" w14:textId="77777777" w:rsidTr="003E36BB">
        <w:trPr>
          <w:trHeight w:val="99"/>
        </w:trPr>
        <w:tc>
          <w:tcPr>
            <w:tcW w:w="5203" w:type="dxa"/>
            <w:tcMar>
              <w:top w:w="0" w:type="dxa"/>
              <w:left w:w="108" w:type="dxa"/>
              <w:bottom w:w="0" w:type="dxa"/>
              <w:right w:w="108" w:type="dxa"/>
            </w:tcMar>
          </w:tcPr>
          <w:p w14:paraId="19A361A4" w14:textId="7E423B1E" w:rsidR="00340BB5" w:rsidRDefault="00340BB5" w:rsidP="00342933">
            <w:pPr>
              <w:keepNext/>
              <w:keepLines/>
              <w:spacing w:line="264" w:lineRule="auto"/>
              <w:ind w:right="720"/>
              <w:rPr>
                <w:b/>
                <w:bCs/>
                <w:color w:val="FF0000"/>
              </w:rPr>
            </w:pPr>
            <w:r w:rsidRPr="00340BB5">
              <w:rPr>
                <w:b/>
                <w:bCs/>
              </w:rPr>
              <w:t>201</w:t>
            </w:r>
            <w:r>
              <w:rPr>
                <w:b/>
                <w:bCs/>
              </w:rPr>
              <w:t>8</w:t>
            </w:r>
            <w:r w:rsidRPr="00340BB5">
              <w:rPr>
                <w:b/>
                <w:bCs/>
              </w:rPr>
              <w:t>-201</w:t>
            </w:r>
            <w:r>
              <w:rPr>
                <w:b/>
                <w:bCs/>
              </w:rPr>
              <w:t>9</w:t>
            </w:r>
            <w:r w:rsidRPr="00340BB5">
              <w:rPr>
                <w:b/>
                <w:bCs/>
              </w:rPr>
              <w:t xml:space="preserve"> Total Portfolio Savings</w:t>
            </w:r>
          </w:p>
        </w:tc>
        <w:tc>
          <w:tcPr>
            <w:tcW w:w="2181" w:type="dxa"/>
            <w:tcMar>
              <w:top w:w="0" w:type="dxa"/>
              <w:left w:w="108" w:type="dxa"/>
              <w:bottom w:w="0" w:type="dxa"/>
              <w:right w:w="108" w:type="dxa"/>
            </w:tcMar>
          </w:tcPr>
          <w:p w14:paraId="2BE58C39" w14:textId="2A7569B5" w:rsidR="00340BB5" w:rsidRPr="000A3D0E" w:rsidRDefault="009B624B" w:rsidP="000E0B83">
            <w:pPr>
              <w:keepNext/>
              <w:keepLines/>
              <w:tabs>
                <w:tab w:val="decimal" w:pos="1261"/>
              </w:tabs>
              <w:spacing w:line="264" w:lineRule="auto"/>
              <w:ind w:right="344"/>
              <w:jc w:val="center"/>
              <w:rPr>
                <w:b/>
                <w:bCs/>
                <w:color w:val="FF0000"/>
              </w:rPr>
            </w:pPr>
            <w:r w:rsidRPr="009B624B">
              <w:rPr>
                <w:b/>
                <w:bCs/>
              </w:rPr>
              <w:t>519,994</w:t>
            </w:r>
          </w:p>
        </w:tc>
      </w:tr>
      <w:tr w:rsidR="000A3D0E" w:rsidRPr="000A3D0E" w14:paraId="2F211E34" w14:textId="77777777" w:rsidTr="003E36BB">
        <w:trPr>
          <w:trHeight w:val="99"/>
        </w:trPr>
        <w:tc>
          <w:tcPr>
            <w:tcW w:w="5203" w:type="dxa"/>
            <w:tcMar>
              <w:top w:w="0" w:type="dxa"/>
              <w:left w:w="108" w:type="dxa"/>
              <w:bottom w:w="0" w:type="dxa"/>
              <w:right w:w="108" w:type="dxa"/>
            </w:tcMar>
            <w:hideMark/>
          </w:tcPr>
          <w:p w14:paraId="2F211E32" w14:textId="74925894" w:rsidR="00341972" w:rsidRPr="00340BB5" w:rsidRDefault="00340BB5" w:rsidP="00342933">
            <w:pPr>
              <w:keepNext/>
              <w:keepLines/>
              <w:spacing w:line="264" w:lineRule="auto"/>
              <w:ind w:right="720"/>
              <w:rPr>
                <w:bCs/>
                <w:color w:val="FF0000"/>
              </w:rPr>
            </w:pPr>
            <w:r w:rsidRPr="00340BB5">
              <w:rPr>
                <w:bCs/>
              </w:rPr>
              <w:t>Less NEEA</w:t>
            </w:r>
          </w:p>
        </w:tc>
        <w:tc>
          <w:tcPr>
            <w:tcW w:w="2181" w:type="dxa"/>
            <w:tcMar>
              <w:top w:w="0" w:type="dxa"/>
              <w:left w:w="108" w:type="dxa"/>
              <w:bottom w:w="0" w:type="dxa"/>
              <w:right w:w="108" w:type="dxa"/>
            </w:tcMar>
            <w:hideMark/>
          </w:tcPr>
          <w:p w14:paraId="2F211E33" w14:textId="43AA13B8" w:rsidR="00BE498D" w:rsidRPr="009B624B" w:rsidRDefault="009B624B" w:rsidP="000E0B83">
            <w:pPr>
              <w:keepNext/>
              <w:keepLines/>
              <w:tabs>
                <w:tab w:val="decimal" w:pos="1261"/>
              </w:tabs>
              <w:spacing w:line="264" w:lineRule="auto"/>
              <w:ind w:right="344"/>
              <w:jc w:val="center"/>
              <w:rPr>
                <w:bCs/>
                <w:color w:val="FF0000"/>
              </w:rPr>
            </w:pPr>
            <w:r w:rsidRPr="009B624B">
              <w:rPr>
                <w:bCs/>
              </w:rPr>
              <w:t>(25,054)</w:t>
            </w:r>
          </w:p>
        </w:tc>
      </w:tr>
      <w:tr w:rsidR="00340BB5" w:rsidRPr="000A3D0E" w14:paraId="2F211E37" w14:textId="77777777" w:rsidTr="003E36BB">
        <w:trPr>
          <w:trHeight w:val="99"/>
        </w:trPr>
        <w:tc>
          <w:tcPr>
            <w:tcW w:w="5203" w:type="dxa"/>
            <w:tcMar>
              <w:top w:w="0" w:type="dxa"/>
              <w:left w:w="108" w:type="dxa"/>
              <w:bottom w:w="0" w:type="dxa"/>
              <w:right w:w="108" w:type="dxa"/>
            </w:tcMar>
          </w:tcPr>
          <w:p w14:paraId="2F211E35" w14:textId="2ADBD621" w:rsidR="00340BB5" w:rsidRPr="000A3D0E" w:rsidRDefault="00340BB5" w:rsidP="00342933">
            <w:pPr>
              <w:keepNext/>
              <w:keepLines/>
              <w:spacing w:line="264" w:lineRule="auto"/>
              <w:ind w:right="720"/>
              <w:rPr>
                <w:bCs/>
                <w:color w:val="FF0000"/>
              </w:rPr>
            </w:pPr>
            <w:r>
              <w:t>Less</w:t>
            </w:r>
            <w:r w:rsidRPr="006C7BF2">
              <w:t xml:space="preserve"> projected savings from retail wheeling customers</w:t>
            </w:r>
          </w:p>
        </w:tc>
        <w:tc>
          <w:tcPr>
            <w:tcW w:w="2181" w:type="dxa"/>
            <w:tcMar>
              <w:top w:w="0" w:type="dxa"/>
              <w:left w:w="108" w:type="dxa"/>
              <w:bottom w:w="0" w:type="dxa"/>
              <w:right w:w="108" w:type="dxa"/>
            </w:tcMar>
          </w:tcPr>
          <w:p w14:paraId="2F211E36" w14:textId="7FAD443A" w:rsidR="00340BB5" w:rsidRPr="000A3D0E" w:rsidRDefault="009B624B" w:rsidP="000E0B83">
            <w:pPr>
              <w:keepNext/>
              <w:keepLines/>
              <w:tabs>
                <w:tab w:val="decimal" w:pos="1261"/>
              </w:tabs>
              <w:spacing w:line="264" w:lineRule="auto"/>
              <w:ind w:right="344"/>
              <w:jc w:val="center"/>
              <w:rPr>
                <w:bCs/>
                <w:color w:val="FF0000"/>
              </w:rPr>
            </w:pPr>
            <w:r>
              <w:t>(</w:t>
            </w:r>
            <w:r w:rsidRPr="009B624B">
              <w:t>18,693</w:t>
            </w:r>
            <w:r>
              <w:t>)</w:t>
            </w:r>
          </w:p>
        </w:tc>
      </w:tr>
      <w:tr w:rsidR="00340BB5" w:rsidRPr="000A3D0E" w14:paraId="3813394A" w14:textId="77777777" w:rsidTr="003E36BB">
        <w:trPr>
          <w:trHeight w:val="99"/>
        </w:trPr>
        <w:tc>
          <w:tcPr>
            <w:tcW w:w="5203" w:type="dxa"/>
            <w:tcMar>
              <w:top w:w="0" w:type="dxa"/>
              <w:left w:w="108" w:type="dxa"/>
              <w:bottom w:w="0" w:type="dxa"/>
              <w:right w:w="108" w:type="dxa"/>
            </w:tcMar>
          </w:tcPr>
          <w:p w14:paraId="087118EF" w14:textId="4EB28A47" w:rsidR="00340BB5" w:rsidRPr="000A3D0E" w:rsidRDefault="00340BB5" w:rsidP="00342933">
            <w:pPr>
              <w:keepNext/>
              <w:keepLines/>
              <w:spacing w:line="264" w:lineRule="auto"/>
              <w:ind w:right="720"/>
              <w:rPr>
                <w:bCs/>
                <w:color w:val="FF0000"/>
              </w:rPr>
            </w:pPr>
            <w:r>
              <w:t>Less</w:t>
            </w:r>
            <w:r w:rsidRPr="006C7BF2">
              <w:t xml:space="preserve"> pilots with uncertain savings</w:t>
            </w:r>
          </w:p>
        </w:tc>
        <w:tc>
          <w:tcPr>
            <w:tcW w:w="2181" w:type="dxa"/>
            <w:tcMar>
              <w:top w:w="0" w:type="dxa"/>
              <w:left w:w="108" w:type="dxa"/>
              <w:bottom w:w="0" w:type="dxa"/>
              <w:right w:w="108" w:type="dxa"/>
            </w:tcMar>
          </w:tcPr>
          <w:p w14:paraId="75D6449D" w14:textId="25528A42" w:rsidR="00340BB5" w:rsidRPr="009B624B" w:rsidRDefault="009B624B" w:rsidP="000E0B83">
            <w:pPr>
              <w:keepNext/>
              <w:keepLines/>
              <w:tabs>
                <w:tab w:val="decimal" w:pos="1261"/>
              </w:tabs>
              <w:spacing w:line="264" w:lineRule="auto"/>
              <w:ind w:right="344"/>
              <w:jc w:val="center"/>
              <w:rPr>
                <w:bCs/>
              </w:rPr>
            </w:pPr>
            <w:r w:rsidRPr="009B624B">
              <w:rPr>
                <w:bCs/>
              </w:rPr>
              <w:t>(4,480)</w:t>
            </w:r>
          </w:p>
        </w:tc>
      </w:tr>
      <w:tr w:rsidR="00340BB5" w:rsidRPr="000A3D0E" w14:paraId="2FCCD5E5" w14:textId="77777777" w:rsidTr="003E36BB">
        <w:trPr>
          <w:trHeight w:val="99"/>
        </w:trPr>
        <w:tc>
          <w:tcPr>
            <w:tcW w:w="5203" w:type="dxa"/>
            <w:tcMar>
              <w:top w:w="0" w:type="dxa"/>
              <w:left w:w="108" w:type="dxa"/>
              <w:bottom w:w="0" w:type="dxa"/>
              <w:right w:w="108" w:type="dxa"/>
            </w:tcMar>
          </w:tcPr>
          <w:p w14:paraId="7491C414" w14:textId="784A6F11" w:rsidR="00340BB5" w:rsidRPr="000A3D0E" w:rsidRDefault="00340BB5" w:rsidP="00625995">
            <w:pPr>
              <w:keepNext/>
              <w:keepLines/>
              <w:spacing w:line="264" w:lineRule="auto"/>
              <w:ind w:right="720"/>
              <w:rPr>
                <w:b/>
                <w:bCs/>
                <w:color w:val="FF0000"/>
              </w:rPr>
            </w:pPr>
            <w:r>
              <w:t>Less</w:t>
            </w:r>
            <w:r w:rsidRPr="006C7BF2">
              <w:t xml:space="preserve"> </w:t>
            </w:r>
            <w:r w:rsidR="00625995">
              <w:t>d</w:t>
            </w:r>
            <w:r w:rsidRPr="006C7BF2">
              <w:t xml:space="preserve">ecoupling </w:t>
            </w:r>
            <w:r w:rsidR="00625995">
              <w:t>c</w:t>
            </w:r>
            <w:r w:rsidRPr="006C7BF2">
              <w:t>ommitment (5%)</w:t>
            </w:r>
          </w:p>
        </w:tc>
        <w:tc>
          <w:tcPr>
            <w:tcW w:w="2181" w:type="dxa"/>
            <w:tcMar>
              <w:top w:w="0" w:type="dxa"/>
              <w:left w:w="108" w:type="dxa"/>
              <w:bottom w:w="0" w:type="dxa"/>
              <w:right w:w="108" w:type="dxa"/>
            </w:tcMar>
          </w:tcPr>
          <w:p w14:paraId="171C3292" w14:textId="479343CA" w:rsidR="00340BB5" w:rsidRPr="009B624B" w:rsidRDefault="009B624B" w:rsidP="000E0B83">
            <w:pPr>
              <w:keepNext/>
              <w:keepLines/>
              <w:tabs>
                <w:tab w:val="decimal" w:pos="1261"/>
              </w:tabs>
              <w:spacing w:line="264" w:lineRule="auto"/>
              <w:ind w:right="344"/>
              <w:jc w:val="center"/>
              <w:rPr>
                <w:bCs/>
              </w:rPr>
            </w:pPr>
            <w:r w:rsidRPr="009B624B">
              <w:rPr>
                <w:bCs/>
              </w:rPr>
              <w:t>(23,658)</w:t>
            </w:r>
          </w:p>
        </w:tc>
      </w:tr>
      <w:tr w:rsidR="00BE498D" w:rsidRPr="000A3D0E" w14:paraId="2F211E3D" w14:textId="77777777" w:rsidTr="003E36BB">
        <w:trPr>
          <w:trHeight w:val="99"/>
        </w:trPr>
        <w:tc>
          <w:tcPr>
            <w:tcW w:w="5203" w:type="dxa"/>
            <w:tcMar>
              <w:top w:w="0" w:type="dxa"/>
              <w:left w:w="108" w:type="dxa"/>
              <w:bottom w:w="0" w:type="dxa"/>
              <w:right w:w="108" w:type="dxa"/>
            </w:tcMar>
          </w:tcPr>
          <w:p w14:paraId="2F211E3B" w14:textId="294628C8" w:rsidR="00BE498D" w:rsidRPr="000A3D0E" w:rsidRDefault="00340BB5" w:rsidP="00342933">
            <w:pPr>
              <w:keepNext/>
              <w:keepLines/>
              <w:spacing w:line="264" w:lineRule="auto"/>
              <w:ind w:right="720"/>
              <w:rPr>
                <w:b/>
                <w:bCs/>
                <w:color w:val="FF0000"/>
              </w:rPr>
            </w:pPr>
            <w:r w:rsidRPr="00340BB5">
              <w:rPr>
                <w:b/>
                <w:bCs/>
              </w:rPr>
              <w:t>2018-2019 Biennial Conservation Target</w:t>
            </w:r>
          </w:p>
        </w:tc>
        <w:tc>
          <w:tcPr>
            <w:tcW w:w="2181" w:type="dxa"/>
            <w:tcMar>
              <w:top w:w="0" w:type="dxa"/>
              <w:left w:w="108" w:type="dxa"/>
              <w:bottom w:w="0" w:type="dxa"/>
              <w:right w:w="108" w:type="dxa"/>
            </w:tcMar>
          </w:tcPr>
          <w:p w14:paraId="2F211E3C" w14:textId="4B5C7870" w:rsidR="00BE498D" w:rsidRPr="000A3D0E" w:rsidRDefault="009B624B" w:rsidP="000E0B83">
            <w:pPr>
              <w:keepNext/>
              <w:keepLines/>
              <w:tabs>
                <w:tab w:val="decimal" w:pos="1261"/>
              </w:tabs>
              <w:spacing w:line="264" w:lineRule="auto"/>
              <w:ind w:right="344"/>
              <w:jc w:val="center"/>
              <w:rPr>
                <w:b/>
                <w:bCs/>
                <w:color w:val="FF0000"/>
              </w:rPr>
            </w:pPr>
            <w:r w:rsidRPr="009B624B">
              <w:rPr>
                <w:b/>
                <w:bCs/>
              </w:rPr>
              <w:t>448,109</w:t>
            </w:r>
          </w:p>
        </w:tc>
      </w:tr>
    </w:tbl>
    <w:p w14:paraId="2F211E3E" w14:textId="77777777" w:rsidR="00DB6F04" w:rsidRPr="000A3D0E" w:rsidRDefault="00DB6F04" w:rsidP="0044594A">
      <w:pPr>
        <w:rPr>
          <w:color w:val="FF0000"/>
        </w:rPr>
      </w:pPr>
    </w:p>
    <w:p w14:paraId="2F211E3F" w14:textId="4D7F2962" w:rsidR="00DB6F04" w:rsidRPr="0011037B" w:rsidRDefault="00982F76" w:rsidP="00793DC3">
      <w:r>
        <w:t>Staff recommends that NEEA savings be included in the EIA Biennial Conservation Target</w:t>
      </w:r>
      <w:r w:rsidR="00793DC3">
        <w:t xml:space="preserve"> and that any excess be treated the same as othe</w:t>
      </w:r>
      <w:r w:rsidR="00D74A78">
        <w:t>r</w:t>
      </w:r>
      <w:r w:rsidR="00793DC3">
        <w:t xml:space="preserve"> excess savings. As explained in its comments, </w:t>
      </w:r>
      <w:r w:rsidR="00B70CD6">
        <w:t>s</w:t>
      </w:r>
      <w:r w:rsidR="00793DC3">
        <w:t>taff has concerns about continuing the practice of excluding NEEA savings from the EIA target because the risk of missing a target has been all but eliminated, the lack of consistency with public utilities</w:t>
      </w:r>
      <w:r w:rsidR="00D74A78">
        <w:t xml:space="preserve"> creates confusion</w:t>
      </w:r>
      <w:r w:rsidR="00793DC3">
        <w:t>, the potential</w:t>
      </w:r>
      <w:r w:rsidR="00D74A78">
        <w:t xml:space="preserve"> risk</w:t>
      </w:r>
      <w:r w:rsidR="00793DC3">
        <w:t xml:space="preserve"> of shortchanging ratepayers in carbon regulation</w:t>
      </w:r>
      <w:r w:rsidR="00D74A78">
        <w:t xml:space="preserve"> is unknown</w:t>
      </w:r>
      <w:r w:rsidR="00793DC3">
        <w:t xml:space="preserve">, and </w:t>
      </w:r>
      <w:r w:rsidR="00D74A78">
        <w:t>the practice removes an</w:t>
      </w:r>
      <w:r w:rsidR="00793DC3">
        <w:t xml:space="preserve"> incentive for utilities to provide full support for NEEA initiatives.</w:t>
      </w:r>
      <w:r w:rsidR="00D74A78">
        <w:rPr>
          <w:rStyle w:val="FootnoteReference"/>
        </w:rPr>
        <w:footnoteReference w:id="3"/>
      </w:r>
      <w:r w:rsidR="00793DC3">
        <w:t xml:space="preserve"> </w:t>
      </w:r>
      <w:r w:rsidR="00DC0307">
        <w:t>Therefore, s</w:t>
      </w:r>
      <w:r w:rsidR="00793DC3">
        <w:t>taff’s recommended target for PSE</w:t>
      </w:r>
      <w:r w:rsidR="00DC0307">
        <w:t>, 473,163 MWh, includes NEEA savings. The calculations are</w:t>
      </w:r>
      <w:r w:rsidR="00793DC3">
        <w:t xml:space="preserve"> presented in Table 2 below:</w:t>
      </w:r>
    </w:p>
    <w:p w14:paraId="2F211E40" w14:textId="77777777" w:rsidR="00433A8C" w:rsidRDefault="00433A8C" w:rsidP="0044594A"/>
    <w:p w14:paraId="7BB9801A" w14:textId="2B6F2DD1" w:rsidR="0011037B" w:rsidRDefault="0011037B" w:rsidP="00342933">
      <w:pPr>
        <w:keepNext/>
        <w:keepLines/>
        <w:spacing w:after="240" w:line="264" w:lineRule="auto"/>
        <w:ind w:left="900" w:right="720" w:hanging="900"/>
        <w:rPr>
          <w:b/>
        </w:rPr>
      </w:pPr>
      <w:r w:rsidRPr="0011037B">
        <w:rPr>
          <w:b/>
        </w:rPr>
        <w:lastRenderedPageBreak/>
        <w:t xml:space="preserve">Table </w:t>
      </w:r>
      <w:r w:rsidR="005B42C3">
        <w:rPr>
          <w:b/>
        </w:rPr>
        <w:t>2</w:t>
      </w:r>
      <w:r w:rsidRPr="0011037B">
        <w:rPr>
          <w:b/>
        </w:rPr>
        <w:t xml:space="preserve">. </w:t>
      </w:r>
      <w:r>
        <w:rPr>
          <w:b/>
        </w:rPr>
        <w:t xml:space="preserve">Staff’s recommendation for </w:t>
      </w:r>
      <w:r w:rsidRPr="0011037B">
        <w:rPr>
          <w:b/>
        </w:rPr>
        <w:t>PSE’s 2018-2019 Biennial Conservation Target and Portfolio Savings</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03"/>
        <w:gridCol w:w="2181"/>
      </w:tblGrid>
      <w:tr w:rsidR="009B624B" w:rsidRPr="000A3D0E" w14:paraId="1C06690F" w14:textId="77777777" w:rsidTr="000167AC">
        <w:trPr>
          <w:trHeight w:val="379"/>
        </w:trPr>
        <w:tc>
          <w:tcPr>
            <w:tcW w:w="5203" w:type="dxa"/>
            <w:tcMar>
              <w:top w:w="0" w:type="dxa"/>
              <w:left w:w="108" w:type="dxa"/>
              <w:bottom w:w="0" w:type="dxa"/>
              <w:right w:w="108" w:type="dxa"/>
            </w:tcMar>
            <w:vAlign w:val="bottom"/>
            <w:hideMark/>
          </w:tcPr>
          <w:p w14:paraId="4DC4074E" w14:textId="77777777" w:rsidR="009B624B" w:rsidRPr="0011037B" w:rsidRDefault="009B624B" w:rsidP="00342933">
            <w:pPr>
              <w:keepNext/>
              <w:keepLines/>
              <w:spacing w:line="264" w:lineRule="auto"/>
              <w:ind w:right="720"/>
              <w:rPr>
                <w:b/>
                <w:bCs/>
              </w:rPr>
            </w:pPr>
            <w:r w:rsidRPr="0011037B">
              <w:rPr>
                <w:b/>
                <w:bCs/>
              </w:rPr>
              <w:t>Savings Category</w:t>
            </w:r>
          </w:p>
        </w:tc>
        <w:tc>
          <w:tcPr>
            <w:tcW w:w="2181" w:type="dxa"/>
            <w:tcMar>
              <w:top w:w="0" w:type="dxa"/>
              <w:left w:w="108" w:type="dxa"/>
              <w:bottom w:w="0" w:type="dxa"/>
              <w:right w:w="108" w:type="dxa"/>
            </w:tcMar>
            <w:hideMark/>
          </w:tcPr>
          <w:p w14:paraId="74592C53" w14:textId="77777777" w:rsidR="009B624B" w:rsidRPr="0011037B" w:rsidRDefault="009B624B" w:rsidP="00342933">
            <w:pPr>
              <w:keepNext/>
              <w:keepLines/>
              <w:spacing w:line="264" w:lineRule="auto"/>
              <w:ind w:right="720"/>
              <w:jc w:val="right"/>
              <w:rPr>
                <w:b/>
                <w:bCs/>
              </w:rPr>
            </w:pPr>
            <w:r w:rsidRPr="0011037B">
              <w:rPr>
                <w:b/>
                <w:bCs/>
              </w:rPr>
              <w:t>Savings (MWh)</w:t>
            </w:r>
          </w:p>
        </w:tc>
      </w:tr>
      <w:tr w:rsidR="009B624B" w:rsidRPr="000A3D0E" w14:paraId="7E02B8FE" w14:textId="77777777" w:rsidTr="000167AC">
        <w:trPr>
          <w:trHeight w:val="99"/>
        </w:trPr>
        <w:tc>
          <w:tcPr>
            <w:tcW w:w="5203" w:type="dxa"/>
            <w:tcMar>
              <w:top w:w="0" w:type="dxa"/>
              <w:left w:w="108" w:type="dxa"/>
              <w:bottom w:w="0" w:type="dxa"/>
              <w:right w:w="108" w:type="dxa"/>
            </w:tcMar>
          </w:tcPr>
          <w:p w14:paraId="16DE2AAC" w14:textId="77777777" w:rsidR="009B624B" w:rsidRDefault="009B624B" w:rsidP="00342933">
            <w:pPr>
              <w:keepNext/>
              <w:keepLines/>
              <w:spacing w:line="264" w:lineRule="auto"/>
              <w:ind w:right="720"/>
              <w:rPr>
                <w:b/>
                <w:bCs/>
                <w:color w:val="FF0000"/>
              </w:rPr>
            </w:pPr>
            <w:r w:rsidRPr="00340BB5">
              <w:rPr>
                <w:b/>
                <w:bCs/>
              </w:rPr>
              <w:t>201</w:t>
            </w:r>
            <w:r>
              <w:rPr>
                <w:b/>
                <w:bCs/>
              </w:rPr>
              <w:t>8</w:t>
            </w:r>
            <w:r w:rsidRPr="00340BB5">
              <w:rPr>
                <w:b/>
                <w:bCs/>
              </w:rPr>
              <w:t>-201</w:t>
            </w:r>
            <w:r>
              <w:rPr>
                <w:b/>
                <w:bCs/>
              </w:rPr>
              <w:t>9</w:t>
            </w:r>
            <w:r w:rsidRPr="00340BB5">
              <w:rPr>
                <w:b/>
                <w:bCs/>
              </w:rPr>
              <w:t xml:space="preserve"> Total Portfolio Savings</w:t>
            </w:r>
          </w:p>
        </w:tc>
        <w:tc>
          <w:tcPr>
            <w:tcW w:w="2181" w:type="dxa"/>
            <w:tcMar>
              <w:top w:w="0" w:type="dxa"/>
              <w:left w:w="108" w:type="dxa"/>
              <w:bottom w:w="0" w:type="dxa"/>
              <w:right w:w="108" w:type="dxa"/>
            </w:tcMar>
          </w:tcPr>
          <w:p w14:paraId="6417BEE1" w14:textId="77777777" w:rsidR="009B624B" w:rsidRPr="000A3D0E" w:rsidRDefault="009B624B" w:rsidP="00B70CD6">
            <w:pPr>
              <w:keepNext/>
              <w:keepLines/>
              <w:tabs>
                <w:tab w:val="decimal" w:pos="1351"/>
              </w:tabs>
              <w:spacing w:line="264" w:lineRule="auto"/>
              <w:ind w:right="164"/>
              <w:jc w:val="center"/>
              <w:rPr>
                <w:b/>
                <w:bCs/>
                <w:color w:val="FF0000"/>
              </w:rPr>
            </w:pPr>
            <w:r w:rsidRPr="009B624B">
              <w:rPr>
                <w:b/>
                <w:bCs/>
              </w:rPr>
              <w:t>519,994</w:t>
            </w:r>
          </w:p>
        </w:tc>
      </w:tr>
      <w:tr w:rsidR="009B624B" w:rsidRPr="000A3D0E" w14:paraId="3349BA75" w14:textId="77777777" w:rsidTr="000167AC">
        <w:trPr>
          <w:trHeight w:val="99"/>
        </w:trPr>
        <w:tc>
          <w:tcPr>
            <w:tcW w:w="5203" w:type="dxa"/>
            <w:tcMar>
              <w:top w:w="0" w:type="dxa"/>
              <w:left w:w="108" w:type="dxa"/>
              <w:bottom w:w="0" w:type="dxa"/>
              <w:right w:w="108" w:type="dxa"/>
            </w:tcMar>
          </w:tcPr>
          <w:p w14:paraId="3425D119" w14:textId="77777777" w:rsidR="009B624B" w:rsidRPr="000A3D0E" w:rsidRDefault="009B624B" w:rsidP="00342933">
            <w:pPr>
              <w:keepNext/>
              <w:keepLines/>
              <w:spacing w:line="264" w:lineRule="auto"/>
              <w:ind w:right="720"/>
              <w:rPr>
                <w:bCs/>
                <w:color w:val="FF0000"/>
              </w:rPr>
            </w:pPr>
            <w:r>
              <w:t>Less</w:t>
            </w:r>
            <w:r w:rsidRPr="006C7BF2">
              <w:t xml:space="preserve"> projected savings from retail wheeling customers</w:t>
            </w:r>
          </w:p>
        </w:tc>
        <w:tc>
          <w:tcPr>
            <w:tcW w:w="2181" w:type="dxa"/>
            <w:tcMar>
              <w:top w:w="0" w:type="dxa"/>
              <w:left w:w="108" w:type="dxa"/>
              <w:bottom w:w="0" w:type="dxa"/>
              <w:right w:w="108" w:type="dxa"/>
            </w:tcMar>
          </w:tcPr>
          <w:p w14:paraId="29D3895F" w14:textId="77777777" w:rsidR="009B624B" w:rsidRPr="000A3D0E" w:rsidRDefault="009B624B" w:rsidP="00B70CD6">
            <w:pPr>
              <w:keepNext/>
              <w:keepLines/>
              <w:tabs>
                <w:tab w:val="decimal" w:pos="1351"/>
              </w:tabs>
              <w:spacing w:line="264" w:lineRule="auto"/>
              <w:ind w:right="164"/>
              <w:jc w:val="center"/>
              <w:rPr>
                <w:bCs/>
                <w:color w:val="FF0000"/>
              </w:rPr>
            </w:pPr>
            <w:r>
              <w:t>(</w:t>
            </w:r>
            <w:r w:rsidRPr="009B624B">
              <w:t>18,693</w:t>
            </w:r>
            <w:r>
              <w:t>)</w:t>
            </w:r>
          </w:p>
        </w:tc>
      </w:tr>
      <w:tr w:rsidR="009B624B" w:rsidRPr="000A3D0E" w14:paraId="654D4B57" w14:textId="77777777" w:rsidTr="000167AC">
        <w:trPr>
          <w:trHeight w:val="99"/>
        </w:trPr>
        <w:tc>
          <w:tcPr>
            <w:tcW w:w="5203" w:type="dxa"/>
            <w:tcMar>
              <w:top w:w="0" w:type="dxa"/>
              <w:left w:w="108" w:type="dxa"/>
              <w:bottom w:w="0" w:type="dxa"/>
              <w:right w:w="108" w:type="dxa"/>
            </w:tcMar>
          </w:tcPr>
          <w:p w14:paraId="2E82F625" w14:textId="77777777" w:rsidR="009B624B" w:rsidRPr="000A3D0E" w:rsidRDefault="009B624B" w:rsidP="00342933">
            <w:pPr>
              <w:keepNext/>
              <w:keepLines/>
              <w:spacing w:line="264" w:lineRule="auto"/>
              <w:ind w:right="720"/>
              <w:rPr>
                <w:bCs/>
                <w:color w:val="FF0000"/>
              </w:rPr>
            </w:pPr>
            <w:r>
              <w:t>Less</w:t>
            </w:r>
            <w:r w:rsidRPr="006C7BF2">
              <w:t xml:space="preserve"> pilots with uncertain savings</w:t>
            </w:r>
          </w:p>
        </w:tc>
        <w:tc>
          <w:tcPr>
            <w:tcW w:w="2181" w:type="dxa"/>
            <w:tcMar>
              <w:top w:w="0" w:type="dxa"/>
              <w:left w:w="108" w:type="dxa"/>
              <w:bottom w:w="0" w:type="dxa"/>
              <w:right w:w="108" w:type="dxa"/>
            </w:tcMar>
          </w:tcPr>
          <w:p w14:paraId="7129A289" w14:textId="77777777" w:rsidR="009B624B" w:rsidRPr="009B624B" w:rsidRDefault="009B624B" w:rsidP="00B70CD6">
            <w:pPr>
              <w:keepNext/>
              <w:keepLines/>
              <w:tabs>
                <w:tab w:val="decimal" w:pos="1351"/>
              </w:tabs>
              <w:spacing w:line="264" w:lineRule="auto"/>
              <w:ind w:right="164"/>
              <w:jc w:val="center"/>
              <w:rPr>
                <w:bCs/>
              </w:rPr>
            </w:pPr>
            <w:r w:rsidRPr="009B624B">
              <w:rPr>
                <w:bCs/>
              </w:rPr>
              <w:t>(4,480)</w:t>
            </w:r>
          </w:p>
        </w:tc>
      </w:tr>
      <w:tr w:rsidR="009B624B" w:rsidRPr="000A3D0E" w14:paraId="3BB57A1F" w14:textId="77777777" w:rsidTr="000167AC">
        <w:trPr>
          <w:trHeight w:val="99"/>
        </w:trPr>
        <w:tc>
          <w:tcPr>
            <w:tcW w:w="5203" w:type="dxa"/>
            <w:tcMar>
              <w:top w:w="0" w:type="dxa"/>
              <w:left w:w="108" w:type="dxa"/>
              <w:bottom w:w="0" w:type="dxa"/>
              <w:right w:w="108" w:type="dxa"/>
            </w:tcMar>
          </w:tcPr>
          <w:p w14:paraId="61504642" w14:textId="77777777" w:rsidR="009B624B" w:rsidRPr="000A3D0E" w:rsidRDefault="009B624B" w:rsidP="00342933">
            <w:pPr>
              <w:keepNext/>
              <w:keepLines/>
              <w:spacing w:line="264" w:lineRule="auto"/>
              <w:ind w:right="720"/>
              <w:rPr>
                <w:b/>
                <w:bCs/>
                <w:color w:val="FF0000"/>
              </w:rPr>
            </w:pPr>
            <w:r>
              <w:t>Less</w:t>
            </w:r>
            <w:r w:rsidRPr="006C7BF2">
              <w:t xml:space="preserve"> Decoupling Commitment (5%)</w:t>
            </w:r>
          </w:p>
        </w:tc>
        <w:tc>
          <w:tcPr>
            <w:tcW w:w="2181" w:type="dxa"/>
            <w:tcMar>
              <w:top w:w="0" w:type="dxa"/>
              <w:left w:w="108" w:type="dxa"/>
              <w:bottom w:w="0" w:type="dxa"/>
              <w:right w:w="108" w:type="dxa"/>
            </w:tcMar>
          </w:tcPr>
          <w:p w14:paraId="5FA44344" w14:textId="77777777" w:rsidR="009B624B" w:rsidRPr="009B624B" w:rsidRDefault="009B624B" w:rsidP="00B70CD6">
            <w:pPr>
              <w:keepNext/>
              <w:keepLines/>
              <w:tabs>
                <w:tab w:val="decimal" w:pos="1351"/>
              </w:tabs>
              <w:spacing w:line="264" w:lineRule="auto"/>
              <w:ind w:right="164"/>
              <w:jc w:val="center"/>
              <w:rPr>
                <w:bCs/>
              </w:rPr>
            </w:pPr>
            <w:r w:rsidRPr="009B624B">
              <w:rPr>
                <w:bCs/>
              </w:rPr>
              <w:t>(23,658)</w:t>
            </w:r>
          </w:p>
        </w:tc>
      </w:tr>
      <w:tr w:rsidR="009B624B" w:rsidRPr="000A3D0E" w14:paraId="58447DD2" w14:textId="77777777" w:rsidTr="000167AC">
        <w:trPr>
          <w:trHeight w:val="99"/>
        </w:trPr>
        <w:tc>
          <w:tcPr>
            <w:tcW w:w="5203" w:type="dxa"/>
            <w:tcMar>
              <w:top w:w="0" w:type="dxa"/>
              <w:left w:w="108" w:type="dxa"/>
              <w:bottom w:w="0" w:type="dxa"/>
              <w:right w:w="108" w:type="dxa"/>
            </w:tcMar>
          </w:tcPr>
          <w:p w14:paraId="3C1AB8C0" w14:textId="77777777" w:rsidR="009B624B" w:rsidRPr="000A3D0E" w:rsidRDefault="009B624B" w:rsidP="00342933">
            <w:pPr>
              <w:keepNext/>
              <w:keepLines/>
              <w:spacing w:line="264" w:lineRule="auto"/>
              <w:ind w:right="720"/>
              <w:rPr>
                <w:b/>
                <w:bCs/>
                <w:color w:val="FF0000"/>
              </w:rPr>
            </w:pPr>
            <w:r w:rsidRPr="00340BB5">
              <w:rPr>
                <w:b/>
                <w:bCs/>
              </w:rPr>
              <w:t>2018-2019 Biennial Conservation Target</w:t>
            </w:r>
          </w:p>
        </w:tc>
        <w:tc>
          <w:tcPr>
            <w:tcW w:w="2181" w:type="dxa"/>
            <w:tcMar>
              <w:top w:w="0" w:type="dxa"/>
              <w:left w:w="108" w:type="dxa"/>
              <w:bottom w:w="0" w:type="dxa"/>
              <w:right w:w="108" w:type="dxa"/>
            </w:tcMar>
          </w:tcPr>
          <w:p w14:paraId="682E6E25" w14:textId="1B758238" w:rsidR="009B624B" w:rsidRPr="000A3D0E" w:rsidRDefault="009B624B" w:rsidP="00B70CD6">
            <w:pPr>
              <w:keepNext/>
              <w:keepLines/>
              <w:tabs>
                <w:tab w:val="decimal" w:pos="1351"/>
              </w:tabs>
              <w:spacing w:line="264" w:lineRule="auto"/>
              <w:ind w:right="164"/>
              <w:jc w:val="center"/>
              <w:rPr>
                <w:b/>
                <w:bCs/>
                <w:color w:val="FF0000"/>
              </w:rPr>
            </w:pPr>
            <w:r>
              <w:rPr>
                <w:b/>
                <w:bCs/>
              </w:rPr>
              <w:t>473,163</w:t>
            </w:r>
          </w:p>
        </w:tc>
      </w:tr>
    </w:tbl>
    <w:p w14:paraId="756A8E8B" w14:textId="77777777" w:rsidR="00342933" w:rsidRDefault="00342933" w:rsidP="0044594A">
      <w:pPr>
        <w:rPr>
          <w:b/>
        </w:rPr>
      </w:pPr>
    </w:p>
    <w:p w14:paraId="753111E6" w14:textId="77777777" w:rsidR="00342933" w:rsidRDefault="00342933" w:rsidP="0044594A">
      <w:pPr>
        <w:rPr>
          <w:b/>
        </w:rPr>
      </w:pPr>
    </w:p>
    <w:p w14:paraId="2F211E41" w14:textId="77777777" w:rsidR="00DB6F04" w:rsidRPr="00BE498D" w:rsidRDefault="00BE498D" w:rsidP="00342933">
      <w:pPr>
        <w:keepNext/>
        <w:keepLines/>
        <w:rPr>
          <w:b/>
        </w:rPr>
      </w:pPr>
      <w:r>
        <w:rPr>
          <w:b/>
        </w:rPr>
        <w:t>Biennial Budget and Cost-Effectiveness</w:t>
      </w:r>
    </w:p>
    <w:p w14:paraId="2F211E42" w14:textId="77777777" w:rsidR="00BE498D" w:rsidRDefault="00BE498D" w:rsidP="00342933">
      <w:pPr>
        <w:keepNext/>
        <w:keepLines/>
      </w:pPr>
    </w:p>
    <w:p w14:paraId="2F211E43" w14:textId="55C8A87E" w:rsidR="00343083" w:rsidRPr="00655A80" w:rsidRDefault="00433A8C" w:rsidP="00342933">
      <w:pPr>
        <w:keepNext/>
        <w:keepLines/>
        <w:rPr>
          <w:color w:val="FF0000"/>
        </w:rPr>
      </w:pPr>
      <w:r w:rsidRPr="00655A80">
        <w:t>The BCP provides budget details regarding PSE’s plan for achieving the savings identified in its biennial conservation target and total portfolio</w:t>
      </w:r>
      <w:r w:rsidR="00CD3FC6" w:rsidRPr="00655A80">
        <w:t xml:space="preserve">. </w:t>
      </w:r>
      <w:r w:rsidR="00D127E0" w:rsidRPr="00655A80">
        <w:t xml:space="preserve">Table </w:t>
      </w:r>
      <w:r w:rsidR="00607DE7" w:rsidRPr="00655A80">
        <w:t>3</w:t>
      </w:r>
      <w:r w:rsidR="00D127E0" w:rsidRPr="00655A80">
        <w:t>, below, is a</w:t>
      </w:r>
      <w:r w:rsidRPr="00655A80">
        <w:t xml:space="preserve"> summary of these details</w:t>
      </w:r>
      <w:r w:rsidR="00CD3FC6" w:rsidRPr="00655A80">
        <w:t xml:space="preserve">. </w:t>
      </w:r>
      <w:r w:rsidR="009278CE" w:rsidRPr="00655A80">
        <w:t>PSE’s 201</w:t>
      </w:r>
      <w:r w:rsidR="00607DE7" w:rsidRPr="00655A80">
        <w:t>8</w:t>
      </w:r>
      <w:r w:rsidR="009278CE" w:rsidRPr="00655A80">
        <w:t>-201</w:t>
      </w:r>
      <w:r w:rsidR="00607DE7" w:rsidRPr="00655A80">
        <w:t>9</w:t>
      </w:r>
      <w:r w:rsidRPr="00655A80">
        <w:t xml:space="preserve"> budget is $</w:t>
      </w:r>
      <w:r w:rsidR="00655A80" w:rsidRPr="00655A80">
        <w:t>183,836,280</w:t>
      </w:r>
      <w:r w:rsidRPr="00655A80">
        <w:t xml:space="preserve">, approximately </w:t>
      </w:r>
      <w:r w:rsidR="000E0B83" w:rsidRPr="00655A80">
        <w:t>8</w:t>
      </w:r>
      <w:r w:rsidR="0062084E" w:rsidRPr="00655A80">
        <w:t xml:space="preserve"> </w:t>
      </w:r>
      <w:r w:rsidR="009278CE" w:rsidRPr="00655A80">
        <w:t>percent</w:t>
      </w:r>
      <w:r w:rsidR="0062084E" w:rsidRPr="00655A80">
        <w:t xml:space="preserve"> </w:t>
      </w:r>
      <w:r w:rsidR="002B3FD8" w:rsidRPr="00655A80">
        <w:t>less</w:t>
      </w:r>
      <w:r w:rsidR="0062084E" w:rsidRPr="00655A80">
        <w:t xml:space="preserve"> </w:t>
      </w:r>
      <w:r w:rsidR="009278CE" w:rsidRPr="00655A80">
        <w:t>than the budget for the 201</w:t>
      </w:r>
      <w:r w:rsidR="002B3FD8" w:rsidRPr="00655A80">
        <w:t>6</w:t>
      </w:r>
      <w:r w:rsidR="009278CE" w:rsidRPr="00655A80">
        <w:t>-201</w:t>
      </w:r>
      <w:r w:rsidR="002B3FD8" w:rsidRPr="00655A80">
        <w:t>7</w:t>
      </w:r>
      <w:r w:rsidRPr="00655A80">
        <w:t xml:space="preserve"> b</w:t>
      </w:r>
      <w:r w:rsidR="00343083" w:rsidRPr="00655A80">
        <w:t>iennium</w:t>
      </w:r>
      <w:r w:rsidR="00657E4F" w:rsidRPr="00655A80">
        <w:t xml:space="preserve">. </w:t>
      </w:r>
      <w:r w:rsidR="00343083" w:rsidRPr="00655A80">
        <w:t xml:space="preserve">PSE’s expected </w:t>
      </w:r>
      <w:r w:rsidR="009278CE" w:rsidRPr="00655A80">
        <w:t>total portfolio savings for 201</w:t>
      </w:r>
      <w:r w:rsidR="00607DE7" w:rsidRPr="00655A80">
        <w:t>8</w:t>
      </w:r>
      <w:r w:rsidR="009278CE" w:rsidRPr="00655A80">
        <w:t>-201</w:t>
      </w:r>
      <w:r w:rsidR="00607DE7" w:rsidRPr="00655A80">
        <w:t>9</w:t>
      </w:r>
      <w:r w:rsidR="00343083" w:rsidRPr="00655A80">
        <w:t xml:space="preserve"> are </w:t>
      </w:r>
      <w:r w:rsidR="002B3FD8" w:rsidRPr="00655A80">
        <w:rPr>
          <w:rFonts w:eastAsia="Calibri"/>
        </w:rPr>
        <w:t xml:space="preserve">approximately 14 percent </w:t>
      </w:r>
      <w:r w:rsidR="00657E4F" w:rsidRPr="00655A80">
        <w:t>lower</w:t>
      </w:r>
      <w:r w:rsidR="009278CE" w:rsidRPr="00655A80">
        <w:t xml:space="preserve"> than the 201</w:t>
      </w:r>
      <w:r w:rsidR="00607DE7" w:rsidRPr="00655A80">
        <w:t>6</w:t>
      </w:r>
      <w:r w:rsidR="009278CE" w:rsidRPr="00655A80">
        <w:t>-201</w:t>
      </w:r>
      <w:r w:rsidR="00607DE7" w:rsidRPr="00655A80">
        <w:t>7</w:t>
      </w:r>
      <w:r w:rsidR="00343083" w:rsidRPr="00655A80">
        <w:t xml:space="preserve"> biennium</w:t>
      </w:r>
      <w:r w:rsidR="002B3FD8" w:rsidRPr="00655A80">
        <w:t>.</w:t>
      </w:r>
    </w:p>
    <w:p w14:paraId="2F211E44" w14:textId="77777777" w:rsidR="00343083" w:rsidRPr="009F0545" w:rsidRDefault="00343083" w:rsidP="0044594A">
      <w:pPr>
        <w:rPr>
          <w:color w:val="FF0000"/>
          <w:highlight w:val="yellow"/>
        </w:rPr>
      </w:pPr>
    </w:p>
    <w:p w14:paraId="2F211E4B" w14:textId="3426F094" w:rsidR="00343083" w:rsidRPr="002B3FD8" w:rsidRDefault="00B90DC3" w:rsidP="0044594A">
      <w:r w:rsidRPr="00C465BE">
        <w:t xml:space="preserve">PSE expects its </w:t>
      </w:r>
      <w:r w:rsidR="00343083" w:rsidRPr="00C465BE">
        <w:t xml:space="preserve">portfolio </w:t>
      </w:r>
      <w:r w:rsidRPr="00C465BE">
        <w:t>to achieve</w:t>
      </w:r>
      <w:r w:rsidR="00343083" w:rsidRPr="00C465BE">
        <w:t xml:space="preserve"> a Total Resource Cost (TRC) ratio of </w:t>
      </w:r>
      <w:r w:rsidR="00A429A1" w:rsidRPr="00C465BE">
        <w:t>1.</w:t>
      </w:r>
      <w:r w:rsidR="00C465BE">
        <w:t>4</w:t>
      </w:r>
      <w:r w:rsidR="00A429A1" w:rsidRPr="00C465BE">
        <w:t xml:space="preserve"> </w:t>
      </w:r>
      <w:r w:rsidR="00343083" w:rsidRPr="00C465BE">
        <w:t xml:space="preserve">and a Utility Cost Test (UCT) ratio of </w:t>
      </w:r>
      <w:r w:rsidR="002B3FD8" w:rsidRPr="00C465BE">
        <w:t>1</w:t>
      </w:r>
      <w:r w:rsidR="00A429A1" w:rsidRPr="00C465BE">
        <w:t>.</w:t>
      </w:r>
      <w:r w:rsidR="00C465BE">
        <w:t>6</w:t>
      </w:r>
      <w:r w:rsidR="00343083" w:rsidRPr="00C465BE">
        <w:t>, indicating that the portfolio is still cost-effective</w:t>
      </w:r>
      <w:r w:rsidR="00CD3FC6" w:rsidRPr="00C465BE">
        <w:t>.</w:t>
      </w:r>
      <w:r w:rsidR="002B3FD8" w:rsidRPr="00C465BE">
        <w:rPr>
          <w:rStyle w:val="FootnoteReference"/>
        </w:rPr>
        <w:footnoteReference w:id="4"/>
      </w:r>
    </w:p>
    <w:p w14:paraId="2F211E4C" w14:textId="77777777" w:rsidR="00C85128" w:rsidRPr="00607DE7" w:rsidRDefault="00C85128" w:rsidP="0044594A"/>
    <w:p w14:paraId="2F211E4D" w14:textId="53283CCF" w:rsidR="0092599F" w:rsidRPr="00607DE7" w:rsidRDefault="00BE498D" w:rsidP="00A46080">
      <w:pPr>
        <w:keepNext/>
        <w:keepLines/>
        <w:spacing w:after="240" w:line="264" w:lineRule="auto"/>
        <w:ind w:right="720"/>
        <w:rPr>
          <w:b/>
        </w:rPr>
      </w:pPr>
      <w:r w:rsidRPr="00607DE7">
        <w:rPr>
          <w:b/>
        </w:rPr>
        <w:lastRenderedPageBreak/>
        <w:t xml:space="preserve">Table </w:t>
      </w:r>
      <w:r w:rsidR="00607DE7" w:rsidRPr="00607DE7">
        <w:rPr>
          <w:b/>
        </w:rPr>
        <w:t>3</w:t>
      </w:r>
      <w:r w:rsidRPr="00607DE7">
        <w:rPr>
          <w:b/>
        </w:rPr>
        <w:t xml:space="preserve">. </w:t>
      </w:r>
      <w:r w:rsidR="0092599F" w:rsidRPr="00607DE7">
        <w:rPr>
          <w:b/>
        </w:rPr>
        <w:t>Savings and Budgets from PSE’s 201</w:t>
      </w:r>
      <w:r w:rsidR="00681E7A" w:rsidRPr="00607DE7">
        <w:rPr>
          <w:b/>
        </w:rPr>
        <w:t>6</w:t>
      </w:r>
      <w:r w:rsidR="0092599F" w:rsidRPr="00607DE7">
        <w:rPr>
          <w:b/>
        </w:rPr>
        <w:t>-201</w:t>
      </w:r>
      <w:r w:rsidR="00681E7A" w:rsidRPr="00607DE7">
        <w:rPr>
          <w:b/>
        </w:rPr>
        <w:t>7</w:t>
      </w:r>
      <w:r w:rsidR="009278CE" w:rsidRPr="00607DE7">
        <w:rPr>
          <w:b/>
        </w:rPr>
        <w:t xml:space="preserve"> and 201</w:t>
      </w:r>
      <w:r w:rsidR="00681E7A" w:rsidRPr="00607DE7">
        <w:rPr>
          <w:b/>
        </w:rPr>
        <w:t>8</w:t>
      </w:r>
      <w:r w:rsidR="009278CE" w:rsidRPr="00607DE7">
        <w:rPr>
          <w:b/>
        </w:rPr>
        <w:t>-201</w:t>
      </w:r>
      <w:r w:rsidR="00681E7A" w:rsidRPr="00607DE7">
        <w:rPr>
          <w:b/>
        </w:rPr>
        <w:t>9</w:t>
      </w:r>
      <w:r w:rsidR="0092599F" w:rsidRPr="00607DE7">
        <w:rPr>
          <w:b/>
        </w:rPr>
        <w:t xml:space="preserve"> BCPs.</w:t>
      </w:r>
    </w:p>
    <w:tbl>
      <w:tblPr>
        <w:tblStyle w:val="TableGrid"/>
        <w:tblW w:w="0" w:type="auto"/>
        <w:tblInd w:w="173" w:type="dxa"/>
        <w:tblLook w:val="04A0" w:firstRow="1" w:lastRow="0" w:firstColumn="1" w:lastColumn="0" w:noHBand="0" w:noVBand="1"/>
      </w:tblPr>
      <w:tblGrid>
        <w:gridCol w:w="2411"/>
        <w:gridCol w:w="1739"/>
        <w:gridCol w:w="1644"/>
        <w:gridCol w:w="1767"/>
        <w:gridCol w:w="1616"/>
      </w:tblGrid>
      <w:tr w:rsidR="000A3D0E" w:rsidRPr="000A3D0E" w14:paraId="2F211E55" w14:textId="77777777" w:rsidTr="00681E7A">
        <w:tc>
          <w:tcPr>
            <w:tcW w:w="2411" w:type="dxa"/>
            <w:vAlign w:val="bottom"/>
          </w:tcPr>
          <w:p w14:paraId="2F211E4E" w14:textId="77777777" w:rsidR="0092599F" w:rsidRPr="000A3D0E" w:rsidRDefault="0092599F" w:rsidP="00A46080">
            <w:pPr>
              <w:keepNext/>
              <w:keepLines/>
              <w:rPr>
                <w:b/>
                <w:color w:val="FF0000"/>
              </w:rPr>
            </w:pPr>
            <w:r w:rsidRPr="001B1939">
              <w:rPr>
                <w:b/>
              </w:rPr>
              <w:t>Program</w:t>
            </w:r>
          </w:p>
        </w:tc>
        <w:tc>
          <w:tcPr>
            <w:tcW w:w="1739" w:type="dxa"/>
            <w:vAlign w:val="bottom"/>
          </w:tcPr>
          <w:p w14:paraId="2F211E4F" w14:textId="568AB64E" w:rsidR="0092599F" w:rsidRPr="00681E7A" w:rsidRDefault="0092599F" w:rsidP="00A46080">
            <w:pPr>
              <w:keepNext/>
              <w:keepLines/>
              <w:jc w:val="center"/>
              <w:rPr>
                <w:b/>
              </w:rPr>
            </w:pPr>
            <w:r w:rsidRPr="00681E7A">
              <w:rPr>
                <w:b/>
              </w:rPr>
              <w:t>201</w:t>
            </w:r>
            <w:r w:rsidR="00681E7A" w:rsidRPr="00681E7A">
              <w:rPr>
                <w:b/>
              </w:rPr>
              <w:t>6</w:t>
            </w:r>
            <w:r w:rsidRPr="00681E7A">
              <w:rPr>
                <w:b/>
              </w:rPr>
              <w:t>-201</w:t>
            </w:r>
            <w:r w:rsidR="00681E7A" w:rsidRPr="00681E7A">
              <w:rPr>
                <w:b/>
              </w:rPr>
              <w:t>7</w:t>
            </w:r>
          </w:p>
          <w:p w14:paraId="2F211E50" w14:textId="77777777" w:rsidR="0092599F" w:rsidRPr="00681E7A" w:rsidRDefault="0092599F" w:rsidP="00A46080">
            <w:pPr>
              <w:keepNext/>
              <w:keepLines/>
              <w:jc w:val="center"/>
              <w:rPr>
                <w:b/>
              </w:rPr>
            </w:pPr>
            <w:r w:rsidRPr="00681E7A">
              <w:rPr>
                <w:b/>
              </w:rPr>
              <w:t>Projected Savings (MWh)</w:t>
            </w:r>
          </w:p>
        </w:tc>
        <w:tc>
          <w:tcPr>
            <w:tcW w:w="1644" w:type="dxa"/>
            <w:vAlign w:val="bottom"/>
          </w:tcPr>
          <w:p w14:paraId="2F211E51" w14:textId="094B598F" w:rsidR="0092599F" w:rsidRPr="00681E7A" w:rsidRDefault="0092599F" w:rsidP="00A46080">
            <w:pPr>
              <w:keepNext/>
              <w:keepLines/>
              <w:jc w:val="center"/>
              <w:rPr>
                <w:b/>
              </w:rPr>
            </w:pPr>
            <w:r w:rsidRPr="00681E7A">
              <w:rPr>
                <w:b/>
              </w:rPr>
              <w:t>201</w:t>
            </w:r>
            <w:r w:rsidR="00681E7A" w:rsidRPr="00681E7A">
              <w:rPr>
                <w:b/>
              </w:rPr>
              <w:t>6</w:t>
            </w:r>
            <w:r w:rsidRPr="00681E7A">
              <w:rPr>
                <w:b/>
              </w:rPr>
              <w:t>-201</w:t>
            </w:r>
            <w:r w:rsidR="00681E7A" w:rsidRPr="00681E7A">
              <w:rPr>
                <w:b/>
              </w:rPr>
              <w:t>7</w:t>
            </w:r>
            <w:r w:rsidRPr="00681E7A">
              <w:rPr>
                <w:b/>
              </w:rPr>
              <w:t xml:space="preserve"> Budget</w:t>
            </w:r>
          </w:p>
        </w:tc>
        <w:tc>
          <w:tcPr>
            <w:tcW w:w="1767" w:type="dxa"/>
            <w:vAlign w:val="bottom"/>
          </w:tcPr>
          <w:p w14:paraId="2F211E52" w14:textId="1DFA30C9" w:rsidR="0092599F" w:rsidRPr="002E2C68" w:rsidRDefault="009278CE" w:rsidP="00A46080">
            <w:pPr>
              <w:keepNext/>
              <w:keepLines/>
              <w:jc w:val="center"/>
              <w:rPr>
                <w:b/>
              </w:rPr>
            </w:pPr>
            <w:r w:rsidRPr="002E2C68">
              <w:rPr>
                <w:b/>
              </w:rPr>
              <w:t>201</w:t>
            </w:r>
            <w:r w:rsidR="002E2C68" w:rsidRPr="002E2C68">
              <w:rPr>
                <w:b/>
              </w:rPr>
              <w:t>8</w:t>
            </w:r>
            <w:r w:rsidR="0092599F" w:rsidRPr="002E2C68">
              <w:rPr>
                <w:b/>
              </w:rPr>
              <w:t>-20</w:t>
            </w:r>
            <w:r w:rsidRPr="002E2C68">
              <w:rPr>
                <w:b/>
              </w:rPr>
              <w:t>1</w:t>
            </w:r>
            <w:r w:rsidR="002E2C68" w:rsidRPr="002E2C68">
              <w:rPr>
                <w:b/>
              </w:rPr>
              <w:t>9</w:t>
            </w:r>
          </w:p>
          <w:p w14:paraId="2F211E53" w14:textId="77777777" w:rsidR="0092599F" w:rsidRPr="002E2C68" w:rsidRDefault="0092599F" w:rsidP="00A46080">
            <w:pPr>
              <w:keepNext/>
              <w:keepLines/>
              <w:jc w:val="center"/>
              <w:rPr>
                <w:b/>
              </w:rPr>
            </w:pPr>
            <w:r w:rsidRPr="002E2C68">
              <w:rPr>
                <w:b/>
              </w:rPr>
              <w:t>Projected Savings (MWh)</w:t>
            </w:r>
          </w:p>
        </w:tc>
        <w:tc>
          <w:tcPr>
            <w:tcW w:w="1616" w:type="dxa"/>
            <w:vAlign w:val="bottom"/>
          </w:tcPr>
          <w:p w14:paraId="2F211E54" w14:textId="516010D7" w:rsidR="0092599F" w:rsidRPr="002E2C68" w:rsidRDefault="009278CE" w:rsidP="00A46080">
            <w:pPr>
              <w:keepNext/>
              <w:keepLines/>
              <w:jc w:val="center"/>
              <w:rPr>
                <w:b/>
              </w:rPr>
            </w:pPr>
            <w:r w:rsidRPr="002E2C68">
              <w:rPr>
                <w:b/>
              </w:rPr>
              <w:t>201</w:t>
            </w:r>
            <w:r w:rsidR="002E2C68" w:rsidRPr="002E2C68">
              <w:rPr>
                <w:b/>
              </w:rPr>
              <w:t>8</w:t>
            </w:r>
            <w:r w:rsidR="0092599F" w:rsidRPr="002E2C68">
              <w:rPr>
                <w:b/>
              </w:rPr>
              <w:t>-20</w:t>
            </w:r>
            <w:r w:rsidRPr="002E2C68">
              <w:rPr>
                <w:b/>
              </w:rPr>
              <w:t>1</w:t>
            </w:r>
            <w:r w:rsidR="002E2C68" w:rsidRPr="002E2C68">
              <w:rPr>
                <w:b/>
              </w:rPr>
              <w:t>9</w:t>
            </w:r>
            <w:r w:rsidR="0092599F" w:rsidRPr="002E2C68">
              <w:rPr>
                <w:b/>
              </w:rPr>
              <w:t xml:space="preserve"> Budget</w:t>
            </w:r>
          </w:p>
        </w:tc>
      </w:tr>
      <w:tr w:rsidR="0082276C" w:rsidRPr="009056C2" w14:paraId="2F211E5B" w14:textId="77777777" w:rsidTr="00681E7A">
        <w:tc>
          <w:tcPr>
            <w:tcW w:w="2411" w:type="dxa"/>
          </w:tcPr>
          <w:p w14:paraId="2F211E56" w14:textId="328CD247" w:rsidR="00681E7A" w:rsidRPr="001053F3" w:rsidRDefault="00681E7A" w:rsidP="00A46080">
            <w:pPr>
              <w:keepNext/>
              <w:keepLines/>
              <w:rPr>
                <w:i/>
              </w:rPr>
            </w:pPr>
            <w:r w:rsidRPr="001053F3">
              <w:rPr>
                <w:i/>
              </w:rPr>
              <w:t>Residential</w:t>
            </w:r>
          </w:p>
        </w:tc>
        <w:tc>
          <w:tcPr>
            <w:tcW w:w="1739" w:type="dxa"/>
          </w:tcPr>
          <w:p w14:paraId="2F211E57" w14:textId="52682D5E" w:rsidR="00681E7A" w:rsidRPr="000959D9" w:rsidRDefault="001053F3" w:rsidP="00A46080">
            <w:pPr>
              <w:keepNext/>
              <w:keepLines/>
              <w:tabs>
                <w:tab w:val="decimal" w:pos="819"/>
              </w:tabs>
              <w:jc w:val="center"/>
              <w:rPr>
                <w:i/>
                <w:color w:val="FF0000"/>
              </w:rPr>
            </w:pPr>
            <w:r w:rsidRPr="000959D9">
              <w:rPr>
                <w:i/>
              </w:rPr>
              <w:t>258,566</w:t>
            </w:r>
          </w:p>
        </w:tc>
        <w:tc>
          <w:tcPr>
            <w:tcW w:w="1644" w:type="dxa"/>
          </w:tcPr>
          <w:p w14:paraId="2F211E58" w14:textId="2BD23230" w:rsidR="00681E7A" w:rsidRPr="000959D9" w:rsidRDefault="00681E7A" w:rsidP="00A46080">
            <w:pPr>
              <w:keepNext/>
              <w:keepLines/>
              <w:tabs>
                <w:tab w:val="decimal" w:pos="1234"/>
              </w:tabs>
              <w:jc w:val="center"/>
              <w:rPr>
                <w:i/>
                <w:color w:val="FF0000"/>
              </w:rPr>
            </w:pPr>
            <w:r w:rsidRPr="000959D9">
              <w:rPr>
                <w:i/>
              </w:rPr>
              <w:t>$84,168,816</w:t>
            </w:r>
          </w:p>
        </w:tc>
        <w:tc>
          <w:tcPr>
            <w:tcW w:w="1767" w:type="dxa"/>
            <w:vAlign w:val="bottom"/>
          </w:tcPr>
          <w:p w14:paraId="2F211E59" w14:textId="402619E2" w:rsidR="00681E7A" w:rsidRPr="000A3D0E" w:rsidRDefault="001053F3" w:rsidP="00A46080">
            <w:pPr>
              <w:keepNext/>
              <w:keepLines/>
              <w:tabs>
                <w:tab w:val="decimal" w:pos="1283"/>
              </w:tabs>
              <w:rPr>
                <w:i/>
                <w:color w:val="FF0000"/>
              </w:rPr>
            </w:pPr>
            <w:r>
              <w:rPr>
                <w:i/>
              </w:rPr>
              <w:t>223,667</w:t>
            </w:r>
          </w:p>
        </w:tc>
        <w:tc>
          <w:tcPr>
            <w:tcW w:w="1616" w:type="dxa"/>
            <w:vAlign w:val="bottom"/>
          </w:tcPr>
          <w:p w14:paraId="2F211E5A" w14:textId="23747D9C" w:rsidR="00681E7A" w:rsidRPr="009056C2" w:rsidRDefault="00681E7A" w:rsidP="00A46080">
            <w:pPr>
              <w:keepNext/>
              <w:keepLines/>
              <w:tabs>
                <w:tab w:val="decimal" w:pos="1333"/>
              </w:tabs>
              <w:jc w:val="center"/>
              <w:rPr>
                <w:i/>
              </w:rPr>
            </w:pPr>
            <w:r w:rsidRPr="009056C2">
              <w:rPr>
                <w:i/>
              </w:rPr>
              <w:t>$</w:t>
            </w:r>
            <w:r w:rsidR="0082276C" w:rsidRPr="009056C2">
              <w:rPr>
                <w:i/>
              </w:rPr>
              <w:t>68,836,847</w:t>
            </w:r>
          </w:p>
        </w:tc>
      </w:tr>
      <w:tr w:rsidR="00681E7A" w:rsidRPr="000A3D0E" w14:paraId="2F211E61" w14:textId="77777777" w:rsidTr="000167AC">
        <w:tc>
          <w:tcPr>
            <w:tcW w:w="2411" w:type="dxa"/>
          </w:tcPr>
          <w:p w14:paraId="2F211E5C" w14:textId="252678A8" w:rsidR="00681E7A" w:rsidRPr="001053F3" w:rsidRDefault="00681E7A" w:rsidP="00A46080">
            <w:pPr>
              <w:keepNext/>
              <w:keepLines/>
              <w:rPr>
                <w:i/>
              </w:rPr>
            </w:pPr>
            <w:r w:rsidRPr="001053F3">
              <w:rPr>
                <w:i/>
              </w:rPr>
              <w:t>Low-income</w:t>
            </w:r>
          </w:p>
        </w:tc>
        <w:tc>
          <w:tcPr>
            <w:tcW w:w="1739" w:type="dxa"/>
          </w:tcPr>
          <w:p w14:paraId="2F211E5D" w14:textId="28F35139" w:rsidR="00681E7A" w:rsidRPr="000959D9" w:rsidRDefault="00681E7A" w:rsidP="00A46080">
            <w:pPr>
              <w:keepNext/>
              <w:keepLines/>
              <w:tabs>
                <w:tab w:val="decimal" w:pos="819"/>
              </w:tabs>
              <w:jc w:val="center"/>
              <w:rPr>
                <w:i/>
                <w:color w:val="FF0000"/>
              </w:rPr>
            </w:pPr>
            <w:r w:rsidRPr="000959D9">
              <w:rPr>
                <w:i/>
              </w:rPr>
              <w:t>3,120</w:t>
            </w:r>
          </w:p>
        </w:tc>
        <w:tc>
          <w:tcPr>
            <w:tcW w:w="1644" w:type="dxa"/>
          </w:tcPr>
          <w:p w14:paraId="2F211E5E" w14:textId="4EC9C3EA" w:rsidR="00681E7A" w:rsidRPr="000959D9" w:rsidRDefault="00681E7A" w:rsidP="00A46080">
            <w:pPr>
              <w:keepNext/>
              <w:keepLines/>
              <w:tabs>
                <w:tab w:val="decimal" w:pos="1234"/>
              </w:tabs>
              <w:jc w:val="center"/>
              <w:rPr>
                <w:i/>
                <w:color w:val="FF0000"/>
              </w:rPr>
            </w:pPr>
            <w:r w:rsidRPr="000959D9">
              <w:rPr>
                <w:i/>
              </w:rPr>
              <w:t>$6,761,963</w:t>
            </w:r>
          </w:p>
        </w:tc>
        <w:tc>
          <w:tcPr>
            <w:tcW w:w="1767" w:type="dxa"/>
            <w:vAlign w:val="bottom"/>
          </w:tcPr>
          <w:p w14:paraId="2F211E5F" w14:textId="231BDBA4" w:rsidR="00681E7A" w:rsidRPr="001053F3" w:rsidRDefault="001053F3" w:rsidP="00A46080">
            <w:pPr>
              <w:keepNext/>
              <w:keepLines/>
              <w:tabs>
                <w:tab w:val="decimal" w:pos="1283"/>
              </w:tabs>
              <w:rPr>
                <w:i/>
              </w:rPr>
            </w:pPr>
            <w:r w:rsidRPr="001053F3">
              <w:rPr>
                <w:i/>
              </w:rPr>
              <w:t>4,132</w:t>
            </w:r>
          </w:p>
        </w:tc>
        <w:tc>
          <w:tcPr>
            <w:tcW w:w="1616" w:type="dxa"/>
            <w:vAlign w:val="bottom"/>
          </w:tcPr>
          <w:p w14:paraId="2F211E60" w14:textId="4738F117" w:rsidR="00681E7A" w:rsidRPr="000A39AB" w:rsidRDefault="00681E7A" w:rsidP="00A46080">
            <w:pPr>
              <w:keepNext/>
              <w:keepLines/>
              <w:tabs>
                <w:tab w:val="decimal" w:pos="1333"/>
              </w:tabs>
              <w:jc w:val="center"/>
              <w:rPr>
                <w:i/>
                <w:color w:val="FF0000"/>
                <w:highlight w:val="yellow"/>
              </w:rPr>
            </w:pPr>
            <w:r w:rsidRPr="002F64FF">
              <w:rPr>
                <w:i/>
              </w:rPr>
              <w:t>$</w:t>
            </w:r>
            <w:r w:rsidR="002F64FF" w:rsidRPr="002F64FF">
              <w:rPr>
                <w:i/>
              </w:rPr>
              <w:t>9,713,357</w:t>
            </w:r>
          </w:p>
        </w:tc>
      </w:tr>
      <w:tr w:rsidR="0082276C" w:rsidRPr="00136036" w14:paraId="2F211E6D" w14:textId="77777777" w:rsidTr="000167AC">
        <w:tc>
          <w:tcPr>
            <w:tcW w:w="2411" w:type="dxa"/>
          </w:tcPr>
          <w:p w14:paraId="2F211E68" w14:textId="4E82DD60" w:rsidR="00681E7A" w:rsidRPr="001053F3" w:rsidRDefault="00681E7A" w:rsidP="00A46080">
            <w:pPr>
              <w:keepNext/>
              <w:keepLines/>
              <w:rPr>
                <w:b/>
              </w:rPr>
            </w:pPr>
            <w:r w:rsidRPr="001053F3">
              <w:rPr>
                <w:b/>
              </w:rPr>
              <w:t>Residential Total</w:t>
            </w:r>
          </w:p>
        </w:tc>
        <w:tc>
          <w:tcPr>
            <w:tcW w:w="1739" w:type="dxa"/>
          </w:tcPr>
          <w:p w14:paraId="2F211E69" w14:textId="4DB11145" w:rsidR="00681E7A" w:rsidRPr="000959D9" w:rsidRDefault="00681E7A" w:rsidP="00A46080">
            <w:pPr>
              <w:keepNext/>
              <w:keepLines/>
              <w:tabs>
                <w:tab w:val="decimal" w:pos="819"/>
              </w:tabs>
              <w:jc w:val="center"/>
              <w:rPr>
                <w:b/>
                <w:color w:val="FF0000"/>
              </w:rPr>
            </w:pPr>
            <w:r w:rsidRPr="000959D9">
              <w:rPr>
                <w:b/>
              </w:rPr>
              <w:t>261,686</w:t>
            </w:r>
          </w:p>
        </w:tc>
        <w:tc>
          <w:tcPr>
            <w:tcW w:w="1644" w:type="dxa"/>
          </w:tcPr>
          <w:p w14:paraId="2F211E6A" w14:textId="79103D76" w:rsidR="00681E7A" w:rsidRPr="000959D9" w:rsidRDefault="00681E7A" w:rsidP="00A46080">
            <w:pPr>
              <w:keepNext/>
              <w:keepLines/>
              <w:tabs>
                <w:tab w:val="decimal" w:pos="1234"/>
              </w:tabs>
              <w:jc w:val="center"/>
              <w:rPr>
                <w:b/>
                <w:color w:val="FF0000"/>
              </w:rPr>
            </w:pPr>
            <w:r w:rsidRPr="000959D9">
              <w:rPr>
                <w:b/>
              </w:rPr>
              <w:t>$91,160,000</w:t>
            </w:r>
          </w:p>
        </w:tc>
        <w:tc>
          <w:tcPr>
            <w:tcW w:w="1767" w:type="dxa"/>
            <w:vAlign w:val="bottom"/>
          </w:tcPr>
          <w:p w14:paraId="2F211E6B" w14:textId="5AD4EBD0" w:rsidR="00681E7A" w:rsidRPr="000A3D0E" w:rsidRDefault="001053F3" w:rsidP="00A46080">
            <w:pPr>
              <w:keepNext/>
              <w:keepLines/>
              <w:tabs>
                <w:tab w:val="decimal" w:pos="1283"/>
              </w:tabs>
              <w:rPr>
                <w:b/>
                <w:color w:val="FF0000"/>
              </w:rPr>
            </w:pPr>
            <w:r w:rsidRPr="001053F3">
              <w:rPr>
                <w:b/>
              </w:rPr>
              <w:t>227,799</w:t>
            </w:r>
          </w:p>
        </w:tc>
        <w:tc>
          <w:tcPr>
            <w:tcW w:w="1616" w:type="dxa"/>
            <w:vAlign w:val="bottom"/>
          </w:tcPr>
          <w:p w14:paraId="2F211E6C" w14:textId="12B312DB" w:rsidR="00681E7A" w:rsidRPr="00136036" w:rsidRDefault="00681E7A" w:rsidP="00A46080">
            <w:pPr>
              <w:keepNext/>
              <w:keepLines/>
              <w:tabs>
                <w:tab w:val="decimal" w:pos="1333"/>
              </w:tabs>
              <w:jc w:val="center"/>
              <w:rPr>
                <w:b/>
              </w:rPr>
            </w:pPr>
            <w:r w:rsidRPr="00136036">
              <w:rPr>
                <w:b/>
              </w:rPr>
              <w:t>$</w:t>
            </w:r>
            <w:r w:rsidR="0082276C" w:rsidRPr="00136036">
              <w:rPr>
                <w:b/>
              </w:rPr>
              <w:t>7</w:t>
            </w:r>
            <w:r w:rsidR="00136036" w:rsidRPr="00136036">
              <w:rPr>
                <w:b/>
              </w:rPr>
              <w:t>8</w:t>
            </w:r>
            <w:r w:rsidR="0082276C" w:rsidRPr="00136036">
              <w:rPr>
                <w:b/>
              </w:rPr>
              <w:t>,</w:t>
            </w:r>
            <w:r w:rsidR="00136036" w:rsidRPr="00136036">
              <w:rPr>
                <w:b/>
              </w:rPr>
              <w:t>550</w:t>
            </w:r>
            <w:r w:rsidR="0082276C" w:rsidRPr="00136036">
              <w:rPr>
                <w:b/>
              </w:rPr>
              <w:t>,</w:t>
            </w:r>
            <w:r w:rsidR="00136036" w:rsidRPr="00136036">
              <w:rPr>
                <w:b/>
              </w:rPr>
              <w:t>204</w:t>
            </w:r>
          </w:p>
        </w:tc>
      </w:tr>
      <w:tr w:rsidR="00681E7A" w:rsidRPr="002F64FF" w14:paraId="2F211E73" w14:textId="77777777" w:rsidTr="002F64FF">
        <w:tc>
          <w:tcPr>
            <w:tcW w:w="2411" w:type="dxa"/>
          </w:tcPr>
          <w:p w14:paraId="2F211E6E" w14:textId="20C49984" w:rsidR="00681E7A" w:rsidRPr="001053F3" w:rsidRDefault="00681E7A" w:rsidP="00A46080">
            <w:pPr>
              <w:keepNext/>
              <w:keepLines/>
            </w:pPr>
            <w:r w:rsidRPr="001053F3">
              <w:t>Non-Residential</w:t>
            </w:r>
          </w:p>
        </w:tc>
        <w:tc>
          <w:tcPr>
            <w:tcW w:w="1739" w:type="dxa"/>
          </w:tcPr>
          <w:p w14:paraId="2F211E6F" w14:textId="4C9FDB55" w:rsidR="00681E7A" w:rsidRPr="000A3D0E" w:rsidRDefault="00681E7A" w:rsidP="00A46080">
            <w:pPr>
              <w:keepNext/>
              <w:keepLines/>
              <w:tabs>
                <w:tab w:val="decimal" w:pos="819"/>
              </w:tabs>
              <w:jc w:val="center"/>
              <w:rPr>
                <w:color w:val="FF0000"/>
              </w:rPr>
            </w:pPr>
            <w:r w:rsidRPr="003008DE">
              <w:t>300,103</w:t>
            </w:r>
          </w:p>
        </w:tc>
        <w:tc>
          <w:tcPr>
            <w:tcW w:w="1644" w:type="dxa"/>
          </w:tcPr>
          <w:p w14:paraId="2F211E70" w14:textId="1193354E" w:rsidR="00681E7A" w:rsidRPr="000A3D0E" w:rsidRDefault="00681E7A" w:rsidP="00A46080">
            <w:pPr>
              <w:keepNext/>
              <w:keepLines/>
              <w:tabs>
                <w:tab w:val="decimal" w:pos="1234"/>
              </w:tabs>
              <w:jc w:val="center"/>
              <w:rPr>
                <w:color w:val="FF0000"/>
              </w:rPr>
            </w:pPr>
            <w:r w:rsidRPr="00FF229D">
              <w:t>$75,632,000</w:t>
            </w:r>
          </w:p>
        </w:tc>
        <w:tc>
          <w:tcPr>
            <w:tcW w:w="1767" w:type="dxa"/>
            <w:vAlign w:val="bottom"/>
          </w:tcPr>
          <w:p w14:paraId="2F211E71" w14:textId="50F1ADE4" w:rsidR="00681E7A" w:rsidRPr="000A3D0E" w:rsidRDefault="001053F3" w:rsidP="00A46080">
            <w:pPr>
              <w:keepNext/>
              <w:keepLines/>
              <w:tabs>
                <w:tab w:val="decimal" w:pos="1283"/>
              </w:tabs>
              <w:rPr>
                <w:color w:val="FF0000"/>
              </w:rPr>
            </w:pPr>
            <w:r w:rsidRPr="001053F3">
              <w:t>261,623</w:t>
            </w:r>
          </w:p>
        </w:tc>
        <w:tc>
          <w:tcPr>
            <w:tcW w:w="1616" w:type="dxa"/>
            <w:shd w:val="clear" w:color="auto" w:fill="auto"/>
            <w:vAlign w:val="bottom"/>
          </w:tcPr>
          <w:p w14:paraId="2F211E72" w14:textId="3AFC5E3E" w:rsidR="00681E7A" w:rsidRPr="002F64FF" w:rsidRDefault="0082276C" w:rsidP="00A46080">
            <w:pPr>
              <w:keepNext/>
              <w:keepLines/>
              <w:tabs>
                <w:tab w:val="decimal" w:pos="1333"/>
              </w:tabs>
              <w:jc w:val="center"/>
              <w:rPr>
                <w:color w:val="FF0000"/>
              </w:rPr>
            </w:pPr>
            <w:r w:rsidRPr="002F64FF">
              <w:t>$</w:t>
            </w:r>
            <w:r w:rsidR="002F64FF" w:rsidRPr="002F64FF">
              <w:t>71,999,497</w:t>
            </w:r>
          </w:p>
        </w:tc>
      </w:tr>
      <w:tr w:rsidR="0082276C" w:rsidRPr="0082276C" w14:paraId="2F211E79" w14:textId="77777777" w:rsidTr="000167AC">
        <w:tc>
          <w:tcPr>
            <w:tcW w:w="2411" w:type="dxa"/>
          </w:tcPr>
          <w:p w14:paraId="2F211E74" w14:textId="48E60E5B" w:rsidR="00681E7A" w:rsidRPr="001053F3" w:rsidRDefault="00681E7A" w:rsidP="00A46080">
            <w:pPr>
              <w:keepNext/>
              <w:keepLines/>
            </w:pPr>
            <w:r w:rsidRPr="001053F3">
              <w:t>Pilots</w:t>
            </w:r>
          </w:p>
        </w:tc>
        <w:tc>
          <w:tcPr>
            <w:tcW w:w="1739" w:type="dxa"/>
          </w:tcPr>
          <w:p w14:paraId="2F211E75" w14:textId="52CD16CF" w:rsidR="00681E7A" w:rsidRPr="000A3D0E" w:rsidRDefault="00681E7A" w:rsidP="00A46080">
            <w:pPr>
              <w:keepNext/>
              <w:keepLines/>
              <w:tabs>
                <w:tab w:val="decimal" w:pos="819"/>
              </w:tabs>
              <w:jc w:val="center"/>
              <w:rPr>
                <w:color w:val="FF0000"/>
              </w:rPr>
            </w:pPr>
            <w:r w:rsidRPr="003008DE">
              <w:t>17,347</w:t>
            </w:r>
          </w:p>
        </w:tc>
        <w:tc>
          <w:tcPr>
            <w:tcW w:w="1644" w:type="dxa"/>
          </w:tcPr>
          <w:p w14:paraId="2F211E76" w14:textId="1991B8AA" w:rsidR="00681E7A" w:rsidRPr="000A3D0E" w:rsidRDefault="00681E7A" w:rsidP="00A46080">
            <w:pPr>
              <w:keepNext/>
              <w:keepLines/>
              <w:tabs>
                <w:tab w:val="decimal" w:pos="1234"/>
              </w:tabs>
              <w:jc w:val="center"/>
              <w:rPr>
                <w:color w:val="FF0000"/>
              </w:rPr>
            </w:pPr>
            <w:r w:rsidRPr="00FF229D">
              <w:t>$977,000</w:t>
            </w:r>
          </w:p>
        </w:tc>
        <w:tc>
          <w:tcPr>
            <w:tcW w:w="1767" w:type="dxa"/>
            <w:vAlign w:val="bottom"/>
          </w:tcPr>
          <w:p w14:paraId="2F211E77" w14:textId="5A423DEC" w:rsidR="00681E7A" w:rsidRPr="000A3D0E" w:rsidRDefault="001053F3" w:rsidP="00A46080">
            <w:pPr>
              <w:keepNext/>
              <w:keepLines/>
              <w:tabs>
                <w:tab w:val="decimal" w:pos="1283"/>
              </w:tabs>
              <w:rPr>
                <w:color w:val="FF0000"/>
              </w:rPr>
            </w:pPr>
            <w:r w:rsidRPr="001053F3">
              <w:t>4,480</w:t>
            </w:r>
            <w:r>
              <w:rPr>
                <w:rStyle w:val="FootnoteReference"/>
              </w:rPr>
              <w:footnoteReference w:id="5"/>
            </w:r>
          </w:p>
        </w:tc>
        <w:tc>
          <w:tcPr>
            <w:tcW w:w="1616" w:type="dxa"/>
            <w:vAlign w:val="bottom"/>
          </w:tcPr>
          <w:p w14:paraId="2F211E78" w14:textId="1C6D2A2C" w:rsidR="00681E7A" w:rsidRPr="002F64FF" w:rsidRDefault="00681E7A" w:rsidP="00A46080">
            <w:pPr>
              <w:keepNext/>
              <w:keepLines/>
              <w:tabs>
                <w:tab w:val="decimal" w:pos="1333"/>
              </w:tabs>
              <w:jc w:val="center"/>
            </w:pPr>
            <w:r w:rsidRPr="002F64FF">
              <w:t>$</w:t>
            </w:r>
            <w:r w:rsidR="0082276C" w:rsidRPr="002F64FF">
              <w:t>434,000</w:t>
            </w:r>
          </w:p>
        </w:tc>
      </w:tr>
      <w:tr w:rsidR="0082276C" w:rsidRPr="0082276C" w14:paraId="2F211E7F" w14:textId="77777777" w:rsidTr="000167AC">
        <w:tc>
          <w:tcPr>
            <w:tcW w:w="2411" w:type="dxa"/>
          </w:tcPr>
          <w:p w14:paraId="2F211E7A" w14:textId="7FCE655F" w:rsidR="00681E7A" w:rsidRPr="001053F3" w:rsidRDefault="00681E7A" w:rsidP="00A46080">
            <w:pPr>
              <w:keepNext/>
              <w:keepLines/>
            </w:pPr>
            <w:r w:rsidRPr="001053F3">
              <w:t>Regional</w:t>
            </w:r>
            <w:r w:rsidRPr="001053F3">
              <w:rPr>
                <w:rStyle w:val="FootnoteReference"/>
              </w:rPr>
              <w:footnoteReference w:id="6"/>
            </w:r>
          </w:p>
        </w:tc>
        <w:tc>
          <w:tcPr>
            <w:tcW w:w="1739" w:type="dxa"/>
          </w:tcPr>
          <w:p w14:paraId="2F211E7B" w14:textId="53B8962A" w:rsidR="00681E7A" w:rsidRPr="000A3D0E" w:rsidRDefault="00681E7A" w:rsidP="00A46080">
            <w:pPr>
              <w:keepNext/>
              <w:keepLines/>
              <w:tabs>
                <w:tab w:val="decimal" w:pos="819"/>
              </w:tabs>
              <w:jc w:val="center"/>
              <w:rPr>
                <w:color w:val="FF0000"/>
              </w:rPr>
            </w:pPr>
            <w:r w:rsidRPr="003008DE">
              <w:t>26,057</w:t>
            </w:r>
          </w:p>
        </w:tc>
        <w:tc>
          <w:tcPr>
            <w:tcW w:w="1644" w:type="dxa"/>
          </w:tcPr>
          <w:p w14:paraId="2F211E7C" w14:textId="16367A31" w:rsidR="00681E7A" w:rsidRPr="000A3D0E" w:rsidRDefault="00681E7A" w:rsidP="00A46080">
            <w:pPr>
              <w:keepNext/>
              <w:keepLines/>
              <w:tabs>
                <w:tab w:val="decimal" w:pos="1234"/>
              </w:tabs>
              <w:jc w:val="center"/>
              <w:rPr>
                <w:color w:val="FF0000"/>
              </w:rPr>
            </w:pPr>
            <w:r w:rsidRPr="00FF229D">
              <w:t>$10,400,000</w:t>
            </w:r>
          </w:p>
        </w:tc>
        <w:tc>
          <w:tcPr>
            <w:tcW w:w="1767" w:type="dxa"/>
            <w:vAlign w:val="bottom"/>
          </w:tcPr>
          <w:p w14:paraId="2F211E7D" w14:textId="6225B3B0" w:rsidR="00681E7A" w:rsidRPr="000A3D0E" w:rsidRDefault="00681E7A" w:rsidP="00A46080">
            <w:pPr>
              <w:keepNext/>
              <w:keepLines/>
              <w:tabs>
                <w:tab w:val="decimal" w:pos="1283"/>
              </w:tabs>
              <w:rPr>
                <w:color w:val="FF0000"/>
              </w:rPr>
            </w:pPr>
            <w:r w:rsidRPr="001273BA">
              <w:t>26,</w:t>
            </w:r>
            <w:r w:rsidR="001273BA" w:rsidRPr="001273BA">
              <w:t>554</w:t>
            </w:r>
          </w:p>
        </w:tc>
        <w:tc>
          <w:tcPr>
            <w:tcW w:w="1616" w:type="dxa"/>
            <w:vAlign w:val="bottom"/>
          </w:tcPr>
          <w:p w14:paraId="2F211E7E" w14:textId="11302A2B" w:rsidR="00681E7A" w:rsidRPr="002F64FF" w:rsidRDefault="00681E7A" w:rsidP="00A46080">
            <w:pPr>
              <w:keepNext/>
              <w:keepLines/>
              <w:tabs>
                <w:tab w:val="decimal" w:pos="1333"/>
              </w:tabs>
              <w:jc w:val="center"/>
            </w:pPr>
            <w:r w:rsidRPr="002F64FF">
              <w:t>$10,400,000</w:t>
            </w:r>
          </w:p>
        </w:tc>
      </w:tr>
      <w:tr w:rsidR="00681E7A" w:rsidRPr="00136036" w14:paraId="2F211E85" w14:textId="77777777" w:rsidTr="000167AC">
        <w:tc>
          <w:tcPr>
            <w:tcW w:w="2411" w:type="dxa"/>
          </w:tcPr>
          <w:p w14:paraId="2F211E80" w14:textId="5E2D76B7" w:rsidR="00681E7A" w:rsidRPr="001053F3" w:rsidRDefault="00681E7A" w:rsidP="00A46080">
            <w:pPr>
              <w:keepNext/>
              <w:keepLines/>
            </w:pPr>
            <w:r w:rsidRPr="001053F3">
              <w:t>Administration/Other</w:t>
            </w:r>
          </w:p>
        </w:tc>
        <w:tc>
          <w:tcPr>
            <w:tcW w:w="1739" w:type="dxa"/>
          </w:tcPr>
          <w:p w14:paraId="2F211E81" w14:textId="38596349" w:rsidR="00681E7A" w:rsidRPr="000A3D0E" w:rsidRDefault="00681E7A" w:rsidP="00A46080">
            <w:pPr>
              <w:keepNext/>
              <w:keepLines/>
              <w:tabs>
                <w:tab w:val="decimal" w:pos="819"/>
              </w:tabs>
              <w:jc w:val="center"/>
              <w:rPr>
                <w:color w:val="FF0000"/>
              </w:rPr>
            </w:pPr>
            <w:r w:rsidRPr="003008DE">
              <w:t>-</w:t>
            </w:r>
          </w:p>
        </w:tc>
        <w:tc>
          <w:tcPr>
            <w:tcW w:w="1644" w:type="dxa"/>
          </w:tcPr>
          <w:p w14:paraId="2F211E82" w14:textId="1AF2F1CB" w:rsidR="00681E7A" w:rsidRPr="000A3D0E" w:rsidRDefault="00681E7A" w:rsidP="00A46080">
            <w:pPr>
              <w:keepNext/>
              <w:keepLines/>
              <w:tabs>
                <w:tab w:val="decimal" w:pos="1234"/>
              </w:tabs>
              <w:jc w:val="center"/>
              <w:rPr>
                <w:color w:val="FF0000"/>
              </w:rPr>
            </w:pPr>
            <w:r w:rsidRPr="00FF229D">
              <w:t>$20,816,000</w:t>
            </w:r>
          </w:p>
        </w:tc>
        <w:tc>
          <w:tcPr>
            <w:tcW w:w="1767" w:type="dxa"/>
            <w:vAlign w:val="bottom"/>
          </w:tcPr>
          <w:p w14:paraId="2F211E83" w14:textId="7F6DB1A5" w:rsidR="00681E7A" w:rsidRPr="000A3D0E" w:rsidRDefault="00681E7A" w:rsidP="00A46080">
            <w:pPr>
              <w:keepNext/>
              <w:keepLines/>
              <w:tabs>
                <w:tab w:val="decimal" w:pos="1283"/>
              </w:tabs>
              <w:rPr>
                <w:color w:val="FF0000"/>
              </w:rPr>
            </w:pPr>
            <w:r w:rsidRPr="001273BA">
              <w:t>-</w:t>
            </w:r>
          </w:p>
        </w:tc>
        <w:tc>
          <w:tcPr>
            <w:tcW w:w="1616" w:type="dxa"/>
            <w:vAlign w:val="bottom"/>
          </w:tcPr>
          <w:p w14:paraId="2F211E84" w14:textId="458F8B16" w:rsidR="00681E7A" w:rsidRPr="00136036" w:rsidRDefault="00681E7A" w:rsidP="00A46080">
            <w:pPr>
              <w:keepNext/>
              <w:keepLines/>
              <w:tabs>
                <w:tab w:val="decimal" w:pos="1333"/>
              </w:tabs>
              <w:jc w:val="center"/>
              <w:rPr>
                <w:color w:val="FF0000"/>
              </w:rPr>
            </w:pPr>
            <w:r w:rsidRPr="00136036">
              <w:t>$</w:t>
            </w:r>
            <w:r w:rsidR="0082276C" w:rsidRPr="00136036">
              <w:t>22,452,579</w:t>
            </w:r>
          </w:p>
        </w:tc>
      </w:tr>
      <w:tr w:rsidR="0082276C" w:rsidRPr="000A39AB" w14:paraId="2F211E8B" w14:textId="77777777" w:rsidTr="000167AC">
        <w:tc>
          <w:tcPr>
            <w:tcW w:w="2411" w:type="dxa"/>
          </w:tcPr>
          <w:p w14:paraId="2F211E86" w14:textId="64A6EDC5" w:rsidR="00681E7A" w:rsidRPr="000A3D0E" w:rsidRDefault="00681E7A" w:rsidP="00A46080">
            <w:pPr>
              <w:keepNext/>
              <w:keepLines/>
              <w:rPr>
                <w:b/>
                <w:color w:val="FF0000"/>
              </w:rPr>
            </w:pPr>
            <w:r w:rsidRPr="001B1939">
              <w:rPr>
                <w:b/>
              </w:rPr>
              <w:t>Total</w:t>
            </w:r>
          </w:p>
        </w:tc>
        <w:tc>
          <w:tcPr>
            <w:tcW w:w="1739" w:type="dxa"/>
          </w:tcPr>
          <w:p w14:paraId="2F211E87" w14:textId="12404C46" w:rsidR="00681E7A" w:rsidRPr="000959D9" w:rsidRDefault="00681E7A" w:rsidP="00A46080">
            <w:pPr>
              <w:keepNext/>
              <w:keepLines/>
              <w:tabs>
                <w:tab w:val="decimal" w:pos="819"/>
              </w:tabs>
              <w:jc w:val="center"/>
              <w:rPr>
                <w:b/>
                <w:color w:val="FF0000"/>
              </w:rPr>
            </w:pPr>
            <w:r w:rsidRPr="000959D9">
              <w:rPr>
                <w:b/>
              </w:rPr>
              <w:t>605,194</w:t>
            </w:r>
          </w:p>
        </w:tc>
        <w:tc>
          <w:tcPr>
            <w:tcW w:w="1644" w:type="dxa"/>
          </w:tcPr>
          <w:p w14:paraId="2F211E88" w14:textId="36AC39DC" w:rsidR="00681E7A" w:rsidRPr="000959D9" w:rsidRDefault="00681E7A" w:rsidP="00A46080">
            <w:pPr>
              <w:keepNext/>
              <w:keepLines/>
              <w:tabs>
                <w:tab w:val="decimal" w:pos="1234"/>
              </w:tabs>
              <w:jc w:val="center"/>
              <w:rPr>
                <w:b/>
                <w:color w:val="FF0000"/>
              </w:rPr>
            </w:pPr>
            <w:r w:rsidRPr="000959D9">
              <w:rPr>
                <w:b/>
              </w:rPr>
              <w:t>$198,984,000</w:t>
            </w:r>
          </w:p>
        </w:tc>
        <w:tc>
          <w:tcPr>
            <w:tcW w:w="1767" w:type="dxa"/>
            <w:vAlign w:val="bottom"/>
          </w:tcPr>
          <w:p w14:paraId="2F211E89" w14:textId="16477BBD" w:rsidR="00681E7A" w:rsidRPr="000A3D0E" w:rsidRDefault="001273BA" w:rsidP="00A46080">
            <w:pPr>
              <w:keepNext/>
              <w:keepLines/>
              <w:tabs>
                <w:tab w:val="decimal" w:pos="1283"/>
              </w:tabs>
              <w:rPr>
                <w:b/>
                <w:color w:val="FF0000"/>
              </w:rPr>
            </w:pPr>
            <w:r w:rsidRPr="001273BA">
              <w:rPr>
                <w:b/>
              </w:rPr>
              <w:t>520,456</w:t>
            </w:r>
          </w:p>
        </w:tc>
        <w:tc>
          <w:tcPr>
            <w:tcW w:w="1616" w:type="dxa"/>
            <w:vAlign w:val="bottom"/>
          </w:tcPr>
          <w:p w14:paraId="2F211E8A" w14:textId="48DFFFAF" w:rsidR="00681E7A" w:rsidRPr="000A39AB" w:rsidRDefault="00681E7A" w:rsidP="00A46080">
            <w:pPr>
              <w:keepNext/>
              <w:keepLines/>
              <w:tabs>
                <w:tab w:val="decimal" w:pos="1333"/>
              </w:tabs>
              <w:jc w:val="center"/>
              <w:rPr>
                <w:b/>
              </w:rPr>
            </w:pPr>
            <w:r w:rsidRPr="000A39AB">
              <w:rPr>
                <w:b/>
              </w:rPr>
              <w:t>$1</w:t>
            </w:r>
            <w:r w:rsidR="0082276C" w:rsidRPr="000A39AB">
              <w:rPr>
                <w:b/>
              </w:rPr>
              <w:t>8</w:t>
            </w:r>
            <w:r w:rsidR="000A39AB" w:rsidRPr="000A39AB">
              <w:rPr>
                <w:b/>
              </w:rPr>
              <w:t>3</w:t>
            </w:r>
            <w:r w:rsidRPr="000A39AB">
              <w:rPr>
                <w:b/>
              </w:rPr>
              <w:t>,</w:t>
            </w:r>
            <w:r w:rsidR="000959D9" w:rsidRPr="000A39AB">
              <w:rPr>
                <w:b/>
              </w:rPr>
              <w:t>8</w:t>
            </w:r>
            <w:r w:rsidR="000A39AB" w:rsidRPr="000A39AB">
              <w:rPr>
                <w:b/>
              </w:rPr>
              <w:t>36</w:t>
            </w:r>
            <w:r w:rsidR="0082276C" w:rsidRPr="000A39AB">
              <w:rPr>
                <w:b/>
              </w:rPr>
              <w:t>,</w:t>
            </w:r>
            <w:r w:rsidR="000A39AB" w:rsidRPr="000A39AB">
              <w:rPr>
                <w:b/>
              </w:rPr>
              <w:t>280</w:t>
            </w:r>
          </w:p>
        </w:tc>
      </w:tr>
    </w:tbl>
    <w:p w14:paraId="2F211E91" w14:textId="77777777" w:rsidR="00BE498D" w:rsidRDefault="00BE498D" w:rsidP="002C179B">
      <w:pPr>
        <w:rPr>
          <w:b/>
        </w:rPr>
      </w:pPr>
    </w:p>
    <w:p w14:paraId="0DC9C812" w14:textId="7BEC7BF4" w:rsidR="008D7425" w:rsidRDefault="008D7425" w:rsidP="00526189"/>
    <w:p w14:paraId="2F211E9A" w14:textId="77777777" w:rsidR="00DF27F5" w:rsidRDefault="00DF27F5" w:rsidP="00526189">
      <w:pPr>
        <w:rPr>
          <w:b/>
        </w:rPr>
      </w:pPr>
      <w:r w:rsidRPr="00526189">
        <w:rPr>
          <w:b/>
        </w:rPr>
        <w:t xml:space="preserve">Proposed </w:t>
      </w:r>
      <w:r w:rsidR="00DB6F04" w:rsidRPr="00526189">
        <w:rPr>
          <w:b/>
        </w:rPr>
        <w:t xml:space="preserve">Tariff </w:t>
      </w:r>
      <w:r w:rsidRPr="00526189">
        <w:rPr>
          <w:b/>
        </w:rPr>
        <w:t xml:space="preserve">Revisions </w:t>
      </w:r>
    </w:p>
    <w:p w14:paraId="00A25785" w14:textId="77777777" w:rsidR="00294540" w:rsidRPr="00526189" w:rsidRDefault="00294540" w:rsidP="00526189">
      <w:pPr>
        <w:rPr>
          <w:b/>
        </w:rPr>
      </w:pPr>
    </w:p>
    <w:p w14:paraId="72F2690A" w14:textId="6F0BD9F5" w:rsidR="005674D5" w:rsidRDefault="00CE086F" w:rsidP="00D127E0">
      <w:r w:rsidRPr="00607DE7">
        <w:t>To implement the programs described in the BCP, PSE filed tariff revisions in Docket U</w:t>
      </w:r>
      <w:r w:rsidR="00607DE7" w:rsidRPr="00607DE7">
        <w:t>E</w:t>
      </w:r>
      <w:r w:rsidRPr="00607DE7">
        <w:t>-1</w:t>
      </w:r>
      <w:r w:rsidR="00607DE7" w:rsidRPr="00607DE7">
        <w:t>71094</w:t>
      </w:r>
      <w:r w:rsidRPr="00607DE7">
        <w:t xml:space="preserve">. </w:t>
      </w:r>
      <w:r w:rsidRPr="00BD6328">
        <w:t>The</w:t>
      </w:r>
      <w:r w:rsidR="008F0F41" w:rsidRPr="00BD6328">
        <w:t xml:space="preserve"> majority of the</w:t>
      </w:r>
      <w:r w:rsidRPr="00BD6328">
        <w:t xml:space="preserve"> revisions reflect updated effective dates, text clarifications and minor administrative changes, and do not impact rates.</w:t>
      </w:r>
      <w:r w:rsidR="008F0F41" w:rsidRPr="000A3D0E">
        <w:rPr>
          <w:color w:val="FF0000"/>
        </w:rPr>
        <w:t xml:space="preserve"> </w:t>
      </w:r>
      <w:r w:rsidR="00BD6328" w:rsidRPr="00BD6328">
        <w:t xml:space="preserve">Language was added to Schedule 83 to allow for an alternative way of calculating cost-effectiveness for low-income programs. The name of Schedule 253 </w:t>
      </w:r>
      <w:r w:rsidR="00BD6328">
        <w:t>was</w:t>
      </w:r>
      <w:r w:rsidR="00BD6328" w:rsidRPr="00BD6328">
        <w:t xml:space="preserve"> changed to Resource Conservation Management (Energy Performance Incentive Programs).</w:t>
      </w:r>
      <w:r w:rsidR="00EF5A96">
        <w:t xml:space="preserve"> Schedule 201 was revised to allow funding provided by </w:t>
      </w:r>
      <w:r w:rsidR="00EE5C2C">
        <w:t xml:space="preserve">the </w:t>
      </w:r>
      <w:r w:rsidR="00EF5A96">
        <w:t>Microsoft Special Cont</w:t>
      </w:r>
      <w:r w:rsidR="00EE5C2C">
        <w:t>r</w:t>
      </w:r>
      <w:r w:rsidR="00EF5A96">
        <w:t xml:space="preserve">act and </w:t>
      </w:r>
      <w:r w:rsidR="00D74A78">
        <w:t>Schedule</w:t>
      </w:r>
      <w:r w:rsidR="00EF5A96">
        <w:t xml:space="preserve"> 258 was revised to allow special contract customers to participate in </w:t>
      </w:r>
      <w:r w:rsidR="008C3678">
        <w:t xml:space="preserve">the Large Power User Self-Directed Program. </w:t>
      </w:r>
      <w:r w:rsidR="008F0F41" w:rsidRPr="00BD6328">
        <w:t xml:space="preserve">Staff agrees with the company’s tariff changes. </w:t>
      </w:r>
    </w:p>
    <w:p w14:paraId="788DB432" w14:textId="77777777" w:rsidR="000A39AB" w:rsidRDefault="000A39AB" w:rsidP="00D127E0"/>
    <w:p w14:paraId="0D58A29F" w14:textId="25047FE1" w:rsidR="000A39AB" w:rsidRDefault="000A39AB" w:rsidP="005D5731">
      <w:pPr>
        <w:tabs>
          <w:tab w:val="left" w:pos="5865"/>
        </w:tabs>
        <w:rPr>
          <w:b/>
        </w:rPr>
      </w:pPr>
      <w:r w:rsidRPr="0095472E">
        <w:rPr>
          <w:b/>
        </w:rPr>
        <w:t>G</w:t>
      </w:r>
      <w:r w:rsidR="0095472E">
        <w:rPr>
          <w:b/>
        </w:rPr>
        <w:t xml:space="preserve">eneral </w:t>
      </w:r>
      <w:r w:rsidRPr="0095472E">
        <w:rPr>
          <w:b/>
        </w:rPr>
        <w:t>R</w:t>
      </w:r>
      <w:r w:rsidR="0095472E">
        <w:rPr>
          <w:b/>
        </w:rPr>
        <w:t xml:space="preserve">ate </w:t>
      </w:r>
      <w:r w:rsidRPr="0095472E">
        <w:rPr>
          <w:b/>
        </w:rPr>
        <w:t>C</w:t>
      </w:r>
      <w:r w:rsidR="0095472E">
        <w:rPr>
          <w:b/>
        </w:rPr>
        <w:t>ase</w:t>
      </w:r>
      <w:r w:rsidRPr="0095472E">
        <w:rPr>
          <w:b/>
        </w:rPr>
        <w:t xml:space="preserve"> Settlement</w:t>
      </w:r>
      <w:r w:rsidRPr="00526189">
        <w:rPr>
          <w:b/>
        </w:rPr>
        <w:t xml:space="preserve"> </w:t>
      </w:r>
      <w:r w:rsidR="005D5731">
        <w:rPr>
          <w:b/>
        </w:rPr>
        <w:tab/>
      </w:r>
    </w:p>
    <w:p w14:paraId="6F46E1FD" w14:textId="77777777" w:rsidR="000A39AB" w:rsidRDefault="000A39AB" w:rsidP="00D127E0"/>
    <w:p w14:paraId="1CC509DE" w14:textId="25474CDC" w:rsidR="005D5731" w:rsidRDefault="0095472E" w:rsidP="005D5731">
      <w:pPr>
        <w:tabs>
          <w:tab w:val="left" w:pos="5865"/>
        </w:tabs>
      </w:pPr>
      <w:r>
        <w:t xml:space="preserve">On December 5, 2017, the </w:t>
      </w:r>
      <w:r w:rsidR="008D024C">
        <w:t>commission</w:t>
      </w:r>
      <w:r>
        <w:t xml:space="preserve"> approved t</w:t>
      </w:r>
      <w:r w:rsidRPr="0095472E">
        <w:t xml:space="preserve">he Settlement Agreement in Dockets UE-170033 and UG-170034 </w:t>
      </w:r>
      <w:r>
        <w:t xml:space="preserve">which </w:t>
      </w:r>
      <w:r w:rsidRPr="0095472E">
        <w:t>stipulate</w:t>
      </w:r>
      <w:r>
        <w:t>s</w:t>
      </w:r>
      <w:r w:rsidRPr="0095472E">
        <w:t xml:space="preserve"> that PSE will provide an additional $2 million in </w:t>
      </w:r>
      <w:r>
        <w:t>low-i</w:t>
      </w:r>
      <w:r w:rsidRPr="0095472E">
        <w:t xml:space="preserve">ncome </w:t>
      </w:r>
      <w:r>
        <w:t>w</w:t>
      </w:r>
      <w:r w:rsidRPr="0095472E">
        <w:t>eatherization funding until June of 2019</w:t>
      </w:r>
      <w:r>
        <w:t>. As a</w:t>
      </w:r>
      <w:r w:rsidR="000A39AB">
        <w:t xml:space="preserve"> portion </w:t>
      </w:r>
      <w:r>
        <w:t xml:space="preserve">of this increased funding is </w:t>
      </w:r>
      <w:r w:rsidR="000A39AB">
        <w:t>allocated to the low-income natural gas program</w:t>
      </w:r>
      <w:r>
        <w:t>, the overall budget for the electric low-income program was increased by $1.7 million in PSE’s replacement BCP filing</w:t>
      </w:r>
      <w:r w:rsidR="0054661B">
        <w:t xml:space="preserve"> of Dec. 11, 2017</w:t>
      </w:r>
      <w:r>
        <w:t>.</w:t>
      </w:r>
      <w:r w:rsidR="005D5731">
        <w:t xml:space="preserve"> </w:t>
      </w:r>
    </w:p>
    <w:p w14:paraId="16631E78" w14:textId="77777777" w:rsidR="005D5731" w:rsidRDefault="005D5731" w:rsidP="005D5731">
      <w:pPr>
        <w:tabs>
          <w:tab w:val="left" w:pos="5865"/>
        </w:tabs>
      </w:pPr>
    </w:p>
    <w:p w14:paraId="514C6F94" w14:textId="77777777" w:rsidR="008D024C" w:rsidRDefault="008D024C" w:rsidP="008D024C">
      <w:pPr>
        <w:keepNext/>
        <w:keepLines/>
        <w:rPr>
          <w:b/>
        </w:rPr>
      </w:pPr>
      <w:r w:rsidRPr="008D024C">
        <w:rPr>
          <w:b/>
        </w:rPr>
        <w:lastRenderedPageBreak/>
        <w:t xml:space="preserve">Conditions List    </w:t>
      </w:r>
    </w:p>
    <w:p w14:paraId="1F5EE02E" w14:textId="7C615475" w:rsidR="008D024C" w:rsidRPr="008D024C" w:rsidRDefault="008D024C" w:rsidP="008D024C">
      <w:pPr>
        <w:keepNext/>
        <w:keepLines/>
        <w:rPr>
          <w:b/>
        </w:rPr>
      </w:pPr>
      <w:r w:rsidRPr="008D024C">
        <w:rPr>
          <w:b/>
        </w:rPr>
        <w:t xml:space="preserve">                                                                                                </w:t>
      </w:r>
    </w:p>
    <w:p w14:paraId="59AB4FE6" w14:textId="0391B71C" w:rsidR="008D024C" w:rsidRPr="00BD6328" w:rsidRDefault="008D024C" w:rsidP="008D024C">
      <w:pPr>
        <w:keepNext/>
        <w:keepLines/>
      </w:pPr>
      <w:r>
        <w:t>Included as Attachment A to this memo are staff’s proposed conditions. This list contains minor modifications to the existing conditions list and was created with input from the company and the CRAG. With the exception of the 2018-2019 Biennial Conservation Target, PSE has accepted the revisions. Staff recommends the company make a compliance filing incorporating the conditions into their BCP and, for this filing, the commission waive the requirement for 30-day notice to the advisory group contained in WAC 480-109-110(3).</w:t>
      </w:r>
    </w:p>
    <w:p w14:paraId="14F84734" w14:textId="0CD2CCA4" w:rsidR="001363A7" w:rsidRDefault="001363A7" w:rsidP="00A46080">
      <w:pPr>
        <w:pStyle w:val="Heading1"/>
        <w:keepNext/>
      </w:pPr>
      <w:r w:rsidRPr="0092599F">
        <w:t>Stakeholder Comments</w:t>
      </w:r>
    </w:p>
    <w:p w14:paraId="760F56C4" w14:textId="088D5983" w:rsidR="00BC434F" w:rsidRPr="00827107" w:rsidRDefault="00BC434F" w:rsidP="00A46080">
      <w:pPr>
        <w:keepNext/>
      </w:pPr>
      <w:r w:rsidRPr="00607DE7">
        <w:t xml:space="preserve">In its comments filed on December </w:t>
      </w:r>
      <w:r w:rsidR="00607DE7" w:rsidRPr="00607DE7">
        <w:t>1</w:t>
      </w:r>
      <w:r w:rsidRPr="00607DE7">
        <w:t>, 201</w:t>
      </w:r>
      <w:r w:rsidR="00607DE7" w:rsidRPr="00607DE7">
        <w:t>7</w:t>
      </w:r>
      <w:r w:rsidRPr="00607DE7">
        <w:t xml:space="preserve">, </w:t>
      </w:r>
      <w:r w:rsidR="00607DE7" w:rsidRPr="00607DE7">
        <w:t>NW Energy Coalition</w:t>
      </w:r>
      <w:r w:rsidRPr="00607DE7">
        <w:t xml:space="preserve"> </w:t>
      </w:r>
      <w:r w:rsidR="00827107">
        <w:t xml:space="preserve">(NWEC) </w:t>
      </w:r>
      <w:r w:rsidR="00827107" w:rsidRPr="00827107">
        <w:t>offered general support for the filing.</w:t>
      </w:r>
      <w:r w:rsidR="00827107">
        <w:t xml:space="preserve"> They specifically noted support for PSE’s discontinuation of the fuel conversion program and the Pay for </w:t>
      </w:r>
      <w:r w:rsidR="00D74A78">
        <w:t>Performance</w:t>
      </w:r>
      <w:r w:rsidR="00827107">
        <w:t xml:space="preserve"> pilot. NWEC encouraged the </w:t>
      </w:r>
      <w:r w:rsidR="000E0B83">
        <w:t>c</w:t>
      </w:r>
      <w:r w:rsidR="00827107">
        <w:t>ompany to consider additional program designs to continue HVAC maintenance programs, to continue to access options for residential financing of energy efficiency measures, and to explore methods to overcome non-economic barriers to high efficiency new construction measures.</w:t>
      </w:r>
    </w:p>
    <w:p w14:paraId="00BC0F8D" w14:textId="77777777" w:rsidR="00607DE7" w:rsidRDefault="00607DE7" w:rsidP="00B7606F">
      <w:pPr>
        <w:rPr>
          <w:color w:val="FF0000"/>
        </w:rPr>
      </w:pPr>
    </w:p>
    <w:p w14:paraId="5E05F294" w14:textId="666CDCE4" w:rsidR="00607DE7" w:rsidRPr="00607DE7" w:rsidRDefault="00607DE7" w:rsidP="00B7606F">
      <w:pPr>
        <w:rPr>
          <w:color w:val="FF0000"/>
        </w:rPr>
      </w:pPr>
      <w:r w:rsidRPr="00607DE7">
        <w:t>Utility Conservation Services</w:t>
      </w:r>
      <w:r w:rsidR="009E3821">
        <w:t>, LLC (UCONS)</w:t>
      </w:r>
      <w:r w:rsidRPr="00607DE7">
        <w:t xml:space="preserve"> </w:t>
      </w:r>
      <w:r>
        <w:t xml:space="preserve">also filed comments on December 1, 2017. </w:t>
      </w:r>
      <w:r w:rsidR="009E3821">
        <w:t xml:space="preserve">These comments highlight concerns around PSE’s </w:t>
      </w:r>
      <w:r w:rsidR="00113407">
        <w:t xml:space="preserve">acquisition of energy efficiency in hard to reach markets. </w:t>
      </w:r>
      <w:r w:rsidR="009E3821">
        <w:t xml:space="preserve">UCONS presents several recommendations and specifically requests </w:t>
      </w:r>
      <w:r w:rsidR="00113407">
        <w:t xml:space="preserve">the </w:t>
      </w:r>
      <w:r w:rsidR="000E0B83">
        <w:t>c</w:t>
      </w:r>
      <w:r w:rsidR="009E3821">
        <w:t xml:space="preserve">ommission </w:t>
      </w:r>
      <w:r w:rsidR="00113407">
        <w:t xml:space="preserve">take </w:t>
      </w:r>
      <w:r w:rsidR="009E3821">
        <w:t xml:space="preserve">action </w:t>
      </w:r>
      <w:r w:rsidR="00113407">
        <w:t xml:space="preserve">in this docket to direct PSE to issue a new </w:t>
      </w:r>
      <w:r w:rsidR="0054661B">
        <w:t>request for proposals</w:t>
      </w:r>
      <w:r w:rsidR="00113407">
        <w:t xml:space="preserve">, a broad </w:t>
      </w:r>
      <w:r w:rsidR="0054661B">
        <w:t>request for information</w:t>
      </w:r>
      <w:r w:rsidR="00113407">
        <w:t xml:space="preserve">, and direct </w:t>
      </w:r>
      <w:r w:rsidR="000E0B83">
        <w:t>s</w:t>
      </w:r>
      <w:r w:rsidR="00113407">
        <w:t>taff to take an active role in the process to ensure it is fair an</w:t>
      </w:r>
      <w:r w:rsidR="0054661B">
        <w:t>d</w:t>
      </w:r>
      <w:r w:rsidR="00113407">
        <w:t xml:space="preserve"> thorough. Additional long term recommendations include directing </w:t>
      </w:r>
      <w:r w:rsidR="000E0B83">
        <w:t>s</w:t>
      </w:r>
      <w:r w:rsidR="00113407">
        <w:t>taff to conduct workshops and possibly a rule-making to make improvements that enhance conservation efforts and spur innovation.</w:t>
      </w:r>
    </w:p>
    <w:p w14:paraId="1C1D4BB6" w14:textId="77777777" w:rsidR="00607DE7" w:rsidRDefault="00607DE7" w:rsidP="00B7606F">
      <w:pPr>
        <w:rPr>
          <w:color w:val="FF0000"/>
        </w:rPr>
      </w:pPr>
    </w:p>
    <w:p w14:paraId="293878B8" w14:textId="5AD22DA5" w:rsidR="00607DE7" w:rsidRPr="00607DE7" w:rsidRDefault="00607DE7" w:rsidP="00B7606F">
      <w:r w:rsidRPr="00607DE7">
        <w:t>Public Counsel did not file comments in this docket.</w:t>
      </w:r>
    </w:p>
    <w:p w14:paraId="2F211E9F" w14:textId="77777777" w:rsidR="00D60E7F" w:rsidRPr="00CD74CC" w:rsidRDefault="0028215A" w:rsidP="00204A52">
      <w:pPr>
        <w:pStyle w:val="Heading1"/>
        <w:rPr>
          <w:u w:val="single"/>
        </w:rPr>
      </w:pPr>
      <w:r w:rsidRPr="00CD74CC">
        <w:rPr>
          <w:u w:val="single"/>
        </w:rPr>
        <w:t>Conclusion</w:t>
      </w:r>
    </w:p>
    <w:p w14:paraId="0DAD591C" w14:textId="77777777" w:rsidR="00EA6C43" w:rsidRDefault="009B62BA" w:rsidP="004B4ED5">
      <w:r>
        <w:t>Issue an order</w:t>
      </w:r>
      <w:r w:rsidR="0054661B">
        <w:t xml:space="preserve"> in Docket UE-171087</w:t>
      </w:r>
      <w:r>
        <w:t xml:space="preserve"> </w:t>
      </w:r>
      <w:r w:rsidR="00EA6C43">
        <w:t>rejecting</w:t>
      </w:r>
      <w:r>
        <w:t xml:space="preserve"> Puget Sound Energy’s biennial conservation target, </w:t>
      </w:r>
      <w:r w:rsidR="00EA6C43">
        <w:t xml:space="preserve">and require the company to refile its biennial conservation plan consistent with </w:t>
      </w:r>
      <w:r>
        <w:t>the conditions in Attachment A</w:t>
      </w:r>
      <w:r w:rsidR="00EA6C43">
        <w:t>.</w:t>
      </w:r>
      <w:r>
        <w:t xml:space="preserve"> </w:t>
      </w:r>
    </w:p>
    <w:p w14:paraId="110E245E" w14:textId="77777777" w:rsidR="00EA6C43" w:rsidRDefault="00EA6C43" w:rsidP="004B4ED5"/>
    <w:p w14:paraId="2F211EA0" w14:textId="23855FF8" w:rsidR="00C75312" w:rsidRDefault="00EA6C43" w:rsidP="004B4ED5">
      <w:r>
        <w:t>A</w:t>
      </w:r>
      <w:r w:rsidR="009B62BA">
        <w:t xml:space="preserve">llow </w:t>
      </w:r>
      <w:r w:rsidR="0054661B">
        <w:t>the</w:t>
      </w:r>
      <w:r w:rsidR="009B62BA">
        <w:t xml:space="preserve"> tariff revisi</w:t>
      </w:r>
      <w:r w:rsidR="00E83827">
        <w:t>ons filed by PSE in Docket UE-1</w:t>
      </w:r>
      <w:r w:rsidR="000A3D0E">
        <w:t>71094</w:t>
      </w:r>
      <w:r w:rsidR="00E83827">
        <w:t xml:space="preserve"> to take effect January 1, 201</w:t>
      </w:r>
      <w:r w:rsidR="000A3D0E">
        <w:t>7</w:t>
      </w:r>
      <w:r w:rsidR="009B62BA">
        <w:t>, by operation of law.</w:t>
      </w:r>
    </w:p>
    <w:p w14:paraId="4A4C14E0" w14:textId="2AD40307" w:rsidR="004B424A" w:rsidRDefault="004B424A" w:rsidP="004B4ED5"/>
    <w:p w14:paraId="26B54A39" w14:textId="77777777" w:rsidR="0051247E" w:rsidRDefault="0051247E" w:rsidP="004B4ED5"/>
    <w:p w14:paraId="13ED3637" w14:textId="77777777" w:rsidR="0051247E" w:rsidRDefault="0051247E" w:rsidP="004B4ED5"/>
    <w:p w14:paraId="0E4596BA" w14:textId="1EB420A2" w:rsidR="0051247E" w:rsidRPr="009B62BA" w:rsidRDefault="0051247E" w:rsidP="004B4ED5">
      <w:r>
        <w:t>Attachment</w:t>
      </w:r>
    </w:p>
    <w:sectPr w:rsidR="0051247E" w:rsidRPr="009B62BA" w:rsidSect="00BA4E08">
      <w:headerReference w:type="default" r:id="rId12"/>
      <w:footerReference w:type="default" r:id="rId13"/>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00EDE" w14:textId="77777777" w:rsidR="000167AC" w:rsidRDefault="000167AC" w:rsidP="00FF75F4">
      <w:r>
        <w:separator/>
      </w:r>
    </w:p>
  </w:endnote>
  <w:endnote w:type="continuationSeparator" w:id="0">
    <w:p w14:paraId="30E2AC2B" w14:textId="77777777" w:rsidR="000167AC" w:rsidRDefault="000167AC" w:rsidP="00FF75F4">
      <w:r>
        <w:continuationSeparator/>
      </w:r>
    </w:p>
  </w:endnote>
  <w:endnote w:type="continuationNotice" w:id="1">
    <w:p w14:paraId="6528371B" w14:textId="77777777" w:rsidR="00F65D94" w:rsidRDefault="00F65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462722"/>
      <w:docPartObj>
        <w:docPartGallery w:val="Page Numbers (Bottom of Page)"/>
        <w:docPartUnique/>
      </w:docPartObj>
    </w:sdtPr>
    <w:sdtEndPr>
      <w:rPr>
        <w:noProof/>
      </w:rPr>
    </w:sdtEndPr>
    <w:sdtContent>
      <w:p w14:paraId="2F211EA9" w14:textId="77777777" w:rsidR="000167AC" w:rsidRDefault="000167AC">
        <w:pPr>
          <w:pStyle w:val="Footer"/>
          <w:jc w:val="right"/>
        </w:pPr>
        <w:r>
          <w:fldChar w:fldCharType="begin"/>
        </w:r>
        <w:r>
          <w:instrText xml:space="preserve"> PAGE   \* MERGEFORMAT </w:instrText>
        </w:r>
        <w:r>
          <w:fldChar w:fldCharType="separate"/>
        </w:r>
        <w:r w:rsidR="00AC05C9">
          <w:rPr>
            <w:noProof/>
          </w:rPr>
          <w:t>2</w:t>
        </w:r>
        <w:r>
          <w:rPr>
            <w:noProof/>
          </w:rPr>
          <w:fldChar w:fldCharType="end"/>
        </w:r>
      </w:p>
    </w:sdtContent>
  </w:sdt>
  <w:p w14:paraId="2F211EAA" w14:textId="77777777" w:rsidR="000167AC" w:rsidRDefault="00016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F5518" w14:textId="77777777" w:rsidR="000167AC" w:rsidRDefault="000167AC" w:rsidP="00FF75F4">
      <w:r>
        <w:separator/>
      </w:r>
    </w:p>
  </w:footnote>
  <w:footnote w:type="continuationSeparator" w:id="0">
    <w:p w14:paraId="58003F31" w14:textId="77777777" w:rsidR="000167AC" w:rsidRDefault="000167AC" w:rsidP="00FF75F4">
      <w:r>
        <w:continuationSeparator/>
      </w:r>
    </w:p>
  </w:footnote>
  <w:footnote w:type="continuationNotice" w:id="1">
    <w:p w14:paraId="6B30CB55" w14:textId="77777777" w:rsidR="00F65D94" w:rsidRDefault="00F65D94"/>
  </w:footnote>
  <w:footnote w:id="2">
    <w:p w14:paraId="1348C696" w14:textId="425AEF23" w:rsidR="000167AC" w:rsidRDefault="000167AC">
      <w:pPr>
        <w:pStyle w:val="FootnoteText"/>
      </w:pPr>
      <w:r>
        <w:rPr>
          <w:rStyle w:val="FootnoteReference"/>
        </w:rPr>
        <w:footnoteRef/>
      </w:r>
      <w:r>
        <w:t xml:space="preserve"> </w:t>
      </w:r>
      <w:r>
        <w:rPr>
          <w:i/>
        </w:rPr>
        <w:t>S</w:t>
      </w:r>
      <w:r w:rsidRPr="00E211E1">
        <w:rPr>
          <w:i/>
        </w:rPr>
        <w:t>ee</w:t>
      </w:r>
      <w:r w:rsidRPr="00E211E1">
        <w:t xml:space="preserve"> Docket UE-121697, Order 07, ¶ 108</w:t>
      </w:r>
      <w:r>
        <w:t>.</w:t>
      </w:r>
    </w:p>
  </w:footnote>
  <w:footnote w:id="3">
    <w:p w14:paraId="4E3349E6" w14:textId="2768E630" w:rsidR="000167AC" w:rsidRDefault="000167AC">
      <w:pPr>
        <w:pStyle w:val="FootnoteText"/>
      </w:pPr>
      <w:r>
        <w:rPr>
          <w:rStyle w:val="FootnoteReference"/>
        </w:rPr>
        <w:footnoteRef/>
      </w:r>
      <w:r>
        <w:t xml:space="preserve"> Docket UE-171087, Staff Comments, Dec. 1, 2017.</w:t>
      </w:r>
    </w:p>
  </w:footnote>
  <w:footnote w:id="4">
    <w:p w14:paraId="528CF9EB" w14:textId="7E539022" w:rsidR="000167AC" w:rsidRDefault="000167AC">
      <w:pPr>
        <w:pStyle w:val="FootnoteText"/>
      </w:pPr>
      <w:r>
        <w:rPr>
          <w:rStyle w:val="FootnoteReference"/>
        </w:rPr>
        <w:footnoteRef/>
      </w:r>
      <w:r>
        <w:t xml:space="preserve"> For this biennium PSE has elected to exclude low-income programs from the portfolio level cost-effectiveness calculation as allowed by WAC 480-109-100(10)(b).</w:t>
      </w:r>
    </w:p>
  </w:footnote>
  <w:footnote w:id="5">
    <w:p w14:paraId="3A4E6332" w14:textId="43BF56B1" w:rsidR="000167AC" w:rsidRDefault="000167AC">
      <w:pPr>
        <w:pStyle w:val="FootnoteText"/>
      </w:pPr>
      <w:r>
        <w:rPr>
          <w:rStyle w:val="FootnoteReference"/>
        </w:rPr>
        <w:footnoteRef/>
      </w:r>
      <w:r>
        <w:t xml:space="preserve"> Includes only pilots with uncertain savings. In the 2018-2019 biennium this includes only the Pay for Performance Pilot.</w:t>
      </w:r>
    </w:p>
  </w:footnote>
  <w:footnote w:id="6">
    <w:p w14:paraId="2F211EAD" w14:textId="77777777" w:rsidR="000167AC" w:rsidRPr="00125C1B" w:rsidRDefault="000167AC" w:rsidP="00681E7A">
      <w:pPr>
        <w:pStyle w:val="FootnoteText"/>
      </w:pPr>
      <w:r w:rsidRPr="00125C1B">
        <w:rPr>
          <w:rStyle w:val="FootnoteReference"/>
        </w:rPr>
        <w:footnoteRef/>
      </w:r>
      <w:r>
        <w:t xml:space="preserve"> S</w:t>
      </w:r>
      <w:r w:rsidRPr="00125C1B">
        <w:t xml:space="preserve">avings and budgets associated with NEEA </w:t>
      </w:r>
      <w:r w:rsidRPr="00EC6F58">
        <w:t>and the Generation, Transmission &amp; Distribution Efficiency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11EA5" w14:textId="32CCDB48" w:rsidR="000167AC" w:rsidRPr="00777586" w:rsidRDefault="000167AC" w:rsidP="002C648F">
    <w:pPr>
      <w:pStyle w:val="Header"/>
      <w:rPr>
        <w:sz w:val="20"/>
        <w:szCs w:val="20"/>
      </w:rPr>
    </w:pPr>
    <w:r w:rsidRPr="00777586">
      <w:rPr>
        <w:sz w:val="20"/>
        <w:szCs w:val="20"/>
      </w:rPr>
      <w:t>D</w:t>
    </w:r>
    <w:r>
      <w:rPr>
        <w:sz w:val="20"/>
        <w:szCs w:val="20"/>
      </w:rPr>
      <w:t xml:space="preserve">OCKETS </w:t>
    </w:r>
    <w:r w:rsidRPr="00F22F14">
      <w:rPr>
        <w:sz w:val="20"/>
        <w:szCs w:val="20"/>
      </w:rPr>
      <w:t>UE-1</w:t>
    </w:r>
    <w:r>
      <w:rPr>
        <w:sz w:val="20"/>
        <w:szCs w:val="20"/>
      </w:rPr>
      <w:t>71087 and UE-171094</w:t>
    </w:r>
  </w:p>
  <w:p w14:paraId="2F211EA6" w14:textId="1A4C72FB" w:rsidR="000167AC" w:rsidRPr="00777586" w:rsidRDefault="000167AC" w:rsidP="002C648F">
    <w:pPr>
      <w:pStyle w:val="Header"/>
      <w:rPr>
        <w:sz w:val="20"/>
        <w:szCs w:val="20"/>
      </w:rPr>
    </w:pPr>
    <w:r>
      <w:rPr>
        <w:sz w:val="20"/>
        <w:szCs w:val="20"/>
      </w:rPr>
      <w:t>December 20, 2017</w:t>
    </w:r>
  </w:p>
  <w:p w14:paraId="2F211EA7" w14:textId="77777777" w:rsidR="000167AC" w:rsidRPr="00777586" w:rsidRDefault="000167AC"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AC05C9">
      <w:rPr>
        <w:rStyle w:val="PageNumber"/>
        <w:noProof/>
        <w:sz w:val="20"/>
        <w:szCs w:val="20"/>
      </w:rPr>
      <w:t>2</w:t>
    </w:r>
    <w:r w:rsidRPr="00777586">
      <w:rPr>
        <w:rStyle w:val="PageNumber"/>
        <w:sz w:val="20"/>
        <w:szCs w:val="20"/>
      </w:rPr>
      <w:fldChar w:fldCharType="end"/>
    </w:r>
  </w:p>
  <w:p w14:paraId="2F211EA8" w14:textId="77777777" w:rsidR="000167AC" w:rsidRPr="00E05888" w:rsidRDefault="000167AC"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78C"/>
    <w:rsid w:val="00000FCF"/>
    <w:rsid w:val="00001805"/>
    <w:rsid w:val="000031D1"/>
    <w:rsid w:val="0000603F"/>
    <w:rsid w:val="00006795"/>
    <w:rsid w:val="000126E3"/>
    <w:rsid w:val="00013E26"/>
    <w:rsid w:val="000167AC"/>
    <w:rsid w:val="00020EBD"/>
    <w:rsid w:val="00024AD3"/>
    <w:rsid w:val="00025FA6"/>
    <w:rsid w:val="00027B12"/>
    <w:rsid w:val="00030742"/>
    <w:rsid w:val="00040CE3"/>
    <w:rsid w:val="00041921"/>
    <w:rsid w:val="00042271"/>
    <w:rsid w:val="000427DB"/>
    <w:rsid w:val="00043283"/>
    <w:rsid w:val="00046219"/>
    <w:rsid w:val="00047427"/>
    <w:rsid w:val="00047DFC"/>
    <w:rsid w:val="00054659"/>
    <w:rsid w:val="00057091"/>
    <w:rsid w:val="00057A1C"/>
    <w:rsid w:val="0007323E"/>
    <w:rsid w:val="00075518"/>
    <w:rsid w:val="00082655"/>
    <w:rsid w:val="00086F2E"/>
    <w:rsid w:val="00091AC2"/>
    <w:rsid w:val="000925DF"/>
    <w:rsid w:val="00092E6A"/>
    <w:rsid w:val="00093F47"/>
    <w:rsid w:val="000959D9"/>
    <w:rsid w:val="0009761D"/>
    <w:rsid w:val="000A1774"/>
    <w:rsid w:val="000A302B"/>
    <w:rsid w:val="000A36EF"/>
    <w:rsid w:val="000A39AB"/>
    <w:rsid w:val="000A3D0E"/>
    <w:rsid w:val="000A4CAF"/>
    <w:rsid w:val="000A4EDF"/>
    <w:rsid w:val="000A6695"/>
    <w:rsid w:val="000A7F7C"/>
    <w:rsid w:val="000B6FA5"/>
    <w:rsid w:val="000C51A7"/>
    <w:rsid w:val="000C561A"/>
    <w:rsid w:val="000C641A"/>
    <w:rsid w:val="000C6F30"/>
    <w:rsid w:val="000D120B"/>
    <w:rsid w:val="000D2AAE"/>
    <w:rsid w:val="000D335F"/>
    <w:rsid w:val="000D71C1"/>
    <w:rsid w:val="000E0B83"/>
    <w:rsid w:val="000E2D0C"/>
    <w:rsid w:val="000E50B9"/>
    <w:rsid w:val="000E5A4A"/>
    <w:rsid w:val="000F018D"/>
    <w:rsid w:val="000F05C4"/>
    <w:rsid w:val="000F07CE"/>
    <w:rsid w:val="000F14E1"/>
    <w:rsid w:val="000F41CD"/>
    <w:rsid w:val="00100426"/>
    <w:rsid w:val="00100726"/>
    <w:rsid w:val="0010117B"/>
    <w:rsid w:val="00104E99"/>
    <w:rsid w:val="001053F3"/>
    <w:rsid w:val="00106E5E"/>
    <w:rsid w:val="0011037B"/>
    <w:rsid w:val="0011135E"/>
    <w:rsid w:val="00113407"/>
    <w:rsid w:val="00115F20"/>
    <w:rsid w:val="001162AB"/>
    <w:rsid w:val="001168EB"/>
    <w:rsid w:val="0012024F"/>
    <w:rsid w:val="00123CC4"/>
    <w:rsid w:val="00124A6F"/>
    <w:rsid w:val="001261D0"/>
    <w:rsid w:val="001273BA"/>
    <w:rsid w:val="00136036"/>
    <w:rsid w:val="001363A7"/>
    <w:rsid w:val="00144549"/>
    <w:rsid w:val="00146617"/>
    <w:rsid w:val="00147639"/>
    <w:rsid w:val="00152793"/>
    <w:rsid w:val="001621A5"/>
    <w:rsid w:val="00162E85"/>
    <w:rsid w:val="00163505"/>
    <w:rsid w:val="00170495"/>
    <w:rsid w:val="001706F2"/>
    <w:rsid w:val="00170726"/>
    <w:rsid w:val="00170970"/>
    <w:rsid w:val="0017204A"/>
    <w:rsid w:val="00172D15"/>
    <w:rsid w:val="00177433"/>
    <w:rsid w:val="00180D93"/>
    <w:rsid w:val="00186DE5"/>
    <w:rsid w:val="001916C0"/>
    <w:rsid w:val="001923BA"/>
    <w:rsid w:val="00192AD1"/>
    <w:rsid w:val="00194217"/>
    <w:rsid w:val="00194C72"/>
    <w:rsid w:val="001B1939"/>
    <w:rsid w:val="001B4AC2"/>
    <w:rsid w:val="001C41E2"/>
    <w:rsid w:val="001C424C"/>
    <w:rsid w:val="001C5930"/>
    <w:rsid w:val="001C78C3"/>
    <w:rsid w:val="001D0D50"/>
    <w:rsid w:val="001E3ACD"/>
    <w:rsid w:val="001F4BAA"/>
    <w:rsid w:val="001F5226"/>
    <w:rsid w:val="001F668E"/>
    <w:rsid w:val="00202339"/>
    <w:rsid w:val="00204A52"/>
    <w:rsid w:val="0020635F"/>
    <w:rsid w:val="00220A9A"/>
    <w:rsid w:val="002215D4"/>
    <w:rsid w:val="002245E8"/>
    <w:rsid w:val="00225BAA"/>
    <w:rsid w:val="0022715D"/>
    <w:rsid w:val="00227F90"/>
    <w:rsid w:val="00233031"/>
    <w:rsid w:val="0023355B"/>
    <w:rsid w:val="002348AC"/>
    <w:rsid w:val="00236427"/>
    <w:rsid w:val="0023780B"/>
    <w:rsid w:val="00240D31"/>
    <w:rsid w:val="00241B8C"/>
    <w:rsid w:val="00241FF3"/>
    <w:rsid w:val="00242044"/>
    <w:rsid w:val="0024211E"/>
    <w:rsid w:val="00246541"/>
    <w:rsid w:val="00251AC9"/>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4E91"/>
    <w:rsid w:val="00291C96"/>
    <w:rsid w:val="00294540"/>
    <w:rsid w:val="002970C4"/>
    <w:rsid w:val="002A17DE"/>
    <w:rsid w:val="002A36C0"/>
    <w:rsid w:val="002A3F3D"/>
    <w:rsid w:val="002A41D7"/>
    <w:rsid w:val="002A49A6"/>
    <w:rsid w:val="002A67A9"/>
    <w:rsid w:val="002A7D14"/>
    <w:rsid w:val="002A7D27"/>
    <w:rsid w:val="002B3FD8"/>
    <w:rsid w:val="002B64CA"/>
    <w:rsid w:val="002B6C2B"/>
    <w:rsid w:val="002C0730"/>
    <w:rsid w:val="002C179B"/>
    <w:rsid w:val="002C40C5"/>
    <w:rsid w:val="002C5999"/>
    <w:rsid w:val="002C648F"/>
    <w:rsid w:val="002C74B0"/>
    <w:rsid w:val="002D3A0F"/>
    <w:rsid w:val="002D7FAC"/>
    <w:rsid w:val="002E2C68"/>
    <w:rsid w:val="002E69E9"/>
    <w:rsid w:val="002E7662"/>
    <w:rsid w:val="002E7CC5"/>
    <w:rsid w:val="002F156B"/>
    <w:rsid w:val="002F303C"/>
    <w:rsid w:val="002F5A33"/>
    <w:rsid w:val="002F64FF"/>
    <w:rsid w:val="002F7D05"/>
    <w:rsid w:val="002F7FCC"/>
    <w:rsid w:val="003003E5"/>
    <w:rsid w:val="00304156"/>
    <w:rsid w:val="00304D53"/>
    <w:rsid w:val="003064E0"/>
    <w:rsid w:val="003109C9"/>
    <w:rsid w:val="003139AE"/>
    <w:rsid w:val="00322A9D"/>
    <w:rsid w:val="0032544B"/>
    <w:rsid w:val="003326BC"/>
    <w:rsid w:val="003329DB"/>
    <w:rsid w:val="00332D84"/>
    <w:rsid w:val="0033721E"/>
    <w:rsid w:val="0033757E"/>
    <w:rsid w:val="00340117"/>
    <w:rsid w:val="003404BE"/>
    <w:rsid w:val="00340BB5"/>
    <w:rsid w:val="00341972"/>
    <w:rsid w:val="00342933"/>
    <w:rsid w:val="00343083"/>
    <w:rsid w:val="003432D1"/>
    <w:rsid w:val="00343B9D"/>
    <w:rsid w:val="003446F4"/>
    <w:rsid w:val="003607EF"/>
    <w:rsid w:val="003614F9"/>
    <w:rsid w:val="003617FE"/>
    <w:rsid w:val="00362080"/>
    <w:rsid w:val="0036314D"/>
    <w:rsid w:val="00364EF9"/>
    <w:rsid w:val="00367F1C"/>
    <w:rsid w:val="003702DA"/>
    <w:rsid w:val="0037080B"/>
    <w:rsid w:val="00372101"/>
    <w:rsid w:val="003776C2"/>
    <w:rsid w:val="00385F85"/>
    <w:rsid w:val="0038660C"/>
    <w:rsid w:val="003904AE"/>
    <w:rsid w:val="00391AB8"/>
    <w:rsid w:val="003927A9"/>
    <w:rsid w:val="00394387"/>
    <w:rsid w:val="003A683D"/>
    <w:rsid w:val="003B1607"/>
    <w:rsid w:val="003B19C1"/>
    <w:rsid w:val="003B2045"/>
    <w:rsid w:val="003B26AE"/>
    <w:rsid w:val="003B741B"/>
    <w:rsid w:val="003C7708"/>
    <w:rsid w:val="003D21C9"/>
    <w:rsid w:val="003D3A3A"/>
    <w:rsid w:val="003D4240"/>
    <w:rsid w:val="003D5FE5"/>
    <w:rsid w:val="003E36BB"/>
    <w:rsid w:val="003E7551"/>
    <w:rsid w:val="003F05EC"/>
    <w:rsid w:val="003F09CE"/>
    <w:rsid w:val="003F1BDE"/>
    <w:rsid w:val="003F2771"/>
    <w:rsid w:val="004005B6"/>
    <w:rsid w:val="00405C03"/>
    <w:rsid w:val="004148E7"/>
    <w:rsid w:val="0042262E"/>
    <w:rsid w:val="004242A1"/>
    <w:rsid w:val="00433A8C"/>
    <w:rsid w:val="004358D6"/>
    <w:rsid w:val="00441BDD"/>
    <w:rsid w:val="0044594A"/>
    <w:rsid w:val="004511F7"/>
    <w:rsid w:val="00453AA9"/>
    <w:rsid w:val="004551A5"/>
    <w:rsid w:val="004563C6"/>
    <w:rsid w:val="00456917"/>
    <w:rsid w:val="0045798A"/>
    <w:rsid w:val="004600EE"/>
    <w:rsid w:val="00464CC7"/>
    <w:rsid w:val="00465007"/>
    <w:rsid w:val="00465904"/>
    <w:rsid w:val="00471B11"/>
    <w:rsid w:val="00473E34"/>
    <w:rsid w:val="004822EC"/>
    <w:rsid w:val="00482FF7"/>
    <w:rsid w:val="00483226"/>
    <w:rsid w:val="0048406A"/>
    <w:rsid w:val="00491392"/>
    <w:rsid w:val="00491D88"/>
    <w:rsid w:val="00493923"/>
    <w:rsid w:val="00493DC1"/>
    <w:rsid w:val="00494B89"/>
    <w:rsid w:val="004A037C"/>
    <w:rsid w:val="004A2726"/>
    <w:rsid w:val="004A3142"/>
    <w:rsid w:val="004B2C53"/>
    <w:rsid w:val="004B424A"/>
    <w:rsid w:val="004B4DA1"/>
    <w:rsid w:val="004B4ED5"/>
    <w:rsid w:val="004C207B"/>
    <w:rsid w:val="004C2614"/>
    <w:rsid w:val="004C3E8A"/>
    <w:rsid w:val="004C3F6A"/>
    <w:rsid w:val="004C579D"/>
    <w:rsid w:val="004D2FEB"/>
    <w:rsid w:val="004D4B4E"/>
    <w:rsid w:val="004E443D"/>
    <w:rsid w:val="004F3666"/>
    <w:rsid w:val="004F36CA"/>
    <w:rsid w:val="004F5242"/>
    <w:rsid w:val="004F6E1B"/>
    <w:rsid w:val="004F77EA"/>
    <w:rsid w:val="005024F9"/>
    <w:rsid w:val="00505AB1"/>
    <w:rsid w:val="00511608"/>
    <w:rsid w:val="0051247E"/>
    <w:rsid w:val="00512AEE"/>
    <w:rsid w:val="0051363C"/>
    <w:rsid w:val="00514B14"/>
    <w:rsid w:val="00514DF5"/>
    <w:rsid w:val="00514E29"/>
    <w:rsid w:val="00515633"/>
    <w:rsid w:val="0051781D"/>
    <w:rsid w:val="00520170"/>
    <w:rsid w:val="00520CC1"/>
    <w:rsid w:val="00520D0B"/>
    <w:rsid w:val="00521DDB"/>
    <w:rsid w:val="00522C40"/>
    <w:rsid w:val="00524B4F"/>
    <w:rsid w:val="00526189"/>
    <w:rsid w:val="005426DF"/>
    <w:rsid w:val="005440CF"/>
    <w:rsid w:val="0054661B"/>
    <w:rsid w:val="0055621D"/>
    <w:rsid w:val="0056341A"/>
    <w:rsid w:val="00566C61"/>
    <w:rsid w:val="005674D5"/>
    <w:rsid w:val="005720E6"/>
    <w:rsid w:val="00582C07"/>
    <w:rsid w:val="0058597F"/>
    <w:rsid w:val="0059285C"/>
    <w:rsid w:val="00593784"/>
    <w:rsid w:val="005A0A09"/>
    <w:rsid w:val="005A496B"/>
    <w:rsid w:val="005A4A28"/>
    <w:rsid w:val="005A60BD"/>
    <w:rsid w:val="005A7B7E"/>
    <w:rsid w:val="005B1B55"/>
    <w:rsid w:val="005B2F02"/>
    <w:rsid w:val="005B42C3"/>
    <w:rsid w:val="005B75FE"/>
    <w:rsid w:val="005C26BC"/>
    <w:rsid w:val="005C3300"/>
    <w:rsid w:val="005C36BA"/>
    <w:rsid w:val="005D2A45"/>
    <w:rsid w:val="005D3A54"/>
    <w:rsid w:val="005D4DC5"/>
    <w:rsid w:val="005D5411"/>
    <w:rsid w:val="005D5731"/>
    <w:rsid w:val="005D65CF"/>
    <w:rsid w:val="005D7576"/>
    <w:rsid w:val="005D7EE2"/>
    <w:rsid w:val="005E2430"/>
    <w:rsid w:val="005E3549"/>
    <w:rsid w:val="005E4477"/>
    <w:rsid w:val="005F0821"/>
    <w:rsid w:val="005F47B0"/>
    <w:rsid w:val="005F6C63"/>
    <w:rsid w:val="006017F3"/>
    <w:rsid w:val="00603B41"/>
    <w:rsid w:val="00604FFF"/>
    <w:rsid w:val="00605644"/>
    <w:rsid w:val="00607DE7"/>
    <w:rsid w:val="0061209B"/>
    <w:rsid w:val="006135B4"/>
    <w:rsid w:val="00613C6E"/>
    <w:rsid w:val="0062084E"/>
    <w:rsid w:val="00624FC0"/>
    <w:rsid w:val="00625424"/>
    <w:rsid w:val="00625995"/>
    <w:rsid w:val="00630E56"/>
    <w:rsid w:val="00631270"/>
    <w:rsid w:val="00632EAB"/>
    <w:rsid w:val="006348A7"/>
    <w:rsid w:val="00645F4C"/>
    <w:rsid w:val="00651161"/>
    <w:rsid w:val="0065149E"/>
    <w:rsid w:val="0065373E"/>
    <w:rsid w:val="006546F8"/>
    <w:rsid w:val="006559A9"/>
    <w:rsid w:val="00655A80"/>
    <w:rsid w:val="00655B45"/>
    <w:rsid w:val="00657DEE"/>
    <w:rsid w:val="00657E4F"/>
    <w:rsid w:val="00667C04"/>
    <w:rsid w:val="00667FB8"/>
    <w:rsid w:val="0067283D"/>
    <w:rsid w:val="006733D9"/>
    <w:rsid w:val="00673770"/>
    <w:rsid w:val="00681E7A"/>
    <w:rsid w:val="00683250"/>
    <w:rsid w:val="00684EDC"/>
    <w:rsid w:val="00695D26"/>
    <w:rsid w:val="00697EBD"/>
    <w:rsid w:val="006A28C2"/>
    <w:rsid w:val="006A2A84"/>
    <w:rsid w:val="006A3269"/>
    <w:rsid w:val="006A53CF"/>
    <w:rsid w:val="006A5F45"/>
    <w:rsid w:val="006A687B"/>
    <w:rsid w:val="006A6A1D"/>
    <w:rsid w:val="006B2981"/>
    <w:rsid w:val="006B44A2"/>
    <w:rsid w:val="006B5368"/>
    <w:rsid w:val="006B6CD0"/>
    <w:rsid w:val="006C19C3"/>
    <w:rsid w:val="006C1A2B"/>
    <w:rsid w:val="006C3A10"/>
    <w:rsid w:val="006C6F08"/>
    <w:rsid w:val="006D2279"/>
    <w:rsid w:val="006D4BCC"/>
    <w:rsid w:val="006E0ACD"/>
    <w:rsid w:val="006E2FCC"/>
    <w:rsid w:val="006E356D"/>
    <w:rsid w:val="006E4394"/>
    <w:rsid w:val="006E79D6"/>
    <w:rsid w:val="006F1159"/>
    <w:rsid w:val="006F7BF2"/>
    <w:rsid w:val="00701D51"/>
    <w:rsid w:val="007043A0"/>
    <w:rsid w:val="007110E6"/>
    <w:rsid w:val="00716014"/>
    <w:rsid w:val="007221E3"/>
    <w:rsid w:val="007228CB"/>
    <w:rsid w:val="0072391F"/>
    <w:rsid w:val="0072754F"/>
    <w:rsid w:val="007338D7"/>
    <w:rsid w:val="00735874"/>
    <w:rsid w:val="007364B4"/>
    <w:rsid w:val="0074247D"/>
    <w:rsid w:val="00744C90"/>
    <w:rsid w:val="007453CD"/>
    <w:rsid w:val="007507D2"/>
    <w:rsid w:val="00751109"/>
    <w:rsid w:val="00752C89"/>
    <w:rsid w:val="00754E12"/>
    <w:rsid w:val="00757194"/>
    <w:rsid w:val="00762296"/>
    <w:rsid w:val="00764E50"/>
    <w:rsid w:val="0076670E"/>
    <w:rsid w:val="00767FFB"/>
    <w:rsid w:val="007711F0"/>
    <w:rsid w:val="00774C1D"/>
    <w:rsid w:val="00776B7B"/>
    <w:rsid w:val="00777EFE"/>
    <w:rsid w:val="0078584E"/>
    <w:rsid w:val="00787019"/>
    <w:rsid w:val="00790F7E"/>
    <w:rsid w:val="00792708"/>
    <w:rsid w:val="00793DC3"/>
    <w:rsid w:val="00795DB7"/>
    <w:rsid w:val="00796228"/>
    <w:rsid w:val="00797A54"/>
    <w:rsid w:val="007A2B2C"/>
    <w:rsid w:val="007A36E7"/>
    <w:rsid w:val="007A3FFE"/>
    <w:rsid w:val="007A6C79"/>
    <w:rsid w:val="007A6DE8"/>
    <w:rsid w:val="007A76D8"/>
    <w:rsid w:val="007B0D24"/>
    <w:rsid w:val="007B711E"/>
    <w:rsid w:val="007B7BB4"/>
    <w:rsid w:val="007C66EB"/>
    <w:rsid w:val="007C7855"/>
    <w:rsid w:val="007D0C27"/>
    <w:rsid w:val="007D1FCB"/>
    <w:rsid w:val="007D3D1A"/>
    <w:rsid w:val="007D409B"/>
    <w:rsid w:val="007D4283"/>
    <w:rsid w:val="007D50DE"/>
    <w:rsid w:val="007D674F"/>
    <w:rsid w:val="007D6A75"/>
    <w:rsid w:val="007E0EB5"/>
    <w:rsid w:val="007E55FF"/>
    <w:rsid w:val="007E5710"/>
    <w:rsid w:val="007E66AA"/>
    <w:rsid w:val="007F0A61"/>
    <w:rsid w:val="007F5144"/>
    <w:rsid w:val="00800F62"/>
    <w:rsid w:val="00803182"/>
    <w:rsid w:val="00803942"/>
    <w:rsid w:val="008152F2"/>
    <w:rsid w:val="0081564A"/>
    <w:rsid w:val="00820643"/>
    <w:rsid w:val="00820A0A"/>
    <w:rsid w:val="00820CA8"/>
    <w:rsid w:val="0082276C"/>
    <w:rsid w:val="008256DC"/>
    <w:rsid w:val="00827107"/>
    <w:rsid w:val="00832824"/>
    <w:rsid w:val="00832C63"/>
    <w:rsid w:val="00837009"/>
    <w:rsid w:val="00842F1A"/>
    <w:rsid w:val="00845AFC"/>
    <w:rsid w:val="00845BDF"/>
    <w:rsid w:val="00846CE4"/>
    <w:rsid w:val="00857EC5"/>
    <w:rsid w:val="00862939"/>
    <w:rsid w:val="00862FFC"/>
    <w:rsid w:val="0086422D"/>
    <w:rsid w:val="008745FE"/>
    <w:rsid w:val="00876F19"/>
    <w:rsid w:val="008771C3"/>
    <w:rsid w:val="00880D77"/>
    <w:rsid w:val="008900C9"/>
    <w:rsid w:val="008A2CAB"/>
    <w:rsid w:val="008A4054"/>
    <w:rsid w:val="008A4EE5"/>
    <w:rsid w:val="008A7A4D"/>
    <w:rsid w:val="008B5111"/>
    <w:rsid w:val="008C08ED"/>
    <w:rsid w:val="008C3678"/>
    <w:rsid w:val="008C6BB0"/>
    <w:rsid w:val="008D024C"/>
    <w:rsid w:val="008D2D64"/>
    <w:rsid w:val="008D7425"/>
    <w:rsid w:val="008E026D"/>
    <w:rsid w:val="008E16BC"/>
    <w:rsid w:val="008E25F1"/>
    <w:rsid w:val="008E2A0E"/>
    <w:rsid w:val="008E517E"/>
    <w:rsid w:val="008E75AD"/>
    <w:rsid w:val="008E7DAB"/>
    <w:rsid w:val="008F0B1C"/>
    <w:rsid w:val="008F0F41"/>
    <w:rsid w:val="008F1CEC"/>
    <w:rsid w:val="008F50EB"/>
    <w:rsid w:val="008F651A"/>
    <w:rsid w:val="009003B9"/>
    <w:rsid w:val="009041C3"/>
    <w:rsid w:val="00904645"/>
    <w:rsid w:val="009056C2"/>
    <w:rsid w:val="00905F90"/>
    <w:rsid w:val="00907168"/>
    <w:rsid w:val="0091069F"/>
    <w:rsid w:val="00915206"/>
    <w:rsid w:val="009249F0"/>
    <w:rsid w:val="0092524C"/>
    <w:rsid w:val="0092599F"/>
    <w:rsid w:val="009278CE"/>
    <w:rsid w:val="00930951"/>
    <w:rsid w:val="00931127"/>
    <w:rsid w:val="0093145C"/>
    <w:rsid w:val="00934A3C"/>
    <w:rsid w:val="009363BA"/>
    <w:rsid w:val="00936FF6"/>
    <w:rsid w:val="00947A1D"/>
    <w:rsid w:val="00947AAF"/>
    <w:rsid w:val="0095472E"/>
    <w:rsid w:val="00955688"/>
    <w:rsid w:val="00956BA6"/>
    <w:rsid w:val="00963D1F"/>
    <w:rsid w:val="009652E7"/>
    <w:rsid w:val="009702DA"/>
    <w:rsid w:val="009712CC"/>
    <w:rsid w:val="009742A7"/>
    <w:rsid w:val="00977676"/>
    <w:rsid w:val="00980023"/>
    <w:rsid w:val="00980095"/>
    <w:rsid w:val="009828A2"/>
    <w:rsid w:val="00982F76"/>
    <w:rsid w:val="0098532A"/>
    <w:rsid w:val="00985D0D"/>
    <w:rsid w:val="00992B48"/>
    <w:rsid w:val="00993829"/>
    <w:rsid w:val="00993D47"/>
    <w:rsid w:val="0099446A"/>
    <w:rsid w:val="00995F9B"/>
    <w:rsid w:val="009A6FAA"/>
    <w:rsid w:val="009B624B"/>
    <w:rsid w:val="009B62BA"/>
    <w:rsid w:val="009C216D"/>
    <w:rsid w:val="009C29E7"/>
    <w:rsid w:val="009C3A9C"/>
    <w:rsid w:val="009C4479"/>
    <w:rsid w:val="009C48F3"/>
    <w:rsid w:val="009C4F77"/>
    <w:rsid w:val="009D3809"/>
    <w:rsid w:val="009D4411"/>
    <w:rsid w:val="009D5E9C"/>
    <w:rsid w:val="009D6358"/>
    <w:rsid w:val="009E3821"/>
    <w:rsid w:val="009E6921"/>
    <w:rsid w:val="009F0545"/>
    <w:rsid w:val="009F6AF0"/>
    <w:rsid w:val="009F7605"/>
    <w:rsid w:val="00A0516E"/>
    <w:rsid w:val="00A13688"/>
    <w:rsid w:val="00A22344"/>
    <w:rsid w:val="00A32572"/>
    <w:rsid w:val="00A33C8A"/>
    <w:rsid w:val="00A413E1"/>
    <w:rsid w:val="00A429A1"/>
    <w:rsid w:val="00A46080"/>
    <w:rsid w:val="00A50F3F"/>
    <w:rsid w:val="00A523C6"/>
    <w:rsid w:val="00A55508"/>
    <w:rsid w:val="00A56593"/>
    <w:rsid w:val="00A633F2"/>
    <w:rsid w:val="00A72A8F"/>
    <w:rsid w:val="00A734AE"/>
    <w:rsid w:val="00A84FAF"/>
    <w:rsid w:val="00A90CDF"/>
    <w:rsid w:val="00A92875"/>
    <w:rsid w:val="00A92BA7"/>
    <w:rsid w:val="00A93116"/>
    <w:rsid w:val="00A94652"/>
    <w:rsid w:val="00A951FD"/>
    <w:rsid w:val="00A97758"/>
    <w:rsid w:val="00A97894"/>
    <w:rsid w:val="00A97A07"/>
    <w:rsid w:val="00AA20F7"/>
    <w:rsid w:val="00AA2EF9"/>
    <w:rsid w:val="00AA482F"/>
    <w:rsid w:val="00AA510D"/>
    <w:rsid w:val="00AB0136"/>
    <w:rsid w:val="00AB157C"/>
    <w:rsid w:val="00AB28F3"/>
    <w:rsid w:val="00AB4B14"/>
    <w:rsid w:val="00AC0212"/>
    <w:rsid w:val="00AC05C9"/>
    <w:rsid w:val="00AC4BD9"/>
    <w:rsid w:val="00AC6872"/>
    <w:rsid w:val="00AC6B2D"/>
    <w:rsid w:val="00AC7A6F"/>
    <w:rsid w:val="00AD4D61"/>
    <w:rsid w:val="00AD4E0E"/>
    <w:rsid w:val="00AE1F3A"/>
    <w:rsid w:val="00AE28EC"/>
    <w:rsid w:val="00AE2E47"/>
    <w:rsid w:val="00AE343A"/>
    <w:rsid w:val="00AE70A7"/>
    <w:rsid w:val="00AF628C"/>
    <w:rsid w:val="00AF717D"/>
    <w:rsid w:val="00B01ACF"/>
    <w:rsid w:val="00B0370F"/>
    <w:rsid w:val="00B04BF8"/>
    <w:rsid w:val="00B06DC7"/>
    <w:rsid w:val="00B10EF1"/>
    <w:rsid w:val="00B139B1"/>
    <w:rsid w:val="00B23225"/>
    <w:rsid w:val="00B24201"/>
    <w:rsid w:val="00B25711"/>
    <w:rsid w:val="00B25850"/>
    <w:rsid w:val="00B26F22"/>
    <w:rsid w:val="00B306DE"/>
    <w:rsid w:val="00B31400"/>
    <w:rsid w:val="00B3359A"/>
    <w:rsid w:val="00B33E84"/>
    <w:rsid w:val="00B411EB"/>
    <w:rsid w:val="00B41876"/>
    <w:rsid w:val="00B4496A"/>
    <w:rsid w:val="00B70CD6"/>
    <w:rsid w:val="00B7396F"/>
    <w:rsid w:val="00B74277"/>
    <w:rsid w:val="00B7606F"/>
    <w:rsid w:val="00B83011"/>
    <w:rsid w:val="00B838ED"/>
    <w:rsid w:val="00B85C3E"/>
    <w:rsid w:val="00B90DC3"/>
    <w:rsid w:val="00B938AD"/>
    <w:rsid w:val="00B93F9E"/>
    <w:rsid w:val="00B97781"/>
    <w:rsid w:val="00BA26E8"/>
    <w:rsid w:val="00BA441B"/>
    <w:rsid w:val="00BA4E08"/>
    <w:rsid w:val="00BA6F57"/>
    <w:rsid w:val="00BB173D"/>
    <w:rsid w:val="00BB1C75"/>
    <w:rsid w:val="00BB3490"/>
    <w:rsid w:val="00BB5E73"/>
    <w:rsid w:val="00BB5ED3"/>
    <w:rsid w:val="00BB6C46"/>
    <w:rsid w:val="00BB6D0A"/>
    <w:rsid w:val="00BC2095"/>
    <w:rsid w:val="00BC434F"/>
    <w:rsid w:val="00BC59BE"/>
    <w:rsid w:val="00BC7C16"/>
    <w:rsid w:val="00BD0618"/>
    <w:rsid w:val="00BD5C3D"/>
    <w:rsid w:val="00BD6328"/>
    <w:rsid w:val="00BD6CA0"/>
    <w:rsid w:val="00BE498D"/>
    <w:rsid w:val="00BF06B2"/>
    <w:rsid w:val="00BF3466"/>
    <w:rsid w:val="00BF3D13"/>
    <w:rsid w:val="00BF5E4A"/>
    <w:rsid w:val="00BF7B1B"/>
    <w:rsid w:val="00C00012"/>
    <w:rsid w:val="00C026E9"/>
    <w:rsid w:val="00C031DF"/>
    <w:rsid w:val="00C03B44"/>
    <w:rsid w:val="00C12B6F"/>
    <w:rsid w:val="00C14375"/>
    <w:rsid w:val="00C17C38"/>
    <w:rsid w:val="00C30885"/>
    <w:rsid w:val="00C406AA"/>
    <w:rsid w:val="00C40BED"/>
    <w:rsid w:val="00C438F9"/>
    <w:rsid w:val="00C4590B"/>
    <w:rsid w:val="00C465BE"/>
    <w:rsid w:val="00C516C4"/>
    <w:rsid w:val="00C531D9"/>
    <w:rsid w:val="00C5784F"/>
    <w:rsid w:val="00C67384"/>
    <w:rsid w:val="00C73105"/>
    <w:rsid w:val="00C74B68"/>
    <w:rsid w:val="00C75312"/>
    <w:rsid w:val="00C75742"/>
    <w:rsid w:val="00C80DA1"/>
    <w:rsid w:val="00C8153C"/>
    <w:rsid w:val="00C843D3"/>
    <w:rsid w:val="00C85128"/>
    <w:rsid w:val="00C85FA1"/>
    <w:rsid w:val="00C91FF7"/>
    <w:rsid w:val="00C948C5"/>
    <w:rsid w:val="00CA08E2"/>
    <w:rsid w:val="00CA34AC"/>
    <w:rsid w:val="00CA45F4"/>
    <w:rsid w:val="00CA5322"/>
    <w:rsid w:val="00CA65F5"/>
    <w:rsid w:val="00CB3FE8"/>
    <w:rsid w:val="00CB403A"/>
    <w:rsid w:val="00CB42AA"/>
    <w:rsid w:val="00CB655F"/>
    <w:rsid w:val="00CC094F"/>
    <w:rsid w:val="00CC2E05"/>
    <w:rsid w:val="00CC6D50"/>
    <w:rsid w:val="00CD1FE9"/>
    <w:rsid w:val="00CD3FC6"/>
    <w:rsid w:val="00CD74CC"/>
    <w:rsid w:val="00CE086F"/>
    <w:rsid w:val="00CE2BB3"/>
    <w:rsid w:val="00CE3F94"/>
    <w:rsid w:val="00CE51EA"/>
    <w:rsid w:val="00CF2D60"/>
    <w:rsid w:val="00CF5C63"/>
    <w:rsid w:val="00CF5D55"/>
    <w:rsid w:val="00D010ED"/>
    <w:rsid w:val="00D01507"/>
    <w:rsid w:val="00D0152D"/>
    <w:rsid w:val="00D01A79"/>
    <w:rsid w:val="00D0379E"/>
    <w:rsid w:val="00D06B3E"/>
    <w:rsid w:val="00D127E0"/>
    <w:rsid w:val="00D134F5"/>
    <w:rsid w:val="00D14912"/>
    <w:rsid w:val="00D23AE1"/>
    <w:rsid w:val="00D24828"/>
    <w:rsid w:val="00D37E51"/>
    <w:rsid w:val="00D5111E"/>
    <w:rsid w:val="00D53155"/>
    <w:rsid w:val="00D60E7F"/>
    <w:rsid w:val="00D61F01"/>
    <w:rsid w:val="00D66B54"/>
    <w:rsid w:val="00D7134F"/>
    <w:rsid w:val="00D718C4"/>
    <w:rsid w:val="00D74A78"/>
    <w:rsid w:val="00D75620"/>
    <w:rsid w:val="00D75C47"/>
    <w:rsid w:val="00D81519"/>
    <w:rsid w:val="00D83AEA"/>
    <w:rsid w:val="00D87D4B"/>
    <w:rsid w:val="00D90789"/>
    <w:rsid w:val="00D910DE"/>
    <w:rsid w:val="00D9474E"/>
    <w:rsid w:val="00DB2550"/>
    <w:rsid w:val="00DB6F04"/>
    <w:rsid w:val="00DC0307"/>
    <w:rsid w:val="00DC2128"/>
    <w:rsid w:val="00DC60B0"/>
    <w:rsid w:val="00DD0480"/>
    <w:rsid w:val="00DE67D2"/>
    <w:rsid w:val="00DE6CE9"/>
    <w:rsid w:val="00DE7DEB"/>
    <w:rsid w:val="00DF27F5"/>
    <w:rsid w:val="00DF2C6C"/>
    <w:rsid w:val="00DF344C"/>
    <w:rsid w:val="00DF3F2B"/>
    <w:rsid w:val="00DF5FA6"/>
    <w:rsid w:val="00DF6ADE"/>
    <w:rsid w:val="00E02B1B"/>
    <w:rsid w:val="00E04F57"/>
    <w:rsid w:val="00E05888"/>
    <w:rsid w:val="00E06EB3"/>
    <w:rsid w:val="00E1104B"/>
    <w:rsid w:val="00E122FA"/>
    <w:rsid w:val="00E17064"/>
    <w:rsid w:val="00E203D1"/>
    <w:rsid w:val="00E211E1"/>
    <w:rsid w:val="00E239BC"/>
    <w:rsid w:val="00E23FC8"/>
    <w:rsid w:val="00E24DA3"/>
    <w:rsid w:val="00E24F64"/>
    <w:rsid w:val="00E27118"/>
    <w:rsid w:val="00E316CB"/>
    <w:rsid w:val="00E363F5"/>
    <w:rsid w:val="00E3641A"/>
    <w:rsid w:val="00E36649"/>
    <w:rsid w:val="00E45628"/>
    <w:rsid w:val="00E459B5"/>
    <w:rsid w:val="00E51953"/>
    <w:rsid w:val="00E6146E"/>
    <w:rsid w:val="00E61812"/>
    <w:rsid w:val="00E63B8D"/>
    <w:rsid w:val="00E64CF5"/>
    <w:rsid w:val="00E654BE"/>
    <w:rsid w:val="00E7401F"/>
    <w:rsid w:val="00E80B4D"/>
    <w:rsid w:val="00E812CF"/>
    <w:rsid w:val="00E8228B"/>
    <w:rsid w:val="00E82FC5"/>
    <w:rsid w:val="00E83827"/>
    <w:rsid w:val="00E83F28"/>
    <w:rsid w:val="00E85664"/>
    <w:rsid w:val="00E865F4"/>
    <w:rsid w:val="00E901C0"/>
    <w:rsid w:val="00E95A72"/>
    <w:rsid w:val="00EA0CE0"/>
    <w:rsid w:val="00EA2CB5"/>
    <w:rsid w:val="00EA4BE8"/>
    <w:rsid w:val="00EA5094"/>
    <w:rsid w:val="00EA6C43"/>
    <w:rsid w:val="00EB0C9C"/>
    <w:rsid w:val="00EB4153"/>
    <w:rsid w:val="00EB4B12"/>
    <w:rsid w:val="00EB72D4"/>
    <w:rsid w:val="00EC4490"/>
    <w:rsid w:val="00EC6592"/>
    <w:rsid w:val="00EC6F58"/>
    <w:rsid w:val="00EC725D"/>
    <w:rsid w:val="00ED2BC8"/>
    <w:rsid w:val="00ED5305"/>
    <w:rsid w:val="00EE1AEE"/>
    <w:rsid w:val="00EE5C2C"/>
    <w:rsid w:val="00EF1B6F"/>
    <w:rsid w:val="00EF20DB"/>
    <w:rsid w:val="00EF4187"/>
    <w:rsid w:val="00EF5A96"/>
    <w:rsid w:val="00F075E4"/>
    <w:rsid w:val="00F10ED0"/>
    <w:rsid w:val="00F1128F"/>
    <w:rsid w:val="00F13A37"/>
    <w:rsid w:val="00F14C6E"/>
    <w:rsid w:val="00F17292"/>
    <w:rsid w:val="00F22536"/>
    <w:rsid w:val="00F22F14"/>
    <w:rsid w:val="00F3080F"/>
    <w:rsid w:val="00F31A95"/>
    <w:rsid w:val="00F33C95"/>
    <w:rsid w:val="00F3503C"/>
    <w:rsid w:val="00F361C8"/>
    <w:rsid w:val="00F36888"/>
    <w:rsid w:val="00F36C56"/>
    <w:rsid w:val="00F42228"/>
    <w:rsid w:val="00F45647"/>
    <w:rsid w:val="00F476C8"/>
    <w:rsid w:val="00F47B23"/>
    <w:rsid w:val="00F5398C"/>
    <w:rsid w:val="00F54F54"/>
    <w:rsid w:val="00F62B90"/>
    <w:rsid w:val="00F636D9"/>
    <w:rsid w:val="00F65D94"/>
    <w:rsid w:val="00F66820"/>
    <w:rsid w:val="00F67F4A"/>
    <w:rsid w:val="00F7673B"/>
    <w:rsid w:val="00F76A77"/>
    <w:rsid w:val="00F8031B"/>
    <w:rsid w:val="00F857AF"/>
    <w:rsid w:val="00F94663"/>
    <w:rsid w:val="00F95341"/>
    <w:rsid w:val="00FA0DD0"/>
    <w:rsid w:val="00FA1568"/>
    <w:rsid w:val="00FA57A3"/>
    <w:rsid w:val="00FA5E32"/>
    <w:rsid w:val="00FA7B38"/>
    <w:rsid w:val="00FB0884"/>
    <w:rsid w:val="00FB2F88"/>
    <w:rsid w:val="00FB404E"/>
    <w:rsid w:val="00FB56F9"/>
    <w:rsid w:val="00FC5ECC"/>
    <w:rsid w:val="00FC66BD"/>
    <w:rsid w:val="00FD019B"/>
    <w:rsid w:val="00FD2DAA"/>
    <w:rsid w:val="00FD668C"/>
    <w:rsid w:val="00FD6D96"/>
    <w:rsid w:val="00FD7868"/>
    <w:rsid w:val="00FD7AB8"/>
    <w:rsid w:val="00FF0115"/>
    <w:rsid w:val="00FF16E1"/>
    <w:rsid w:val="00FF3FE9"/>
    <w:rsid w:val="00FF659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F21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link w:val="FooterChar"/>
    <w:uiPriority w:val="99"/>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character" w:customStyle="1" w:styleId="FooterChar">
    <w:name w:val="Footer Char"/>
    <w:basedOn w:val="DefaultParagraphFont"/>
    <w:link w:val="Footer"/>
    <w:uiPriority w:val="99"/>
    <w:rsid w:val="003631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2017-11-02T07:00:00+00:00</OpenedDate>
    <Date1 xmlns="dc463f71-b30c-4ab2-9473-d307f9d35888">2017-12-20T08:00:00+00:00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171094</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76D99B05A6274F9E9ECE3862A2414F" ma:contentTypeVersion="104" ma:contentTypeDescription="" ma:contentTypeScope="" ma:versionID="5ca79f36ea90b79fa685ebacb369a1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7FCE323-5B34-4132-8CFD-57B0A55F0070}">
  <ds:schemaRefs>
    <ds:schemaRef ds:uri="http://purl.org/dc/elements/1.1/"/>
    <ds:schemaRef ds:uri="http://schemas.microsoft.com/office/2006/metadata/properties"/>
    <ds:schemaRef ds:uri="http://purl.org/dc/terms/"/>
    <ds:schemaRef ds:uri="http://schemas.openxmlformats.org/package/2006/metadata/core-properties"/>
    <ds:schemaRef ds:uri="751276d0-61bc-4dad-b75c-21dfd12630ad"/>
    <ds:schemaRef ds:uri="http://schemas.microsoft.com/office/2006/documentManagement/types"/>
    <ds:schemaRef ds:uri="ADBD1999-B2F5-475D-8642-96C18099A22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1DF372F-5F23-4DD6-BCCA-FBFC671B0AFD}">
  <ds:schemaRefs>
    <ds:schemaRef ds:uri="http://schemas.microsoft.com/sharepoint/v3/contenttype/forms"/>
  </ds:schemaRefs>
</ds:datastoreItem>
</file>

<file path=customXml/itemProps3.xml><?xml version="1.0" encoding="utf-8"?>
<ds:datastoreItem xmlns:ds="http://schemas.openxmlformats.org/officeDocument/2006/customXml" ds:itemID="{B3EC1A52-A2BC-45B3-B406-6F8D3E936307}"/>
</file>

<file path=customXml/itemProps4.xml><?xml version="1.0" encoding="utf-8"?>
<ds:datastoreItem xmlns:ds="http://schemas.openxmlformats.org/officeDocument/2006/customXml" ds:itemID="{E1DE88FD-696F-40F2-85C2-A2652509AB14}">
  <ds:schemaRefs>
    <ds:schemaRef ds:uri="http://schemas.openxmlformats.org/officeDocument/2006/bibliography"/>
  </ds:schemaRefs>
</ds:datastoreItem>
</file>

<file path=customXml/itemProps5.xml><?xml version="1.0" encoding="utf-8"?>
<ds:datastoreItem xmlns:ds="http://schemas.openxmlformats.org/officeDocument/2006/customXml" ds:itemID="{A41D6C4D-1EFC-4527-86A9-542D49748C8E}">
  <ds:schemaRefs>
    <ds:schemaRef ds:uri="http://schemas.openxmlformats.org/officeDocument/2006/bibliography"/>
  </ds:schemaRefs>
</ds:datastoreItem>
</file>

<file path=customXml/itemProps6.xml><?xml version="1.0" encoding="utf-8"?>
<ds:datastoreItem xmlns:ds="http://schemas.openxmlformats.org/officeDocument/2006/customXml" ds:itemID="{F537D7B9-1F8A-4556-BD70-0F853B5FBA53}"/>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7514</Characters>
  <Application>Microsoft Office Word</Application>
  <DocSecurity>0</DocSecurity>
  <Lines>170</Lines>
  <Paragraphs>61</Paragraphs>
  <ScaleCrop>false</ScaleCrop>
  <HeadingPairs>
    <vt:vector size="2" baseType="variant">
      <vt:variant>
        <vt:lpstr>Title</vt:lpstr>
      </vt:variant>
      <vt:variant>
        <vt:i4>1</vt:i4>
      </vt:variant>
    </vt:vector>
  </HeadingPairs>
  <TitlesOfParts>
    <vt:vector size="1" baseType="lpstr">
      <vt:lpstr>UE-171087 UE-171094 PSE Electric BCP memo</vt:lpstr>
    </vt:vector>
  </TitlesOfParts>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UE-171087 UE-171094 PSE Electric BCP memo</dc:title>
  <dc:creator/>
  <cp:lastModifiedBy/>
  <cp:revision>1</cp:revision>
  <dcterms:created xsi:type="dcterms:W3CDTF">2017-12-14T22:28:00Z</dcterms:created>
  <dcterms:modified xsi:type="dcterms:W3CDTF">2017-12-14T22:28:00Z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0x0101006E56B4D1795A2E4DB2F0B01679ED314A00C276D99B05A6274F9E9ECE3862A2414F</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y fmtid="{D5CDD505-2E9C-101B-9397-08002B2CF9AE}" pid="7" name="ItemID">
    <vt:lpwstr>D12</vt:lpwstr>
  </property>
  <property fmtid="{D5CDD505-2E9C-101B-9397-08002B2CF9AE}" pid="8" name="IsEFSEC">
    <vt:bool>false</vt:bool>
  </property>
</Properties>
</file>