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100007" w:rsidP="00142338">
      <w:pPr>
        <w:rPr>
          <w:sz w:val="24"/>
        </w:rPr>
      </w:pPr>
      <w:r>
        <w:rPr>
          <w:sz w:val="24"/>
        </w:rPr>
        <w:t>October 31</w:t>
      </w:r>
      <w:r w:rsidR="00536FF3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100007">
        <w:rPr>
          <w:sz w:val="24"/>
        </w:rPr>
        <w:t>September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>dual deferral a</w:t>
      </w:r>
      <w:bookmarkStart w:id="0" w:name="_GoBack"/>
      <w:bookmarkEnd w:id="0"/>
      <w:r w:rsidR="00224BAF">
        <w:rPr>
          <w:sz w:val="24"/>
        </w:rPr>
        <w:t xml:space="preserve">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E3769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100007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3841"/>
    <o:shapelayout v:ext="edit">
      <o:idmap v:ext="edit" data="1"/>
    </o:shapelayout>
  </w:shapeDefaults>
  <w:decimalSymbol w:val="."/>
  <w:listSeparator w:val=",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353524E5481F41A9BE772FE74260DC" ma:contentTypeVersion="104" ma:contentTypeDescription="" ma:contentTypeScope="" ma:versionID="f4aac859169fced59afdc5c8837322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161173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770FDA-1A6C-4A27-A576-7E951E0F9959}"/>
</file>

<file path=customXml/itemProps2.xml><?xml version="1.0" encoding="utf-8"?>
<ds:datastoreItem xmlns:ds="http://schemas.openxmlformats.org/officeDocument/2006/customXml" ds:itemID="{A1080C64-102C-4470-AC52-10C6B6351F4E}"/>
</file>

<file path=customXml/itemProps3.xml><?xml version="1.0" encoding="utf-8"?>
<ds:datastoreItem xmlns:ds="http://schemas.openxmlformats.org/officeDocument/2006/customXml" ds:itemID="{837EA754-4DCF-4456-8150-FF4C98B57D89}"/>
</file>

<file path=customXml/itemProps4.xml><?xml version="1.0" encoding="utf-8"?>
<ds:datastoreItem xmlns:ds="http://schemas.openxmlformats.org/officeDocument/2006/customXml" ds:itemID="{513DD94B-33B6-4E8F-A4FD-5140C48DB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6</cp:revision>
  <cp:lastPrinted>2016-01-21T19:02:00Z</cp:lastPrinted>
  <dcterms:created xsi:type="dcterms:W3CDTF">2016-08-09T20:44:00Z</dcterms:created>
  <dcterms:modified xsi:type="dcterms:W3CDTF">2016-10-24T18:48:00Z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0x0101006E56B4D1795A2E4DB2F0B01679ED314A0037353524E5481F41A9BE772FE74260DC</vt:lpwstr>
  </property>
  <property fmtid="{D5CDD505-2E9C-101B-9397-08002B2CF9AE}" pid="3" name="_docset_NoMedatataSyncRequired">
    <vt:lpwstr>False</vt:lpwstr>
  </property>
</Properties>
</file>