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D13A" w14:textId="065A76AF" w:rsidR="00633FE5" w:rsidRPr="00474A0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C9072F">
        <w:rPr>
          <w:rFonts w:ascii="Times New Roman" w:hAnsi="Times New Roman"/>
          <w:bCs/>
          <w:sz w:val="24"/>
        </w:rPr>
        <w:t>Agenda Date:</w:t>
      </w:r>
      <w:r w:rsidRPr="00474A0A">
        <w:rPr>
          <w:rFonts w:ascii="Times New Roman" w:hAnsi="Times New Roman"/>
          <w:b/>
          <w:bCs/>
          <w:sz w:val="24"/>
        </w:rPr>
        <w:tab/>
      </w:r>
      <w:r w:rsidRPr="00474A0A">
        <w:rPr>
          <w:rFonts w:ascii="Times New Roman" w:hAnsi="Times New Roman"/>
          <w:b/>
          <w:bCs/>
          <w:sz w:val="24"/>
        </w:rPr>
        <w:tab/>
      </w:r>
      <w:r w:rsidR="002352C4" w:rsidRPr="002352C4">
        <w:rPr>
          <w:rFonts w:ascii="Times New Roman" w:hAnsi="Times New Roman"/>
          <w:bCs/>
          <w:sz w:val="24"/>
        </w:rPr>
        <w:t>November 10</w:t>
      </w:r>
      <w:r w:rsidR="00A77552" w:rsidRPr="002352C4">
        <w:rPr>
          <w:rFonts w:ascii="Times New Roman" w:hAnsi="Times New Roman"/>
          <w:bCs/>
          <w:sz w:val="24"/>
        </w:rPr>
        <w:t>, 201</w:t>
      </w:r>
      <w:r w:rsidR="008375B6" w:rsidRPr="002352C4">
        <w:rPr>
          <w:rFonts w:ascii="Times New Roman" w:hAnsi="Times New Roman"/>
          <w:bCs/>
          <w:sz w:val="24"/>
        </w:rPr>
        <w:t>6</w:t>
      </w:r>
    </w:p>
    <w:p w14:paraId="04D5D13B" w14:textId="52EE6E5B" w:rsidR="00633FE5" w:rsidRPr="004970DA" w:rsidRDefault="0094336B"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Item Number</w:t>
      </w:r>
      <w:r w:rsidR="00D34FA3">
        <w:rPr>
          <w:rFonts w:ascii="Times New Roman" w:hAnsi="Times New Roman"/>
          <w:sz w:val="24"/>
        </w:rPr>
        <w:t>s</w:t>
      </w:r>
      <w:r w:rsidR="00633FE5" w:rsidRPr="004970DA">
        <w:rPr>
          <w:rFonts w:ascii="Times New Roman" w:hAnsi="Times New Roman"/>
          <w:sz w:val="24"/>
        </w:rPr>
        <w:t>:</w:t>
      </w:r>
      <w:r w:rsidR="00633FE5" w:rsidRPr="004970DA">
        <w:rPr>
          <w:rFonts w:ascii="Times New Roman" w:hAnsi="Times New Roman"/>
          <w:sz w:val="24"/>
        </w:rPr>
        <w:tab/>
      </w:r>
      <w:bookmarkStart w:id="0" w:name="_GoBack"/>
      <w:bookmarkEnd w:id="0"/>
      <w:r w:rsidR="00231020" w:rsidRPr="00231020">
        <w:rPr>
          <w:rFonts w:ascii="Times New Roman" w:hAnsi="Times New Roman"/>
          <w:sz w:val="24"/>
        </w:rPr>
        <w:t>A</w:t>
      </w:r>
      <w:r w:rsidR="0005340D">
        <w:rPr>
          <w:rFonts w:ascii="Times New Roman" w:hAnsi="Times New Roman"/>
          <w:sz w:val="24"/>
        </w:rPr>
        <w:t>1</w:t>
      </w:r>
      <w:r w:rsidR="00D34FA3">
        <w:rPr>
          <w:rFonts w:ascii="Times New Roman" w:hAnsi="Times New Roman"/>
          <w:sz w:val="24"/>
        </w:rPr>
        <w:t xml:space="preserve"> and </w:t>
      </w:r>
      <w:r w:rsidR="003F73F7">
        <w:rPr>
          <w:rFonts w:ascii="Times New Roman" w:hAnsi="Times New Roman"/>
          <w:sz w:val="24"/>
        </w:rPr>
        <w:t>A</w:t>
      </w:r>
      <w:r w:rsidR="0005340D">
        <w:rPr>
          <w:rFonts w:ascii="Times New Roman" w:hAnsi="Times New Roman"/>
          <w:sz w:val="24"/>
        </w:rPr>
        <w:t>2</w:t>
      </w:r>
    </w:p>
    <w:p w14:paraId="04D5D13C"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3D" w14:textId="3CF25D84"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bCs/>
          <w:sz w:val="24"/>
        </w:rPr>
      </w:pPr>
      <w:r w:rsidRPr="004970DA">
        <w:rPr>
          <w:rFonts w:ascii="Times New Roman" w:hAnsi="Times New Roman"/>
          <w:b/>
          <w:bCs/>
          <w:sz w:val="24"/>
        </w:rPr>
        <w:t>Docket</w:t>
      </w:r>
      <w:r w:rsidR="00B04CEE">
        <w:rPr>
          <w:rFonts w:ascii="Times New Roman" w:hAnsi="Times New Roman"/>
          <w:b/>
          <w:bCs/>
          <w:sz w:val="24"/>
        </w:rPr>
        <w:t>s</w:t>
      </w:r>
      <w:r w:rsidRPr="004970DA">
        <w:rPr>
          <w:rFonts w:ascii="Times New Roman" w:hAnsi="Times New Roman"/>
          <w:b/>
          <w:bCs/>
          <w:sz w:val="24"/>
        </w:rPr>
        <w:t xml:space="preserve">: </w:t>
      </w:r>
      <w:r w:rsidRPr="004970DA">
        <w:rPr>
          <w:rFonts w:ascii="Times New Roman" w:hAnsi="Times New Roman"/>
          <w:b/>
          <w:bCs/>
          <w:sz w:val="24"/>
        </w:rPr>
        <w:tab/>
      </w:r>
      <w:r w:rsidRPr="004970DA">
        <w:rPr>
          <w:rFonts w:ascii="Times New Roman" w:hAnsi="Times New Roman"/>
          <w:b/>
          <w:bCs/>
          <w:sz w:val="24"/>
        </w:rPr>
        <w:tab/>
      </w:r>
      <w:r w:rsidR="0005340D" w:rsidRPr="004970DA">
        <w:rPr>
          <w:rFonts w:ascii="Times New Roman" w:hAnsi="Times New Roman"/>
          <w:b/>
          <w:bCs/>
          <w:sz w:val="24"/>
        </w:rPr>
        <w:t>U</w:t>
      </w:r>
      <w:r w:rsidR="0005340D">
        <w:rPr>
          <w:rFonts w:ascii="Times New Roman" w:hAnsi="Times New Roman"/>
          <w:b/>
          <w:bCs/>
          <w:sz w:val="24"/>
        </w:rPr>
        <w:t>E</w:t>
      </w:r>
      <w:r w:rsidR="0005340D" w:rsidRPr="004970DA">
        <w:rPr>
          <w:rFonts w:ascii="Times New Roman" w:hAnsi="Times New Roman"/>
          <w:b/>
          <w:bCs/>
          <w:sz w:val="24"/>
        </w:rPr>
        <w:t>-</w:t>
      </w:r>
      <w:r w:rsidR="0005340D">
        <w:rPr>
          <w:rFonts w:ascii="Times New Roman" w:hAnsi="Times New Roman"/>
          <w:b/>
          <w:bCs/>
          <w:sz w:val="24"/>
        </w:rPr>
        <w:t xml:space="preserve">161135 &amp; </w:t>
      </w:r>
      <w:r w:rsidR="003F73F7">
        <w:rPr>
          <w:rFonts w:ascii="Times New Roman" w:hAnsi="Times New Roman"/>
          <w:b/>
          <w:bCs/>
          <w:sz w:val="24"/>
        </w:rPr>
        <w:t>U</w:t>
      </w:r>
      <w:r w:rsidR="00FF4CF7">
        <w:rPr>
          <w:rFonts w:ascii="Times New Roman" w:hAnsi="Times New Roman"/>
          <w:b/>
          <w:bCs/>
          <w:sz w:val="24"/>
        </w:rPr>
        <w:t>E</w:t>
      </w:r>
      <w:r w:rsidR="003F73F7">
        <w:rPr>
          <w:rFonts w:ascii="Times New Roman" w:hAnsi="Times New Roman"/>
          <w:b/>
          <w:bCs/>
          <w:sz w:val="24"/>
        </w:rPr>
        <w:t>-16</w:t>
      </w:r>
      <w:r w:rsidR="00FF4CF7">
        <w:rPr>
          <w:rFonts w:ascii="Times New Roman" w:hAnsi="Times New Roman"/>
          <w:b/>
          <w:bCs/>
          <w:sz w:val="24"/>
        </w:rPr>
        <w:t>1112</w:t>
      </w:r>
      <w:r w:rsidR="003F73F7">
        <w:rPr>
          <w:rFonts w:ascii="Times New Roman" w:hAnsi="Times New Roman"/>
          <w:b/>
          <w:bCs/>
          <w:sz w:val="24"/>
        </w:rPr>
        <w:t xml:space="preserve"> </w:t>
      </w:r>
    </w:p>
    <w:p w14:paraId="04D5D13E" w14:textId="6410FF4F"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t>Puget Sound Energy</w:t>
      </w:r>
    </w:p>
    <w:p w14:paraId="04D5D13F" w14:textId="77777777" w:rsidR="00633FE5" w:rsidRPr="004970DA" w:rsidRDefault="00633FE5"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p>
    <w:p w14:paraId="04D5D141" w14:textId="11916E47" w:rsidR="009B602E" w:rsidRPr="004970DA" w:rsidRDefault="00F8648D" w:rsidP="00FF4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26" w:lineRule="auto"/>
        <w:rPr>
          <w:rFonts w:ascii="Times New Roman" w:hAnsi="Times New Roman"/>
          <w:sz w:val="24"/>
        </w:rPr>
      </w:pPr>
      <w:r>
        <w:rPr>
          <w:rFonts w:ascii="Times New Roman" w:hAnsi="Times New Roman"/>
          <w:sz w:val="24"/>
          <w:u w:val="single"/>
        </w:rPr>
        <w:t>Staff</w:t>
      </w:r>
      <w:r w:rsidR="00633FE5" w:rsidRPr="004970DA">
        <w:rPr>
          <w:rFonts w:ascii="Times New Roman" w:hAnsi="Times New Roman"/>
          <w:sz w:val="24"/>
          <w:u w:val="single"/>
        </w:rPr>
        <w:t>:</w:t>
      </w:r>
      <w:r w:rsidR="00633FE5" w:rsidRPr="004970DA">
        <w:rPr>
          <w:rFonts w:ascii="Times New Roman" w:hAnsi="Times New Roman"/>
          <w:sz w:val="24"/>
        </w:rPr>
        <w:tab/>
      </w:r>
      <w:r w:rsidR="00633FE5" w:rsidRPr="004970DA">
        <w:rPr>
          <w:rFonts w:ascii="Times New Roman" w:hAnsi="Times New Roman"/>
          <w:sz w:val="24"/>
        </w:rPr>
        <w:tab/>
      </w:r>
      <w:r w:rsidR="00633FE5" w:rsidRPr="004970DA">
        <w:rPr>
          <w:rFonts w:ascii="Times New Roman" w:hAnsi="Times New Roman"/>
          <w:sz w:val="24"/>
        </w:rPr>
        <w:tab/>
      </w:r>
      <w:r w:rsidR="00131690">
        <w:rPr>
          <w:rFonts w:ascii="Times New Roman" w:hAnsi="Times New Roman"/>
          <w:sz w:val="24"/>
        </w:rPr>
        <w:t>David Gomez; Assistant Power Supply Manager</w:t>
      </w:r>
    </w:p>
    <w:p w14:paraId="04D5D142" w14:textId="77777777"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4" w14:textId="77777777" w:rsidR="00633FE5" w:rsidRPr="00025483" w:rsidRDefault="00633FE5" w:rsidP="00D956A1">
      <w:pPr>
        <w:pStyle w:val="Heading1"/>
        <w:spacing w:before="120" w:after="120"/>
        <w:rPr>
          <w:rStyle w:val="BookTitle"/>
        </w:rPr>
      </w:pPr>
      <w:r w:rsidRPr="00025483">
        <w:rPr>
          <w:rStyle w:val="BookTitle"/>
        </w:rPr>
        <w:t>Recommendation</w:t>
      </w:r>
    </w:p>
    <w:p w14:paraId="04D5D146" w14:textId="4DE96B73" w:rsidR="00F273C6" w:rsidRDefault="009467D6" w:rsidP="00D95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r w:rsidRPr="008007AF">
        <w:rPr>
          <w:rFonts w:ascii="Times New Roman" w:hAnsi="Times New Roman"/>
          <w:sz w:val="24"/>
        </w:rPr>
        <w:t>Take no action</w:t>
      </w:r>
      <w:r w:rsidR="004B3D34">
        <w:rPr>
          <w:rFonts w:ascii="Times New Roman" w:hAnsi="Times New Roman"/>
          <w:sz w:val="24"/>
        </w:rPr>
        <w:t xml:space="preserve"> thereby</w:t>
      </w:r>
      <w:r w:rsidRPr="008007AF">
        <w:rPr>
          <w:rFonts w:ascii="Times New Roman" w:hAnsi="Times New Roman"/>
          <w:sz w:val="24"/>
        </w:rPr>
        <w:t xml:space="preserve"> allowing the </w:t>
      </w:r>
      <w:r w:rsidR="000A681F" w:rsidRPr="008007AF">
        <w:rPr>
          <w:rFonts w:ascii="Times New Roman" w:hAnsi="Times New Roman"/>
          <w:sz w:val="24"/>
        </w:rPr>
        <w:t xml:space="preserve">tariff </w:t>
      </w:r>
      <w:r w:rsidRPr="008007AF">
        <w:rPr>
          <w:rFonts w:ascii="Times New Roman" w:hAnsi="Times New Roman"/>
          <w:sz w:val="24"/>
        </w:rPr>
        <w:t>revis</w:t>
      </w:r>
      <w:r w:rsidR="000A681F" w:rsidRPr="008007AF">
        <w:rPr>
          <w:rFonts w:ascii="Times New Roman" w:hAnsi="Times New Roman"/>
          <w:sz w:val="24"/>
        </w:rPr>
        <w:t>ions</w:t>
      </w:r>
      <w:r w:rsidRPr="008007AF">
        <w:rPr>
          <w:rFonts w:ascii="Times New Roman" w:hAnsi="Times New Roman"/>
          <w:sz w:val="24"/>
        </w:rPr>
        <w:t xml:space="preserve"> </w:t>
      </w:r>
      <w:r w:rsidR="004B3D34">
        <w:rPr>
          <w:rFonts w:ascii="Times New Roman" w:hAnsi="Times New Roman"/>
          <w:sz w:val="24"/>
        </w:rPr>
        <w:t>filed in Docket U</w:t>
      </w:r>
      <w:r w:rsidR="00FF4CF7">
        <w:rPr>
          <w:rFonts w:ascii="Times New Roman" w:hAnsi="Times New Roman"/>
          <w:sz w:val="24"/>
        </w:rPr>
        <w:t>E</w:t>
      </w:r>
      <w:r w:rsidR="004B3D34">
        <w:rPr>
          <w:rFonts w:ascii="Times New Roman" w:hAnsi="Times New Roman"/>
          <w:sz w:val="24"/>
        </w:rPr>
        <w:t>-</w:t>
      </w:r>
      <w:r w:rsidR="00A11266">
        <w:rPr>
          <w:rFonts w:ascii="Times New Roman" w:hAnsi="Times New Roman"/>
          <w:sz w:val="24"/>
        </w:rPr>
        <w:t>1</w:t>
      </w:r>
      <w:r w:rsidR="00131690">
        <w:rPr>
          <w:rFonts w:ascii="Times New Roman" w:hAnsi="Times New Roman"/>
          <w:sz w:val="24"/>
        </w:rPr>
        <w:t>61</w:t>
      </w:r>
      <w:r w:rsidR="00FF4CF7">
        <w:rPr>
          <w:rFonts w:ascii="Times New Roman" w:hAnsi="Times New Roman"/>
          <w:sz w:val="24"/>
        </w:rPr>
        <w:t>135</w:t>
      </w:r>
      <w:r w:rsidR="004B3D34">
        <w:rPr>
          <w:rFonts w:ascii="Times New Roman" w:hAnsi="Times New Roman"/>
          <w:sz w:val="24"/>
        </w:rPr>
        <w:t xml:space="preserve"> </w:t>
      </w:r>
      <w:r w:rsidRPr="008007AF">
        <w:rPr>
          <w:rFonts w:ascii="Times New Roman" w:hAnsi="Times New Roman"/>
          <w:sz w:val="24"/>
        </w:rPr>
        <w:t>to become effective</w:t>
      </w:r>
      <w:r w:rsidRPr="009467D6">
        <w:rPr>
          <w:rFonts w:ascii="Times New Roman" w:hAnsi="Times New Roman"/>
          <w:sz w:val="24"/>
        </w:rPr>
        <w:t xml:space="preserve"> by operation of law</w:t>
      </w:r>
      <w:r w:rsidR="00D73959">
        <w:rPr>
          <w:rFonts w:ascii="Times New Roman" w:hAnsi="Times New Roman"/>
          <w:sz w:val="24"/>
        </w:rPr>
        <w:t xml:space="preserve"> and i</w:t>
      </w:r>
      <w:r w:rsidR="009D1BB7" w:rsidRPr="009D1BB7">
        <w:rPr>
          <w:rFonts w:ascii="Times New Roman" w:hAnsi="Times New Roman"/>
          <w:sz w:val="24"/>
        </w:rPr>
        <w:t xml:space="preserve">ssue an </w:t>
      </w:r>
      <w:r w:rsidR="00D73959">
        <w:rPr>
          <w:rFonts w:ascii="Times New Roman" w:hAnsi="Times New Roman"/>
          <w:sz w:val="24"/>
        </w:rPr>
        <w:t>o</w:t>
      </w:r>
      <w:r w:rsidR="009D1BB7" w:rsidRPr="009D1BB7">
        <w:rPr>
          <w:rFonts w:ascii="Times New Roman" w:hAnsi="Times New Roman"/>
          <w:sz w:val="24"/>
        </w:rPr>
        <w:t xml:space="preserve">rder </w:t>
      </w:r>
      <w:r w:rsidR="00D73959">
        <w:rPr>
          <w:rFonts w:ascii="Times New Roman" w:hAnsi="Times New Roman"/>
          <w:sz w:val="24"/>
        </w:rPr>
        <w:t>g</w:t>
      </w:r>
      <w:r w:rsidR="009D1BB7" w:rsidRPr="009D1BB7">
        <w:rPr>
          <w:rFonts w:ascii="Times New Roman" w:hAnsi="Times New Roman"/>
          <w:sz w:val="24"/>
        </w:rPr>
        <w:t xml:space="preserve">ranting </w:t>
      </w:r>
      <w:r w:rsidR="00D73959">
        <w:rPr>
          <w:rFonts w:ascii="Times New Roman" w:hAnsi="Times New Roman"/>
          <w:sz w:val="24"/>
        </w:rPr>
        <w:t>Puget Sound Energy</w:t>
      </w:r>
      <w:r w:rsidR="00F8648D">
        <w:rPr>
          <w:rFonts w:ascii="Times New Roman" w:hAnsi="Times New Roman"/>
          <w:sz w:val="24"/>
        </w:rPr>
        <w:t>’</w:t>
      </w:r>
      <w:r w:rsidR="00D73959">
        <w:rPr>
          <w:rFonts w:ascii="Times New Roman" w:hAnsi="Times New Roman"/>
          <w:sz w:val="24"/>
        </w:rPr>
        <w:t xml:space="preserve">s </w:t>
      </w:r>
      <w:r w:rsidR="009D1BB7" w:rsidRPr="009D1BB7">
        <w:rPr>
          <w:rFonts w:ascii="Times New Roman" w:hAnsi="Times New Roman"/>
          <w:sz w:val="24"/>
        </w:rPr>
        <w:t xml:space="preserve">petition </w:t>
      </w:r>
      <w:r w:rsidR="0042240E">
        <w:rPr>
          <w:rFonts w:ascii="Times New Roman" w:hAnsi="Times New Roman"/>
          <w:sz w:val="24"/>
        </w:rPr>
        <w:t xml:space="preserve">in </w:t>
      </w:r>
      <w:r w:rsidR="00D34FA3">
        <w:rPr>
          <w:rFonts w:ascii="Times New Roman" w:hAnsi="Times New Roman"/>
          <w:sz w:val="24"/>
        </w:rPr>
        <w:t xml:space="preserve">    </w:t>
      </w:r>
      <w:r w:rsidR="0042240E">
        <w:rPr>
          <w:rFonts w:ascii="Times New Roman" w:hAnsi="Times New Roman"/>
          <w:sz w:val="24"/>
        </w:rPr>
        <w:t xml:space="preserve">UE-161112, </w:t>
      </w:r>
      <w:r w:rsidR="00B01E97">
        <w:rPr>
          <w:rFonts w:ascii="Times New Roman" w:hAnsi="Times New Roman"/>
          <w:sz w:val="24"/>
        </w:rPr>
        <w:t xml:space="preserve">authorizing </w:t>
      </w:r>
      <w:r w:rsidR="009D1BB7">
        <w:rPr>
          <w:rFonts w:ascii="Times New Roman" w:hAnsi="Times New Roman"/>
          <w:sz w:val="24"/>
        </w:rPr>
        <w:t>defer</w:t>
      </w:r>
      <w:r w:rsidR="00B01E97">
        <w:rPr>
          <w:rFonts w:ascii="Times New Roman" w:hAnsi="Times New Roman"/>
          <w:sz w:val="24"/>
        </w:rPr>
        <w:t>ral</w:t>
      </w:r>
      <w:r w:rsidR="009D1BB7">
        <w:rPr>
          <w:rFonts w:ascii="Times New Roman" w:hAnsi="Times New Roman"/>
          <w:sz w:val="24"/>
        </w:rPr>
        <w:t xml:space="preserve"> </w:t>
      </w:r>
      <w:r w:rsidR="00B01E97">
        <w:rPr>
          <w:rFonts w:ascii="Times New Roman" w:hAnsi="Times New Roman"/>
          <w:sz w:val="24"/>
        </w:rPr>
        <w:t xml:space="preserve">of </w:t>
      </w:r>
      <w:r w:rsidR="00D73959">
        <w:rPr>
          <w:rFonts w:ascii="Times New Roman" w:hAnsi="Times New Roman"/>
          <w:sz w:val="24"/>
        </w:rPr>
        <w:t xml:space="preserve">variances in the revenue it collects under its Schedule No. 95 for the </w:t>
      </w:r>
      <w:r w:rsidR="00375900">
        <w:rPr>
          <w:rFonts w:ascii="Times New Roman" w:hAnsi="Times New Roman"/>
          <w:sz w:val="24"/>
        </w:rPr>
        <w:t>f</w:t>
      </w:r>
      <w:r w:rsidR="009D1BB7">
        <w:rPr>
          <w:rFonts w:ascii="Times New Roman" w:hAnsi="Times New Roman"/>
          <w:sz w:val="24"/>
        </w:rPr>
        <w:t xml:space="preserve">ixed </w:t>
      </w:r>
      <w:r w:rsidR="00375900">
        <w:rPr>
          <w:rFonts w:ascii="Times New Roman" w:hAnsi="Times New Roman"/>
          <w:sz w:val="24"/>
        </w:rPr>
        <w:t>p</w:t>
      </w:r>
      <w:r w:rsidR="009D1BB7">
        <w:rPr>
          <w:rFonts w:ascii="Times New Roman" w:hAnsi="Times New Roman"/>
          <w:sz w:val="24"/>
        </w:rPr>
        <w:t xml:space="preserve">roduction </w:t>
      </w:r>
      <w:r w:rsidR="00D73959">
        <w:rPr>
          <w:rFonts w:ascii="Times New Roman" w:hAnsi="Times New Roman"/>
          <w:sz w:val="24"/>
        </w:rPr>
        <w:t xml:space="preserve">cost portion of its power cost baseline </w:t>
      </w:r>
      <w:r w:rsidR="009D1BB7" w:rsidRPr="009D1BB7">
        <w:rPr>
          <w:rFonts w:ascii="Times New Roman" w:hAnsi="Times New Roman"/>
          <w:sz w:val="24"/>
        </w:rPr>
        <w:t>due to be removed from PSE</w:t>
      </w:r>
      <w:r w:rsidR="00F8648D">
        <w:rPr>
          <w:rFonts w:ascii="Times New Roman" w:hAnsi="Times New Roman"/>
          <w:sz w:val="24"/>
        </w:rPr>
        <w:t>’</w:t>
      </w:r>
      <w:r w:rsidR="009D1BB7" w:rsidRPr="009D1BB7">
        <w:rPr>
          <w:rFonts w:ascii="Times New Roman" w:hAnsi="Times New Roman"/>
          <w:sz w:val="24"/>
        </w:rPr>
        <w:t xml:space="preserve">s Power Cost Adjustment </w:t>
      </w:r>
      <w:r w:rsidR="00214099">
        <w:rPr>
          <w:rFonts w:ascii="Times New Roman" w:hAnsi="Times New Roman"/>
          <w:sz w:val="24"/>
        </w:rPr>
        <w:t xml:space="preserve">Mechanism </w:t>
      </w:r>
      <w:r w:rsidR="00F8648D">
        <w:rPr>
          <w:rFonts w:ascii="Times New Roman" w:hAnsi="Times New Roman"/>
          <w:sz w:val="24"/>
        </w:rPr>
        <w:t>(PCA</w:t>
      </w:r>
      <w:r w:rsidR="0016002B" w:rsidRPr="009D1BB7">
        <w:rPr>
          <w:rFonts w:ascii="Times New Roman" w:hAnsi="Times New Roman"/>
          <w:sz w:val="24"/>
        </w:rPr>
        <w:t>)</w:t>
      </w:r>
      <w:r w:rsidR="00214099">
        <w:rPr>
          <w:rFonts w:ascii="Times New Roman" w:hAnsi="Times New Roman"/>
          <w:sz w:val="24"/>
        </w:rPr>
        <w:t xml:space="preserve"> </w:t>
      </w:r>
      <w:r w:rsidR="009D1BB7" w:rsidRPr="009D1BB7">
        <w:rPr>
          <w:rFonts w:ascii="Times New Roman" w:hAnsi="Times New Roman"/>
          <w:sz w:val="24"/>
        </w:rPr>
        <w:t>beginning January 1, 2017</w:t>
      </w:r>
      <w:r w:rsidR="00D73959">
        <w:rPr>
          <w:rFonts w:ascii="Times New Roman" w:hAnsi="Times New Roman"/>
          <w:sz w:val="24"/>
        </w:rPr>
        <w:t>.</w:t>
      </w:r>
      <w:r w:rsidR="009D1BB7">
        <w:rPr>
          <w:rFonts w:ascii="Times New Roman" w:hAnsi="Times New Roman"/>
          <w:sz w:val="24"/>
        </w:rPr>
        <w:t xml:space="preserve">  </w:t>
      </w:r>
    </w:p>
    <w:p w14:paraId="0FDE0364" w14:textId="77777777" w:rsidR="00F947DE" w:rsidRPr="004970DA" w:rsidRDefault="00F947DE" w:rsidP="00D95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sz w:val="24"/>
        </w:rPr>
      </w:pPr>
    </w:p>
    <w:p w14:paraId="04D5D148" w14:textId="35DDD48D" w:rsidR="00633FE5" w:rsidRPr="00025483" w:rsidRDefault="00FD0147" w:rsidP="00D956A1">
      <w:pPr>
        <w:pStyle w:val="Heading1"/>
        <w:spacing w:before="120" w:after="120"/>
        <w:rPr>
          <w:rStyle w:val="BookTitle"/>
        </w:rPr>
      </w:pPr>
      <w:r>
        <w:rPr>
          <w:rStyle w:val="BookTitle"/>
        </w:rPr>
        <w:t>Background</w:t>
      </w:r>
    </w:p>
    <w:p w14:paraId="7948732A" w14:textId="53CC7472" w:rsidR="00B61D93" w:rsidRDefault="00D5196F" w:rsidP="00B61D93">
      <w:pPr>
        <w:spacing w:before="120" w:after="120"/>
        <w:rPr>
          <w:rFonts w:ascii="Times New Roman" w:hAnsi="Times New Roman"/>
          <w:sz w:val="24"/>
        </w:rPr>
      </w:pPr>
      <w:r w:rsidRPr="00D5196F">
        <w:rPr>
          <w:rFonts w:ascii="Times New Roman" w:hAnsi="Times New Roman"/>
          <w:sz w:val="24"/>
        </w:rPr>
        <w:t>On September 30, 2016,</w:t>
      </w:r>
      <w:r w:rsidRPr="00D5196F">
        <w:rPr>
          <w:rFonts w:ascii="Times New Roman" w:hAnsi="Times New Roman"/>
          <w:b/>
          <w:bCs/>
          <w:sz w:val="24"/>
        </w:rPr>
        <w:t xml:space="preserve"> </w:t>
      </w:r>
      <w:r w:rsidRPr="00D5196F">
        <w:rPr>
          <w:rFonts w:ascii="Times New Roman" w:hAnsi="Times New Roman"/>
          <w:bCs/>
          <w:sz w:val="24"/>
        </w:rPr>
        <w:t xml:space="preserve">Puget Sound Energy </w:t>
      </w:r>
      <w:r w:rsidRPr="00D5196F">
        <w:rPr>
          <w:rFonts w:ascii="Times New Roman" w:hAnsi="Times New Roman"/>
          <w:sz w:val="24"/>
        </w:rPr>
        <w:t xml:space="preserve">(PSE or </w:t>
      </w:r>
      <w:r w:rsidR="0042240E">
        <w:rPr>
          <w:rFonts w:ascii="Times New Roman" w:hAnsi="Times New Roman"/>
          <w:sz w:val="24"/>
        </w:rPr>
        <w:t>c</w:t>
      </w:r>
      <w:r w:rsidRPr="00D5196F">
        <w:rPr>
          <w:rFonts w:ascii="Times New Roman" w:hAnsi="Times New Roman"/>
          <w:sz w:val="24"/>
        </w:rPr>
        <w:t>ompany)</w:t>
      </w:r>
      <w:r w:rsidRPr="00D5196F">
        <w:rPr>
          <w:rFonts w:ascii="Times New Roman" w:hAnsi="Times New Roman"/>
          <w:b/>
          <w:bCs/>
          <w:sz w:val="24"/>
        </w:rPr>
        <w:t xml:space="preserve"> </w:t>
      </w:r>
      <w:r w:rsidRPr="00D5196F">
        <w:rPr>
          <w:rFonts w:ascii="Times New Roman" w:hAnsi="Times New Roman"/>
          <w:sz w:val="24"/>
        </w:rPr>
        <w:t xml:space="preserve">filed with the Washington Utilities and Transportation </w:t>
      </w:r>
      <w:r w:rsidR="00F8648D">
        <w:rPr>
          <w:rFonts w:ascii="Times New Roman" w:hAnsi="Times New Roman"/>
          <w:sz w:val="24"/>
        </w:rPr>
        <w:t>Commission</w:t>
      </w:r>
      <w:r w:rsidRPr="00D5196F">
        <w:rPr>
          <w:rFonts w:ascii="Times New Roman" w:hAnsi="Times New Roman"/>
          <w:sz w:val="24"/>
        </w:rPr>
        <w:t xml:space="preserve"> (</w:t>
      </w:r>
      <w:r w:rsidR="00F8648D">
        <w:rPr>
          <w:rFonts w:ascii="Times New Roman" w:hAnsi="Times New Roman"/>
          <w:sz w:val="24"/>
        </w:rPr>
        <w:t>commission</w:t>
      </w:r>
      <w:r w:rsidRPr="00D5196F">
        <w:rPr>
          <w:rFonts w:ascii="Times New Roman" w:hAnsi="Times New Roman"/>
          <w:sz w:val="24"/>
        </w:rPr>
        <w:t xml:space="preserve">) a petition requesting an accounting order, which would allow the </w:t>
      </w:r>
      <w:r w:rsidR="0042240E">
        <w:rPr>
          <w:rFonts w:ascii="Times New Roman" w:hAnsi="Times New Roman"/>
          <w:sz w:val="24"/>
        </w:rPr>
        <w:t>c</w:t>
      </w:r>
      <w:r w:rsidRPr="00D5196F">
        <w:rPr>
          <w:rFonts w:ascii="Times New Roman" w:hAnsi="Times New Roman"/>
          <w:sz w:val="24"/>
        </w:rPr>
        <w:t>ompany to defer revenue variances</w:t>
      </w:r>
      <w:r w:rsidRPr="00D5196F">
        <w:rPr>
          <w:rStyle w:val="FootnoteReference"/>
          <w:rFonts w:ascii="Times New Roman" w:hAnsi="Times New Roman"/>
          <w:sz w:val="24"/>
        </w:rPr>
        <w:footnoteReference w:id="1"/>
      </w:r>
      <w:r w:rsidRPr="00D5196F">
        <w:rPr>
          <w:rFonts w:ascii="Times New Roman" w:hAnsi="Times New Roman"/>
          <w:sz w:val="24"/>
        </w:rPr>
        <w:t xml:space="preserve"> associated with </w:t>
      </w:r>
      <w:r w:rsidR="006F092C">
        <w:rPr>
          <w:rFonts w:ascii="Times New Roman" w:hAnsi="Times New Roman"/>
          <w:sz w:val="24"/>
        </w:rPr>
        <w:t xml:space="preserve">the </w:t>
      </w:r>
      <w:r w:rsidRPr="00D5196F">
        <w:rPr>
          <w:rFonts w:ascii="Times New Roman" w:hAnsi="Times New Roman"/>
          <w:sz w:val="24"/>
        </w:rPr>
        <w:t>recovery of its fixed production related costs</w:t>
      </w:r>
      <w:r w:rsidR="00FA1A33">
        <w:rPr>
          <w:rFonts w:ascii="Times New Roman" w:hAnsi="Times New Roman"/>
          <w:sz w:val="24"/>
        </w:rPr>
        <w:t xml:space="preserve"> </w:t>
      </w:r>
      <w:r w:rsidRPr="00D5196F">
        <w:rPr>
          <w:rFonts w:ascii="Times New Roman" w:hAnsi="Times New Roman"/>
          <w:sz w:val="24"/>
        </w:rPr>
        <w:t xml:space="preserve">which are due to be removed from </w:t>
      </w:r>
      <w:r w:rsidR="0016002B">
        <w:rPr>
          <w:rFonts w:ascii="Times New Roman" w:hAnsi="Times New Roman"/>
          <w:sz w:val="24"/>
        </w:rPr>
        <w:t xml:space="preserve">the PCA </w:t>
      </w:r>
      <w:r w:rsidRPr="00D5196F">
        <w:rPr>
          <w:rFonts w:ascii="Times New Roman" w:hAnsi="Times New Roman"/>
          <w:sz w:val="24"/>
        </w:rPr>
        <w:t>beginning January 1, 2017.</w:t>
      </w:r>
      <w:r w:rsidR="00321FDC">
        <w:rPr>
          <w:rFonts w:ascii="Times New Roman" w:hAnsi="Times New Roman"/>
          <w:sz w:val="24"/>
        </w:rPr>
        <w:t xml:space="preserve"> </w:t>
      </w:r>
      <w:r w:rsidR="00B61D93" w:rsidRPr="00D5196F">
        <w:rPr>
          <w:rFonts w:ascii="Times New Roman" w:hAnsi="Times New Roman"/>
          <w:sz w:val="24"/>
        </w:rPr>
        <w:t>The settlement agreement</w:t>
      </w:r>
      <w:r w:rsidR="00FA1A33">
        <w:rPr>
          <w:rFonts w:ascii="Times New Roman" w:hAnsi="Times New Roman"/>
          <w:sz w:val="24"/>
        </w:rPr>
        <w:t>,</w:t>
      </w:r>
      <w:r w:rsidR="00B61D93" w:rsidRPr="00D5196F">
        <w:rPr>
          <w:rFonts w:ascii="Times New Roman" w:hAnsi="Times New Roman"/>
          <w:sz w:val="24"/>
        </w:rPr>
        <w:t xml:space="preserve"> approved by the </w:t>
      </w:r>
      <w:r w:rsidR="00F8648D">
        <w:rPr>
          <w:rFonts w:ascii="Times New Roman" w:hAnsi="Times New Roman"/>
          <w:sz w:val="24"/>
        </w:rPr>
        <w:t>commission</w:t>
      </w:r>
      <w:r w:rsidR="00B61D93" w:rsidRPr="00D5196F">
        <w:rPr>
          <w:rFonts w:ascii="Times New Roman" w:hAnsi="Times New Roman"/>
          <w:sz w:val="24"/>
        </w:rPr>
        <w:t xml:space="preserve"> in Order 11</w:t>
      </w:r>
      <w:r w:rsidR="00FA1A33">
        <w:rPr>
          <w:rFonts w:ascii="Times New Roman" w:hAnsi="Times New Roman"/>
          <w:sz w:val="24"/>
        </w:rPr>
        <w:t>,</w:t>
      </w:r>
      <w:r w:rsidR="00B61D93" w:rsidRPr="00D5196F">
        <w:rPr>
          <w:rFonts w:ascii="Times New Roman" w:hAnsi="Times New Roman"/>
          <w:sz w:val="24"/>
        </w:rPr>
        <w:t xml:space="preserve"> Docket</w:t>
      </w:r>
      <w:r w:rsidR="006F092C">
        <w:rPr>
          <w:rFonts w:ascii="Times New Roman" w:hAnsi="Times New Roman"/>
          <w:sz w:val="24"/>
        </w:rPr>
        <w:t xml:space="preserve"> No.</w:t>
      </w:r>
      <w:r w:rsidR="00B61D93" w:rsidRPr="00D5196F">
        <w:rPr>
          <w:rFonts w:ascii="Times New Roman" w:hAnsi="Times New Roman"/>
          <w:sz w:val="24"/>
        </w:rPr>
        <w:t xml:space="preserve"> UE-130617 (Order 11)</w:t>
      </w:r>
      <w:r w:rsidR="00B61D93">
        <w:rPr>
          <w:rFonts w:ascii="Times New Roman" w:hAnsi="Times New Roman"/>
          <w:sz w:val="24"/>
        </w:rPr>
        <w:t>,</w:t>
      </w:r>
      <w:r w:rsidR="00B61D93" w:rsidRPr="00D5196F">
        <w:rPr>
          <w:rFonts w:ascii="Times New Roman" w:hAnsi="Times New Roman"/>
          <w:sz w:val="24"/>
        </w:rPr>
        <w:t xml:space="preserve"> specified that PSE may file such a petition.</w:t>
      </w:r>
      <w:r w:rsidR="00B61D93" w:rsidRPr="00D5196F">
        <w:rPr>
          <w:rStyle w:val="FootnoteReference"/>
          <w:rFonts w:ascii="Times New Roman" w:hAnsi="Times New Roman"/>
          <w:sz w:val="24"/>
        </w:rPr>
        <w:footnoteReference w:id="2"/>
      </w:r>
      <w:r w:rsidR="00B61D93" w:rsidRPr="00D5196F">
        <w:rPr>
          <w:rFonts w:ascii="Times New Roman" w:hAnsi="Times New Roman"/>
          <w:sz w:val="24"/>
        </w:rPr>
        <w:t xml:space="preserve">  </w:t>
      </w:r>
    </w:p>
    <w:p w14:paraId="26ED741A" w14:textId="0A4F1FB3" w:rsidR="00C34013" w:rsidRPr="00D5196F" w:rsidRDefault="00C34013" w:rsidP="00C34013">
      <w:pPr>
        <w:spacing w:before="120" w:after="120"/>
        <w:rPr>
          <w:rFonts w:ascii="Times New Roman" w:hAnsi="Times New Roman"/>
          <w:sz w:val="24"/>
        </w:rPr>
      </w:pPr>
      <w:r w:rsidRPr="00D5196F">
        <w:rPr>
          <w:rFonts w:ascii="Times New Roman" w:hAnsi="Times New Roman"/>
          <w:sz w:val="24"/>
        </w:rPr>
        <w:t>The deferral period referenced in Order 11 was for two-months</w:t>
      </w:r>
      <w:r w:rsidR="00CE5628">
        <w:rPr>
          <w:rFonts w:ascii="Times New Roman" w:hAnsi="Times New Roman"/>
          <w:sz w:val="24"/>
        </w:rPr>
        <w:t xml:space="preserve"> ending </w:t>
      </w:r>
      <w:r w:rsidRPr="00D5196F">
        <w:rPr>
          <w:rFonts w:ascii="Times New Roman" w:hAnsi="Times New Roman"/>
          <w:sz w:val="24"/>
        </w:rPr>
        <w:t>March 1, 2017</w:t>
      </w:r>
      <w:r>
        <w:rPr>
          <w:rFonts w:ascii="Times New Roman" w:hAnsi="Times New Roman"/>
          <w:sz w:val="24"/>
        </w:rPr>
        <w:t>,</w:t>
      </w:r>
      <w:r w:rsidRPr="00D5196F">
        <w:rPr>
          <w:rFonts w:ascii="Times New Roman" w:hAnsi="Times New Roman"/>
          <w:sz w:val="24"/>
        </w:rPr>
        <w:t xml:space="preserve"> the date when rates from PSE</w:t>
      </w:r>
      <w:r w:rsidR="00F8648D">
        <w:rPr>
          <w:rFonts w:ascii="Times New Roman" w:hAnsi="Times New Roman"/>
          <w:sz w:val="24"/>
        </w:rPr>
        <w:t>’</w:t>
      </w:r>
      <w:r w:rsidRPr="00D5196F">
        <w:rPr>
          <w:rFonts w:ascii="Times New Roman" w:hAnsi="Times New Roman"/>
          <w:sz w:val="24"/>
        </w:rPr>
        <w:t xml:space="preserve">s next general rate case were originally set to take effect. Order 11 also states that fixed production related costs </w:t>
      </w:r>
      <w:r w:rsidR="006D7178">
        <w:rPr>
          <w:rFonts w:ascii="Times New Roman" w:hAnsi="Times New Roman"/>
          <w:sz w:val="24"/>
        </w:rPr>
        <w:t xml:space="preserve">removed from the PCA </w:t>
      </w:r>
      <w:r w:rsidRPr="00D5196F">
        <w:rPr>
          <w:rFonts w:ascii="Times New Roman" w:hAnsi="Times New Roman"/>
          <w:sz w:val="24"/>
        </w:rPr>
        <w:t>are to be placed in PSE</w:t>
      </w:r>
      <w:r w:rsidR="00F8648D">
        <w:rPr>
          <w:rFonts w:ascii="Times New Roman" w:hAnsi="Times New Roman"/>
          <w:sz w:val="24"/>
        </w:rPr>
        <w:t>’</w:t>
      </w:r>
      <w:r w:rsidR="00FF0054">
        <w:rPr>
          <w:rFonts w:ascii="Times New Roman" w:hAnsi="Times New Roman"/>
          <w:sz w:val="24"/>
        </w:rPr>
        <w:t>s decoupling mechanism if the c</w:t>
      </w:r>
      <w:r w:rsidRPr="00D5196F">
        <w:rPr>
          <w:rFonts w:ascii="Times New Roman" w:hAnsi="Times New Roman"/>
          <w:sz w:val="24"/>
        </w:rPr>
        <w:t>ompany</w:t>
      </w:r>
      <w:r w:rsidR="00F8648D">
        <w:rPr>
          <w:rFonts w:ascii="Times New Roman" w:hAnsi="Times New Roman"/>
          <w:sz w:val="24"/>
        </w:rPr>
        <w:t>’</w:t>
      </w:r>
      <w:r w:rsidRPr="00D5196F">
        <w:rPr>
          <w:rFonts w:ascii="Times New Roman" w:hAnsi="Times New Roman"/>
          <w:sz w:val="24"/>
        </w:rPr>
        <w:t>s decoupling program continues.</w:t>
      </w:r>
      <w:r w:rsidRPr="00D5196F">
        <w:rPr>
          <w:rStyle w:val="FootnoteReference"/>
          <w:rFonts w:ascii="Times New Roman" w:hAnsi="Times New Roman"/>
          <w:sz w:val="24"/>
        </w:rPr>
        <w:footnoteReference w:id="3"/>
      </w:r>
      <w:r w:rsidR="00F8648D">
        <w:rPr>
          <w:rFonts w:ascii="Times New Roman" w:hAnsi="Times New Roman"/>
          <w:sz w:val="24"/>
        </w:rPr>
        <w:t xml:space="preserve"> </w:t>
      </w:r>
      <w:r w:rsidRPr="00D5196F">
        <w:rPr>
          <w:rFonts w:ascii="Times New Roman" w:hAnsi="Times New Roman"/>
          <w:sz w:val="24"/>
        </w:rPr>
        <w:t xml:space="preserve">It was anticipated that the disposition of any balance </w:t>
      </w:r>
      <w:r w:rsidR="00F01702">
        <w:rPr>
          <w:rFonts w:ascii="Times New Roman" w:hAnsi="Times New Roman"/>
          <w:sz w:val="24"/>
        </w:rPr>
        <w:t xml:space="preserve">accrued during the </w:t>
      </w:r>
      <w:r w:rsidRPr="00D5196F">
        <w:rPr>
          <w:rFonts w:ascii="Times New Roman" w:hAnsi="Times New Roman"/>
          <w:sz w:val="24"/>
        </w:rPr>
        <w:t xml:space="preserve">two-month </w:t>
      </w:r>
      <w:r w:rsidR="00F01702">
        <w:rPr>
          <w:rFonts w:ascii="Times New Roman" w:hAnsi="Times New Roman"/>
          <w:sz w:val="24"/>
        </w:rPr>
        <w:t xml:space="preserve">deferral </w:t>
      </w:r>
      <w:r w:rsidRPr="00D5196F">
        <w:rPr>
          <w:rFonts w:ascii="Times New Roman" w:hAnsi="Times New Roman"/>
          <w:sz w:val="24"/>
        </w:rPr>
        <w:t>period would also be addressed in the general rate case.</w:t>
      </w:r>
      <w:r w:rsidRPr="00D5196F">
        <w:rPr>
          <w:rStyle w:val="FootnoteReference"/>
          <w:rFonts w:ascii="Times New Roman" w:hAnsi="Times New Roman"/>
          <w:sz w:val="24"/>
        </w:rPr>
        <w:footnoteReference w:id="4"/>
      </w:r>
      <w:r w:rsidRPr="00D5196F">
        <w:rPr>
          <w:rFonts w:ascii="Times New Roman" w:hAnsi="Times New Roman"/>
          <w:sz w:val="24"/>
        </w:rPr>
        <w:t xml:space="preserve">     </w:t>
      </w:r>
    </w:p>
    <w:p w14:paraId="18FEA253" w14:textId="1EBC413B" w:rsidR="0042240E" w:rsidRPr="00D5196F" w:rsidRDefault="00C34013" w:rsidP="00EE57F4">
      <w:pPr>
        <w:widowControl/>
        <w:autoSpaceDE/>
        <w:autoSpaceDN/>
        <w:adjustRightInd/>
        <w:spacing w:before="120" w:after="120"/>
        <w:rPr>
          <w:rFonts w:ascii="Times New Roman" w:hAnsi="Times New Roman"/>
          <w:sz w:val="24"/>
        </w:rPr>
      </w:pPr>
      <w:r>
        <w:rPr>
          <w:rFonts w:ascii="Times New Roman" w:hAnsi="Times New Roman"/>
          <w:sz w:val="24"/>
        </w:rPr>
        <w:t xml:space="preserve">In addition to </w:t>
      </w:r>
      <w:r w:rsidR="00FF0054">
        <w:rPr>
          <w:rFonts w:ascii="Times New Roman" w:hAnsi="Times New Roman"/>
          <w:sz w:val="24"/>
        </w:rPr>
        <w:t xml:space="preserve">the </w:t>
      </w:r>
      <w:r>
        <w:rPr>
          <w:rFonts w:ascii="Times New Roman" w:hAnsi="Times New Roman"/>
          <w:sz w:val="24"/>
        </w:rPr>
        <w:t xml:space="preserve">deferral petition above, </w:t>
      </w:r>
      <w:r w:rsidR="007905DD">
        <w:rPr>
          <w:rFonts w:ascii="Times New Roman" w:hAnsi="Times New Roman"/>
          <w:sz w:val="24"/>
        </w:rPr>
        <w:t xml:space="preserve">PSE also </w:t>
      </w:r>
      <w:r w:rsidR="0042240E">
        <w:rPr>
          <w:rFonts w:ascii="Times New Roman" w:hAnsi="Times New Roman"/>
          <w:sz w:val="24"/>
        </w:rPr>
        <w:t>fil</w:t>
      </w:r>
      <w:r w:rsidR="007905DD">
        <w:rPr>
          <w:rFonts w:ascii="Times New Roman" w:hAnsi="Times New Roman"/>
          <w:sz w:val="24"/>
        </w:rPr>
        <w:t>ed</w:t>
      </w:r>
      <w:r w:rsidR="0042240E">
        <w:rPr>
          <w:rFonts w:ascii="Times New Roman" w:hAnsi="Times New Roman"/>
          <w:sz w:val="24"/>
        </w:rPr>
        <w:t xml:space="preserve"> </w:t>
      </w:r>
      <w:r>
        <w:rPr>
          <w:rFonts w:ascii="Times New Roman" w:hAnsi="Times New Roman"/>
          <w:sz w:val="24"/>
        </w:rPr>
        <w:t xml:space="preserve">on September 30, 2016, </w:t>
      </w:r>
      <w:r w:rsidR="00214099">
        <w:rPr>
          <w:rFonts w:ascii="Times New Roman" w:hAnsi="Times New Roman"/>
          <w:sz w:val="24"/>
        </w:rPr>
        <w:t>revis</w:t>
      </w:r>
      <w:r w:rsidR="00625830">
        <w:rPr>
          <w:rFonts w:ascii="Times New Roman" w:hAnsi="Times New Roman"/>
          <w:sz w:val="24"/>
        </w:rPr>
        <w:t xml:space="preserve">ions to its tariff </w:t>
      </w:r>
      <w:r w:rsidR="00214099">
        <w:rPr>
          <w:rFonts w:ascii="Times New Roman" w:hAnsi="Times New Roman"/>
          <w:sz w:val="24"/>
        </w:rPr>
        <w:t xml:space="preserve">Schedule No. 95 </w:t>
      </w:r>
      <w:r w:rsidR="006F092C">
        <w:rPr>
          <w:rFonts w:ascii="Times New Roman" w:hAnsi="Times New Roman"/>
          <w:sz w:val="24"/>
        </w:rPr>
        <w:t xml:space="preserve">seeking </w:t>
      </w:r>
      <w:r w:rsidR="00F8648D">
        <w:rPr>
          <w:rFonts w:ascii="Times New Roman" w:hAnsi="Times New Roman"/>
          <w:sz w:val="24"/>
        </w:rPr>
        <w:t>commission</w:t>
      </w:r>
      <w:r w:rsidR="006F092C">
        <w:rPr>
          <w:rFonts w:ascii="Times New Roman" w:hAnsi="Times New Roman"/>
          <w:sz w:val="24"/>
        </w:rPr>
        <w:t xml:space="preserve"> </w:t>
      </w:r>
      <w:r w:rsidR="0016002B">
        <w:rPr>
          <w:rFonts w:ascii="Times New Roman" w:hAnsi="Times New Roman"/>
          <w:sz w:val="24"/>
        </w:rPr>
        <w:t xml:space="preserve">approval of updates to </w:t>
      </w:r>
      <w:r w:rsidR="00214099">
        <w:rPr>
          <w:rFonts w:ascii="Times New Roman" w:hAnsi="Times New Roman"/>
          <w:sz w:val="24"/>
        </w:rPr>
        <w:t>the</w:t>
      </w:r>
      <w:r w:rsidR="0016002B">
        <w:rPr>
          <w:rFonts w:ascii="Times New Roman" w:hAnsi="Times New Roman"/>
          <w:sz w:val="24"/>
        </w:rPr>
        <w:t xml:space="preserve"> PCA</w:t>
      </w:r>
      <w:r w:rsidR="00F8648D">
        <w:rPr>
          <w:rFonts w:ascii="Times New Roman" w:hAnsi="Times New Roman"/>
          <w:sz w:val="24"/>
        </w:rPr>
        <w:t>’</w:t>
      </w:r>
      <w:r w:rsidR="00DC6F23">
        <w:rPr>
          <w:rFonts w:ascii="Times New Roman" w:hAnsi="Times New Roman"/>
          <w:sz w:val="24"/>
        </w:rPr>
        <w:t>s</w:t>
      </w:r>
      <w:r w:rsidR="0016002B">
        <w:rPr>
          <w:rFonts w:ascii="Times New Roman" w:hAnsi="Times New Roman"/>
          <w:sz w:val="24"/>
        </w:rPr>
        <w:t xml:space="preserve"> </w:t>
      </w:r>
      <w:r w:rsidR="00DC6F23">
        <w:rPr>
          <w:rFonts w:ascii="Times New Roman" w:hAnsi="Times New Roman"/>
          <w:sz w:val="24"/>
        </w:rPr>
        <w:t>b</w:t>
      </w:r>
      <w:r w:rsidR="00027C7F">
        <w:rPr>
          <w:rFonts w:ascii="Times New Roman" w:hAnsi="Times New Roman"/>
          <w:sz w:val="24"/>
        </w:rPr>
        <w:t>aseline</w:t>
      </w:r>
      <w:r w:rsidR="00CF4D6B">
        <w:rPr>
          <w:rFonts w:ascii="Times New Roman" w:hAnsi="Times New Roman"/>
          <w:sz w:val="24"/>
        </w:rPr>
        <w:t>.</w:t>
      </w:r>
      <w:r w:rsidR="00FF0054">
        <w:rPr>
          <w:rStyle w:val="FootnoteReference"/>
          <w:rFonts w:ascii="Times New Roman" w:hAnsi="Times New Roman"/>
          <w:sz w:val="24"/>
        </w:rPr>
        <w:footnoteReference w:id="5"/>
      </w:r>
      <w:r w:rsidR="001355C9">
        <w:rPr>
          <w:rFonts w:ascii="Times New Roman" w:hAnsi="Times New Roman"/>
          <w:sz w:val="24"/>
        </w:rPr>
        <w:t xml:space="preserve"> </w:t>
      </w:r>
      <w:r w:rsidR="00214099" w:rsidRPr="00214099">
        <w:rPr>
          <w:rFonts w:ascii="Times New Roman" w:hAnsi="Times New Roman"/>
          <w:sz w:val="24"/>
        </w:rPr>
        <w:t xml:space="preserve">In </w:t>
      </w:r>
      <w:r w:rsidR="00606F0A">
        <w:rPr>
          <w:rFonts w:ascii="Times New Roman" w:hAnsi="Times New Roman"/>
          <w:sz w:val="24"/>
        </w:rPr>
        <w:t>PSE</w:t>
      </w:r>
      <w:r w:rsidR="00F8648D">
        <w:rPr>
          <w:rFonts w:ascii="Times New Roman" w:hAnsi="Times New Roman"/>
          <w:sz w:val="24"/>
        </w:rPr>
        <w:t>’</w:t>
      </w:r>
      <w:r w:rsidR="00606F0A">
        <w:rPr>
          <w:rFonts w:ascii="Times New Roman" w:hAnsi="Times New Roman"/>
          <w:sz w:val="24"/>
        </w:rPr>
        <w:t xml:space="preserve">s last Power Cost Only Rate Case (PCORC) in </w:t>
      </w:r>
      <w:r w:rsidR="00214099" w:rsidRPr="00214099">
        <w:rPr>
          <w:rFonts w:ascii="Times New Roman" w:hAnsi="Times New Roman"/>
          <w:sz w:val="24"/>
        </w:rPr>
        <w:t>Docket No. UE-141141</w:t>
      </w:r>
      <w:r w:rsidR="00606F0A">
        <w:rPr>
          <w:rStyle w:val="FootnoteReference"/>
          <w:rFonts w:ascii="Times New Roman" w:hAnsi="Times New Roman"/>
          <w:sz w:val="24"/>
        </w:rPr>
        <w:footnoteReference w:id="6"/>
      </w:r>
      <w:r w:rsidR="00214099" w:rsidRPr="00214099">
        <w:rPr>
          <w:rFonts w:ascii="Times New Roman" w:hAnsi="Times New Roman"/>
          <w:sz w:val="24"/>
        </w:rPr>
        <w:t xml:space="preserve">, </w:t>
      </w:r>
      <w:r w:rsidR="00214099">
        <w:rPr>
          <w:rFonts w:ascii="Times New Roman" w:hAnsi="Times New Roman"/>
          <w:sz w:val="24"/>
        </w:rPr>
        <w:t xml:space="preserve">the </w:t>
      </w:r>
      <w:r w:rsidR="00F8648D">
        <w:rPr>
          <w:rFonts w:ascii="Times New Roman" w:hAnsi="Times New Roman"/>
          <w:sz w:val="24"/>
        </w:rPr>
        <w:t>commission</w:t>
      </w:r>
      <w:r w:rsidR="00214099">
        <w:rPr>
          <w:rFonts w:ascii="Times New Roman" w:hAnsi="Times New Roman"/>
          <w:sz w:val="24"/>
        </w:rPr>
        <w:t xml:space="preserve"> </w:t>
      </w:r>
      <w:r w:rsidR="00214099">
        <w:rPr>
          <w:rFonts w:ascii="Times New Roman" w:hAnsi="Times New Roman"/>
          <w:sz w:val="24"/>
        </w:rPr>
        <w:lastRenderedPageBreak/>
        <w:t xml:space="preserve">authorized the company </w:t>
      </w:r>
      <w:r w:rsidR="00214099" w:rsidRPr="00214099">
        <w:rPr>
          <w:rFonts w:ascii="Times New Roman" w:hAnsi="Times New Roman"/>
          <w:sz w:val="24"/>
        </w:rPr>
        <w:t xml:space="preserve">to update the PCA </w:t>
      </w:r>
      <w:r w:rsidR="00027C7F">
        <w:rPr>
          <w:rFonts w:ascii="Times New Roman" w:hAnsi="Times New Roman"/>
          <w:sz w:val="24"/>
        </w:rPr>
        <w:t>baseline for the limited purpose of i</w:t>
      </w:r>
      <w:r w:rsidR="00214099" w:rsidRPr="00214099">
        <w:rPr>
          <w:rFonts w:ascii="Times New Roman" w:hAnsi="Times New Roman"/>
          <w:sz w:val="24"/>
        </w:rPr>
        <w:t>mplement</w:t>
      </w:r>
      <w:r w:rsidR="00027C7F">
        <w:rPr>
          <w:rFonts w:ascii="Times New Roman" w:hAnsi="Times New Roman"/>
          <w:sz w:val="24"/>
        </w:rPr>
        <w:t>ing</w:t>
      </w:r>
      <w:r w:rsidR="00214099" w:rsidRPr="00214099">
        <w:rPr>
          <w:rFonts w:ascii="Times New Roman" w:hAnsi="Times New Roman"/>
          <w:sz w:val="24"/>
        </w:rPr>
        <w:t xml:space="preserve"> price and volume changes associated with the Coal Transition Power Purchase Agreement.</w:t>
      </w:r>
    </w:p>
    <w:p w14:paraId="0CDD3483" w14:textId="15DB8547" w:rsidR="004C2FE9" w:rsidRDefault="00D5196F" w:rsidP="00EE57F4">
      <w:pPr>
        <w:widowControl/>
        <w:autoSpaceDE/>
        <w:autoSpaceDN/>
        <w:adjustRightInd/>
        <w:spacing w:before="120" w:after="120"/>
        <w:rPr>
          <w:rFonts w:ascii="Times New Roman" w:hAnsi="Times New Roman"/>
          <w:color w:val="000000"/>
          <w:sz w:val="24"/>
        </w:rPr>
      </w:pPr>
      <w:r w:rsidRPr="00D5196F">
        <w:rPr>
          <w:rFonts w:ascii="Times New Roman" w:hAnsi="Times New Roman"/>
          <w:sz w:val="24"/>
        </w:rPr>
        <w:t xml:space="preserve">On March 9, 2016, PSE, </w:t>
      </w:r>
      <w:r w:rsidR="00F8648D">
        <w:rPr>
          <w:rFonts w:ascii="Times New Roman" w:hAnsi="Times New Roman"/>
          <w:sz w:val="24"/>
        </w:rPr>
        <w:t>commission</w:t>
      </w:r>
      <w:r w:rsidRPr="00D5196F">
        <w:rPr>
          <w:rFonts w:ascii="Times New Roman" w:hAnsi="Times New Roman"/>
          <w:sz w:val="24"/>
        </w:rPr>
        <w:t xml:space="preserve"> regulatory </w:t>
      </w:r>
      <w:r w:rsidR="00F8648D">
        <w:rPr>
          <w:rFonts w:ascii="Times New Roman" w:hAnsi="Times New Roman"/>
          <w:sz w:val="24"/>
        </w:rPr>
        <w:t>staff</w:t>
      </w:r>
      <w:r w:rsidRPr="00D5196F">
        <w:rPr>
          <w:rFonts w:ascii="Times New Roman" w:hAnsi="Times New Roman"/>
          <w:sz w:val="24"/>
        </w:rPr>
        <w:t xml:space="preserve"> (</w:t>
      </w:r>
      <w:r w:rsidR="00F8648D">
        <w:rPr>
          <w:rFonts w:ascii="Times New Roman" w:hAnsi="Times New Roman"/>
          <w:sz w:val="24"/>
        </w:rPr>
        <w:t>staff</w:t>
      </w:r>
      <w:r w:rsidRPr="00D5196F">
        <w:rPr>
          <w:rFonts w:ascii="Times New Roman" w:hAnsi="Times New Roman"/>
          <w:sz w:val="24"/>
        </w:rPr>
        <w:t>), the Public Counsel Unit of the Office of Attorney General (Public Counsel), Industrial Customers of Northwest Utilities, Northwest Industrial Gas Users, The Energy Project, NW Energy Coalition (NWEC), Federal Executive Agencies and the Sierra Club (collectively Joint Petitioners), filed their “Joint Petition to Modify Order 07” requesting an extension to the date by which PSE must file a general ra</w:t>
      </w:r>
      <w:r w:rsidR="0005502D">
        <w:rPr>
          <w:rFonts w:ascii="Times New Roman" w:hAnsi="Times New Roman"/>
          <w:sz w:val="24"/>
        </w:rPr>
        <w:t xml:space="preserve">te case until January 17, 2017. </w:t>
      </w:r>
      <w:r w:rsidRPr="00D5196F">
        <w:rPr>
          <w:rFonts w:ascii="Times New Roman" w:hAnsi="Times New Roman"/>
          <w:sz w:val="24"/>
        </w:rPr>
        <w:t xml:space="preserve">The Joint Petitioners also agreed </w:t>
      </w:r>
      <w:r w:rsidRPr="00D5196F">
        <w:rPr>
          <w:rFonts w:ascii="Times New Roman" w:hAnsi="Times New Roman"/>
          <w:color w:val="000000"/>
          <w:sz w:val="24"/>
        </w:rPr>
        <w:t xml:space="preserve">to </w:t>
      </w:r>
      <w:r w:rsidR="004C2FE9">
        <w:rPr>
          <w:rFonts w:ascii="Times New Roman" w:hAnsi="Times New Roman"/>
          <w:color w:val="000000"/>
          <w:sz w:val="24"/>
        </w:rPr>
        <w:t>the following terms:</w:t>
      </w:r>
    </w:p>
    <w:p w14:paraId="6E48FC92" w14:textId="4D8A22EA" w:rsidR="004C2FE9" w:rsidRPr="00725EE2" w:rsidRDefault="004C2FE9" w:rsidP="00427D7E">
      <w:pPr>
        <w:pStyle w:val="ListParagraph"/>
        <w:widowControl/>
        <w:numPr>
          <w:ilvl w:val="0"/>
          <w:numId w:val="8"/>
        </w:numPr>
        <w:autoSpaceDE/>
        <w:autoSpaceDN/>
        <w:adjustRightInd/>
        <w:spacing w:before="120" w:after="120"/>
        <w:contextualSpacing w:val="0"/>
        <w:rPr>
          <w:rFonts w:ascii="Times New Roman" w:hAnsi="Times New Roman"/>
          <w:sz w:val="24"/>
        </w:rPr>
      </w:pPr>
      <w:r w:rsidRPr="00725EE2">
        <w:rPr>
          <w:rFonts w:ascii="Times New Roman" w:hAnsi="Times New Roman"/>
          <w:color w:val="000000"/>
          <w:sz w:val="24"/>
        </w:rPr>
        <w:t>To support, or not oppose, a</w:t>
      </w:r>
      <w:r w:rsidR="00D5196F" w:rsidRPr="00725EE2">
        <w:rPr>
          <w:rFonts w:ascii="Times New Roman" w:hAnsi="Times New Roman"/>
          <w:color w:val="000000"/>
          <w:sz w:val="24"/>
        </w:rPr>
        <w:t>n</w:t>
      </w:r>
      <w:r w:rsidR="00214099" w:rsidRPr="00725EE2">
        <w:rPr>
          <w:rFonts w:ascii="Times New Roman" w:hAnsi="Times New Roman"/>
          <w:color w:val="000000"/>
          <w:sz w:val="24"/>
        </w:rPr>
        <w:t xml:space="preserve"> </w:t>
      </w:r>
      <w:r w:rsidR="00D5196F" w:rsidRPr="00725EE2">
        <w:rPr>
          <w:rFonts w:ascii="Times New Roman" w:hAnsi="Times New Roman"/>
          <w:color w:val="000000"/>
          <w:sz w:val="24"/>
        </w:rPr>
        <w:t>amendment to Order 11 for the purposes of extending the deferral period</w:t>
      </w:r>
      <w:r w:rsidR="00CE5628">
        <w:rPr>
          <w:rStyle w:val="FootnoteReference"/>
          <w:rFonts w:ascii="Times New Roman" w:hAnsi="Times New Roman"/>
          <w:color w:val="000000"/>
          <w:sz w:val="24"/>
        </w:rPr>
        <w:footnoteReference w:id="7"/>
      </w:r>
      <w:r w:rsidR="00D5196F" w:rsidRPr="00725EE2">
        <w:rPr>
          <w:rFonts w:ascii="Times New Roman" w:hAnsi="Times New Roman"/>
          <w:color w:val="000000"/>
          <w:sz w:val="24"/>
        </w:rPr>
        <w:t xml:space="preserve"> in recognition of the new date by which PSE must file its next general rate case and when new rates are expected to take effect</w:t>
      </w:r>
      <w:r w:rsidRPr="00725EE2">
        <w:rPr>
          <w:rFonts w:ascii="Times New Roman" w:hAnsi="Times New Roman"/>
          <w:color w:val="000000"/>
          <w:sz w:val="24"/>
        </w:rPr>
        <w:t>;</w:t>
      </w:r>
      <w:r w:rsidR="00725EE2" w:rsidRPr="00725EE2">
        <w:rPr>
          <w:rStyle w:val="FootnoteReference"/>
          <w:rFonts w:ascii="Times New Roman" w:hAnsi="Times New Roman"/>
          <w:color w:val="000000"/>
          <w:sz w:val="24"/>
        </w:rPr>
        <w:t xml:space="preserve"> </w:t>
      </w:r>
      <w:r w:rsidR="00725EE2" w:rsidRPr="00D5196F">
        <w:rPr>
          <w:rStyle w:val="FootnoteReference"/>
          <w:rFonts w:ascii="Times New Roman" w:hAnsi="Times New Roman"/>
          <w:color w:val="000000"/>
          <w:sz w:val="24"/>
        </w:rPr>
        <w:footnoteReference w:id="8"/>
      </w:r>
      <w:r w:rsidR="00725EE2" w:rsidRPr="00725EE2">
        <w:rPr>
          <w:rFonts w:ascii="Times New Roman" w:hAnsi="Times New Roman"/>
          <w:color w:val="000000"/>
          <w:sz w:val="24"/>
        </w:rPr>
        <w:t xml:space="preserve"> </w:t>
      </w:r>
      <w:r w:rsidRPr="00725EE2">
        <w:rPr>
          <w:rFonts w:ascii="Times New Roman" w:hAnsi="Times New Roman"/>
          <w:color w:val="000000"/>
          <w:sz w:val="24"/>
        </w:rPr>
        <w:t>and</w:t>
      </w:r>
      <w:r w:rsidR="00D5196F" w:rsidRPr="00725EE2">
        <w:rPr>
          <w:rStyle w:val="FootnoteReference"/>
          <w:rFonts w:ascii="Times New Roman" w:hAnsi="Times New Roman"/>
          <w:color w:val="000000"/>
          <w:sz w:val="24"/>
        </w:rPr>
        <w:t xml:space="preserve"> </w:t>
      </w:r>
    </w:p>
    <w:p w14:paraId="6B67C75D" w14:textId="5174E828" w:rsidR="00D5196F" w:rsidRPr="004C2FE9" w:rsidRDefault="00725EE2" w:rsidP="004C2FE9">
      <w:pPr>
        <w:pStyle w:val="ListParagraph"/>
        <w:widowControl/>
        <w:numPr>
          <w:ilvl w:val="0"/>
          <w:numId w:val="8"/>
        </w:numPr>
        <w:autoSpaceDE/>
        <w:autoSpaceDN/>
        <w:adjustRightInd/>
        <w:spacing w:before="120" w:after="120"/>
        <w:contextualSpacing w:val="0"/>
        <w:rPr>
          <w:rFonts w:ascii="Times New Roman" w:hAnsi="Times New Roman"/>
          <w:sz w:val="24"/>
        </w:rPr>
      </w:pPr>
      <w:r>
        <w:rPr>
          <w:rFonts w:ascii="Times New Roman" w:hAnsi="Times New Roman"/>
          <w:color w:val="000000"/>
          <w:sz w:val="24"/>
        </w:rPr>
        <w:t>A</w:t>
      </w:r>
      <w:r w:rsidR="00D5196F" w:rsidRPr="004C2FE9">
        <w:rPr>
          <w:rFonts w:ascii="Times New Roman" w:hAnsi="Times New Roman"/>
          <w:color w:val="000000"/>
          <w:sz w:val="24"/>
        </w:rPr>
        <w:t xml:space="preserve">llow the </w:t>
      </w:r>
      <w:r w:rsidR="00F8648D">
        <w:rPr>
          <w:rFonts w:ascii="Times New Roman" w:hAnsi="Times New Roman"/>
          <w:color w:val="000000"/>
          <w:sz w:val="24"/>
        </w:rPr>
        <w:t>c</w:t>
      </w:r>
      <w:r w:rsidR="00D5196F" w:rsidRPr="004C2FE9">
        <w:rPr>
          <w:rFonts w:ascii="Times New Roman" w:hAnsi="Times New Roman"/>
          <w:color w:val="000000"/>
          <w:sz w:val="24"/>
        </w:rPr>
        <w:t xml:space="preserve">ompany to file, on or before October 1, 2016, a limited update of its variable power costs and update the PCA baseline contained in Schedule No. 95 </w:t>
      </w:r>
      <w:r w:rsidR="00401A79" w:rsidRPr="004C2FE9">
        <w:rPr>
          <w:rFonts w:ascii="Times New Roman" w:hAnsi="Times New Roman"/>
          <w:color w:val="000000"/>
          <w:sz w:val="24"/>
        </w:rPr>
        <w:t xml:space="preserve">with an </w:t>
      </w:r>
      <w:r w:rsidR="00D5196F" w:rsidRPr="004C2FE9">
        <w:rPr>
          <w:rFonts w:ascii="Times New Roman" w:hAnsi="Times New Roman"/>
          <w:color w:val="000000"/>
          <w:sz w:val="24"/>
        </w:rPr>
        <w:t>effective date of December 1, 2016.</w:t>
      </w:r>
      <w:r w:rsidR="00D5196F" w:rsidRPr="00D5196F">
        <w:rPr>
          <w:rStyle w:val="FootnoteReference"/>
          <w:rFonts w:ascii="Times New Roman" w:hAnsi="Times New Roman"/>
          <w:color w:val="000000"/>
          <w:sz w:val="24"/>
        </w:rPr>
        <w:footnoteReference w:id="9"/>
      </w:r>
      <w:r w:rsidR="00D5196F" w:rsidRPr="004C2FE9">
        <w:rPr>
          <w:rFonts w:ascii="Times New Roman" w:hAnsi="Times New Roman"/>
          <w:color w:val="000000"/>
          <w:sz w:val="24"/>
        </w:rPr>
        <w:t xml:space="preserve">  PSE</w:t>
      </w:r>
      <w:r w:rsidR="00F8648D">
        <w:rPr>
          <w:rFonts w:ascii="Times New Roman" w:hAnsi="Times New Roman"/>
          <w:color w:val="000000"/>
          <w:sz w:val="24"/>
        </w:rPr>
        <w:t>’</w:t>
      </w:r>
      <w:r w:rsidR="00D5196F" w:rsidRPr="004C2FE9">
        <w:rPr>
          <w:rFonts w:ascii="Times New Roman" w:hAnsi="Times New Roman"/>
          <w:color w:val="000000"/>
          <w:sz w:val="24"/>
        </w:rPr>
        <w:t>s revisions to Schedule No. 95 are filed in Docket UE-161135.</w:t>
      </w:r>
      <w:r w:rsidR="00643835">
        <w:rPr>
          <w:rStyle w:val="FootnoteReference"/>
          <w:rFonts w:ascii="Times New Roman" w:hAnsi="Times New Roman"/>
          <w:color w:val="000000"/>
          <w:sz w:val="24"/>
        </w:rPr>
        <w:footnoteReference w:id="10"/>
      </w:r>
    </w:p>
    <w:p w14:paraId="46E42824" w14:textId="1818B991" w:rsidR="00D5196F" w:rsidRDefault="00D5196F" w:rsidP="00D5196F">
      <w:pPr>
        <w:spacing w:before="120" w:after="120"/>
        <w:rPr>
          <w:rFonts w:ascii="Times New Roman" w:hAnsi="Times New Roman"/>
          <w:color w:val="000000"/>
          <w:sz w:val="24"/>
        </w:rPr>
      </w:pPr>
      <w:r w:rsidRPr="00D5196F">
        <w:rPr>
          <w:rFonts w:ascii="Times New Roman" w:hAnsi="Times New Roman"/>
          <w:color w:val="000000"/>
          <w:sz w:val="24"/>
        </w:rPr>
        <w:t xml:space="preserve">On March 17, 2016, the </w:t>
      </w:r>
      <w:r w:rsidR="00F8648D">
        <w:rPr>
          <w:rFonts w:ascii="Times New Roman" w:hAnsi="Times New Roman"/>
          <w:color w:val="000000"/>
          <w:sz w:val="24"/>
        </w:rPr>
        <w:t>commission</w:t>
      </w:r>
      <w:r w:rsidRPr="00D5196F">
        <w:rPr>
          <w:rFonts w:ascii="Times New Roman" w:hAnsi="Times New Roman"/>
          <w:color w:val="000000"/>
          <w:sz w:val="24"/>
        </w:rPr>
        <w:t xml:space="preserve"> granted the </w:t>
      </w:r>
      <w:r w:rsidR="009647E0">
        <w:rPr>
          <w:rFonts w:ascii="Times New Roman" w:hAnsi="Times New Roman"/>
          <w:color w:val="000000"/>
          <w:sz w:val="24"/>
        </w:rPr>
        <w:t>extension</w:t>
      </w:r>
      <w:r w:rsidRPr="00D5196F">
        <w:rPr>
          <w:rFonts w:ascii="Times New Roman" w:hAnsi="Times New Roman"/>
          <w:color w:val="000000"/>
          <w:sz w:val="24"/>
        </w:rPr>
        <w:t xml:space="preserve"> requested by the Joint </w:t>
      </w:r>
      <w:r w:rsidR="006D7178" w:rsidRPr="00D5196F">
        <w:rPr>
          <w:rFonts w:ascii="Times New Roman" w:hAnsi="Times New Roman"/>
          <w:color w:val="000000"/>
          <w:sz w:val="24"/>
        </w:rPr>
        <w:t>Peti</w:t>
      </w:r>
      <w:r w:rsidR="006D7178">
        <w:rPr>
          <w:rFonts w:ascii="Times New Roman" w:hAnsi="Times New Roman"/>
          <w:color w:val="000000"/>
          <w:sz w:val="24"/>
        </w:rPr>
        <w:t>tio</w:t>
      </w:r>
      <w:r w:rsidR="006D7178" w:rsidRPr="00D5196F">
        <w:rPr>
          <w:rFonts w:ascii="Times New Roman" w:hAnsi="Times New Roman"/>
          <w:color w:val="000000"/>
          <w:sz w:val="24"/>
        </w:rPr>
        <w:t>ners</w:t>
      </w:r>
      <w:r w:rsidRPr="00D5196F">
        <w:rPr>
          <w:rFonts w:ascii="Times New Roman" w:hAnsi="Times New Roman"/>
          <w:color w:val="000000"/>
          <w:sz w:val="24"/>
        </w:rPr>
        <w:t xml:space="preserve"> above thereby enabling PSE to file </w:t>
      </w:r>
      <w:r w:rsidR="00162DFE">
        <w:rPr>
          <w:rFonts w:ascii="Times New Roman" w:hAnsi="Times New Roman"/>
          <w:color w:val="000000"/>
          <w:sz w:val="24"/>
        </w:rPr>
        <w:t xml:space="preserve">the </w:t>
      </w:r>
      <w:r w:rsidR="00625830">
        <w:rPr>
          <w:rFonts w:ascii="Times New Roman" w:hAnsi="Times New Roman"/>
          <w:color w:val="000000"/>
          <w:sz w:val="24"/>
        </w:rPr>
        <w:t xml:space="preserve">deferral </w:t>
      </w:r>
      <w:r w:rsidRPr="00D5196F">
        <w:rPr>
          <w:rFonts w:ascii="Times New Roman" w:hAnsi="Times New Roman"/>
          <w:color w:val="000000"/>
          <w:sz w:val="24"/>
        </w:rPr>
        <w:t>petition</w:t>
      </w:r>
      <w:r w:rsidR="00625830">
        <w:rPr>
          <w:rFonts w:ascii="Times New Roman" w:hAnsi="Times New Roman"/>
          <w:color w:val="000000"/>
          <w:sz w:val="24"/>
        </w:rPr>
        <w:t xml:space="preserve"> along with </w:t>
      </w:r>
      <w:r w:rsidR="009647E0">
        <w:rPr>
          <w:rFonts w:ascii="Times New Roman" w:hAnsi="Times New Roman"/>
          <w:color w:val="000000"/>
          <w:sz w:val="24"/>
        </w:rPr>
        <w:t xml:space="preserve">a </w:t>
      </w:r>
      <w:r w:rsidR="00625830">
        <w:rPr>
          <w:rFonts w:ascii="Times New Roman" w:hAnsi="Times New Roman"/>
          <w:color w:val="000000"/>
          <w:sz w:val="24"/>
        </w:rPr>
        <w:t xml:space="preserve">limited </w:t>
      </w:r>
      <w:r w:rsidR="00CE5628">
        <w:rPr>
          <w:rFonts w:ascii="Times New Roman" w:hAnsi="Times New Roman"/>
          <w:color w:val="000000"/>
          <w:sz w:val="24"/>
        </w:rPr>
        <w:t xml:space="preserve">update to the </w:t>
      </w:r>
      <w:r w:rsidR="00625830">
        <w:rPr>
          <w:rFonts w:ascii="Times New Roman" w:hAnsi="Times New Roman"/>
          <w:color w:val="000000"/>
          <w:sz w:val="24"/>
        </w:rPr>
        <w:t>PCA baseline</w:t>
      </w:r>
      <w:r w:rsidRPr="00D5196F">
        <w:rPr>
          <w:rFonts w:ascii="Times New Roman" w:hAnsi="Times New Roman"/>
          <w:color w:val="000000"/>
          <w:sz w:val="24"/>
        </w:rPr>
        <w:t xml:space="preserve">. </w:t>
      </w:r>
    </w:p>
    <w:p w14:paraId="5334C095" w14:textId="77777777" w:rsidR="00F947DE" w:rsidRDefault="00F947DE" w:rsidP="00D5196F">
      <w:pPr>
        <w:spacing w:before="120" w:after="120"/>
        <w:rPr>
          <w:rFonts w:ascii="Times New Roman" w:hAnsi="Times New Roman"/>
          <w:color w:val="000000"/>
          <w:sz w:val="24"/>
        </w:rPr>
      </w:pPr>
    </w:p>
    <w:p w14:paraId="01D5E7E6" w14:textId="39E4D71A" w:rsidR="00D86E98" w:rsidRPr="00D86E98" w:rsidRDefault="00D86E98" w:rsidP="00D5196F">
      <w:pPr>
        <w:spacing w:before="120" w:after="120"/>
        <w:rPr>
          <w:rFonts w:ascii="Times New Roman" w:hAnsi="Times New Roman"/>
          <w:b/>
          <w:sz w:val="24"/>
          <w:u w:val="single"/>
        </w:rPr>
      </w:pPr>
      <w:r>
        <w:rPr>
          <w:rFonts w:ascii="Times New Roman" w:hAnsi="Times New Roman"/>
          <w:b/>
          <w:sz w:val="24"/>
          <w:u w:val="single"/>
        </w:rPr>
        <w:t>Discussion</w:t>
      </w:r>
    </w:p>
    <w:p w14:paraId="690C172F" w14:textId="026558AB" w:rsidR="00043193" w:rsidRDefault="00F8648D" w:rsidP="00D86E98">
      <w:pPr>
        <w:spacing w:before="120" w:after="120"/>
        <w:rPr>
          <w:rFonts w:ascii="Times New Roman" w:hAnsi="Times New Roman"/>
          <w:sz w:val="24"/>
        </w:rPr>
      </w:pPr>
      <w:r>
        <w:rPr>
          <w:rFonts w:ascii="Times New Roman" w:hAnsi="Times New Roman"/>
          <w:sz w:val="24"/>
        </w:rPr>
        <w:t>Staff</w:t>
      </w:r>
      <w:r w:rsidR="001D1C3D">
        <w:rPr>
          <w:rFonts w:ascii="Times New Roman" w:hAnsi="Times New Roman"/>
          <w:sz w:val="24"/>
        </w:rPr>
        <w:t xml:space="preserve"> reviewed the company</w:t>
      </w:r>
      <w:r>
        <w:rPr>
          <w:rFonts w:ascii="Times New Roman" w:hAnsi="Times New Roman"/>
          <w:sz w:val="24"/>
        </w:rPr>
        <w:t>’</w:t>
      </w:r>
      <w:r w:rsidR="001D1C3D">
        <w:rPr>
          <w:rFonts w:ascii="Times New Roman" w:hAnsi="Times New Roman"/>
          <w:sz w:val="24"/>
        </w:rPr>
        <w:t xml:space="preserve">s workpapers associated with its </w:t>
      </w:r>
      <w:r w:rsidR="0005502D">
        <w:rPr>
          <w:rFonts w:ascii="Times New Roman" w:hAnsi="Times New Roman"/>
          <w:sz w:val="24"/>
        </w:rPr>
        <w:t xml:space="preserve">proposed </w:t>
      </w:r>
      <w:r w:rsidR="001D1C3D">
        <w:rPr>
          <w:rFonts w:ascii="Times New Roman" w:hAnsi="Times New Roman"/>
          <w:sz w:val="24"/>
        </w:rPr>
        <w:t>PCA baseline</w:t>
      </w:r>
      <w:r w:rsidR="0005502D">
        <w:rPr>
          <w:rFonts w:ascii="Times New Roman" w:hAnsi="Times New Roman"/>
          <w:sz w:val="24"/>
        </w:rPr>
        <w:t xml:space="preserve"> change</w:t>
      </w:r>
      <w:r w:rsidR="001D1C3D">
        <w:rPr>
          <w:rFonts w:ascii="Times New Roman" w:hAnsi="Times New Roman"/>
          <w:sz w:val="24"/>
        </w:rPr>
        <w:t>. The new PCA baseline</w:t>
      </w:r>
      <w:r w:rsidR="00375900">
        <w:rPr>
          <w:rFonts w:ascii="Times New Roman" w:hAnsi="Times New Roman"/>
          <w:sz w:val="24"/>
        </w:rPr>
        <w:t xml:space="preserve"> of $58.144 is </w:t>
      </w:r>
      <w:r w:rsidR="0005502D">
        <w:rPr>
          <w:rFonts w:ascii="Times New Roman" w:hAnsi="Times New Roman"/>
          <w:sz w:val="24"/>
        </w:rPr>
        <w:t xml:space="preserve">2.80 percent </w:t>
      </w:r>
      <w:r w:rsidR="00375900">
        <w:rPr>
          <w:rFonts w:ascii="Times New Roman" w:hAnsi="Times New Roman"/>
          <w:sz w:val="24"/>
        </w:rPr>
        <w:t>lower than the current authorized rate of $59.819 per MWH.</w:t>
      </w:r>
      <w:r w:rsidR="003B1B16">
        <w:rPr>
          <w:rStyle w:val="FootnoteReference"/>
          <w:rFonts w:ascii="Times New Roman" w:hAnsi="Times New Roman"/>
          <w:sz w:val="24"/>
        </w:rPr>
        <w:footnoteReference w:id="11"/>
      </w:r>
      <w:r w:rsidR="00375900">
        <w:rPr>
          <w:rFonts w:ascii="Times New Roman" w:hAnsi="Times New Roman"/>
          <w:sz w:val="24"/>
        </w:rPr>
        <w:t xml:space="preserve"> </w:t>
      </w:r>
      <w:r w:rsidR="00AA42A8">
        <w:rPr>
          <w:rFonts w:ascii="Times New Roman" w:hAnsi="Times New Roman"/>
          <w:sz w:val="24"/>
        </w:rPr>
        <w:t xml:space="preserve">The company has also </w:t>
      </w:r>
      <w:r w:rsidR="00293961">
        <w:rPr>
          <w:rFonts w:ascii="Times New Roman" w:hAnsi="Times New Roman"/>
          <w:sz w:val="24"/>
        </w:rPr>
        <w:t>provided</w:t>
      </w:r>
      <w:r w:rsidR="00D61C6A">
        <w:rPr>
          <w:rFonts w:ascii="Times New Roman" w:hAnsi="Times New Roman"/>
          <w:sz w:val="24"/>
        </w:rPr>
        <w:t xml:space="preserve"> </w:t>
      </w:r>
      <w:r w:rsidR="00293961">
        <w:rPr>
          <w:rFonts w:ascii="Times New Roman" w:hAnsi="Times New Roman"/>
          <w:sz w:val="24"/>
        </w:rPr>
        <w:t xml:space="preserve">the </w:t>
      </w:r>
      <w:r w:rsidR="00D61C6A">
        <w:rPr>
          <w:rFonts w:ascii="Times New Roman" w:hAnsi="Times New Roman"/>
          <w:sz w:val="24"/>
        </w:rPr>
        <w:t xml:space="preserve">variable and fixed production cost </w:t>
      </w:r>
      <w:r w:rsidR="00293961">
        <w:rPr>
          <w:rFonts w:ascii="Times New Roman" w:hAnsi="Times New Roman"/>
          <w:sz w:val="24"/>
        </w:rPr>
        <w:t xml:space="preserve">amounts </w:t>
      </w:r>
      <w:r w:rsidR="00043193">
        <w:rPr>
          <w:rFonts w:ascii="Times New Roman" w:hAnsi="Times New Roman"/>
          <w:sz w:val="24"/>
        </w:rPr>
        <w:t xml:space="preserve">of the </w:t>
      </w:r>
      <w:r w:rsidR="00D61C6A">
        <w:rPr>
          <w:rFonts w:ascii="Times New Roman" w:hAnsi="Times New Roman"/>
          <w:sz w:val="24"/>
        </w:rPr>
        <w:t>PCA baseline. The variable pro</w:t>
      </w:r>
      <w:r w:rsidR="0005502D">
        <w:rPr>
          <w:rFonts w:ascii="Times New Roman" w:hAnsi="Times New Roman"/>
          <w:sz w:val="24"/>
        </w:rPr>
        <w:t xml:space="preserve">duction cost amount, which becomes the PCA baseline after January 1, 2017, </w:t>
      </w:r>
      <w:r w:rsidR="0003441F">
        <w:rPr>
          <w:rFonts w:ascii="Times New Roman" w:hAnsi="Times New Roman"/>
          <w:sz w:val="24"/>
        </w:rPr>
        <w:t xml:space="preserve">is $33.453. The fixed production cost portion of the PCA baseline </w:t>
      </w:r>
      <w:r w:rsidR="00043193">
        <w:rPr>
          <w:rFonts w:ascii="Times New Roman" w:hAnsi="Times New Roman"/>
          <w:sz w:val="24"/>
        </w:rPr>
        <w:t xml:space="preserve">is </w:t>
      </w:r>
      <w:r w:rsidR="0003441F">
        <w:rPr>
          <w:rFonts w:ascii="Times New Roman" w:hAnsi="Times New Roman"/>
          <w:sz w:val="24"/>
        </w:rPr>
        <w:t>$24.691.</w:t>
      </w:r>
      <w:r w:rsidR="00043193">
        <w:rPr>
          <w:rFonts w:ascii="Times New Roman" w:hAnsi="Times New Roman"/>
          <w:sz w:val="24"/>
        </w:rPr>
        <w:t xml:space="preserve"> </w:t>
      </w:r>
      <w:r w:rsidR="0003441F">
        <w:rPr>
          <w:rFonts w:ascii="Times New Roman" w:hAnsi="Times New Roman"/>
          <w:sz w:val="24"/>
        </w:rPr>
        <w:t xml:space="preserve">This amount will be removed from the PCA after </w:t>
      </w:r>
      <w:r w:rsidR="006D7178">
        <w:rPr>
          <w:rFonts w:ascii="Times New Roman" w:hAnsi="Times New Roman"/>
          <w:sz w:val="24"/>
        </w:rPr>
        <w:t>January</w:t>
      </w:r>
      <w:r w:rsidR="0003441F">
        <w:rPr>
          <w:rFonts w:ascii="Times New Roman" w:hAnsi="Times New Roman"/>
          <w:sz w:val="24"/>
        </w:rPr>
        <w:t xml:space="preserve"> 1, 2017, and will be used in the proposed deferral as described in the background section of </w:t>
      </w:r>
      <w:r>
        <w:rPr>
          <w:rFonts w:ascii="Times New Roman" w:hAnsi="Times New Roman"/>
          <w:sz w:val="24"/>
        </w:rPr>
        <w:t>Staff’</w:t>
      </w:r>
      <w:r w:rsidR="0003441F">
        <w:rPr>
          <w:rFonts w:ascii="Times New Roman" w:hAnsi="Times New Roman"/>
          <w:sz w:val="24"/>
        </w:rPr>
        <w:t>s memo.</w:t>
      </w:r>
    </w:p>
    <w:p w14:paraId="62AF009D" w14:textId="713FCAF2" w:rsidR="00773D19" w:rsidRDefault="00660E58" w:rsidP="00D86E98">
      <w:pPr>
        <w:spacing w:before="120" w:after="120"/>
        <w:rPr>
          <w:rFonts w:ascii="Times New Roman" w:hAnsi="Times New Roman"/>
          <w:sz w:val="24"/>
        </w:rPr>
      </w:pPr>
      <w:r>
        <w:rPr>
          <w:rFonts w:ascii="Times New Roman" w:hAnsi="Times New Roman"/>
          <w:sz w:val="24"/>
        </w:rPr>
        <w:t>The increase in power costs associated with price and volume changes in the Centralia Coal Transition PPA result in $47.3 million in added costs for the rate year</w:t>
      </w:r>
      <w:r w:rsidR="00162DFE">
        <w:rPr>
          <w:rFonts w:ascii="Times New Roman" w:hAnsi="Times New Roman"/>
          <w:sz w:val="24"/>
        </w:rPr>
        <w:t>. This increase</w:t>
      </w:r>
      <w:r>
        <w:rPr>
          <w:rFonts w:ascii="Times New Roman" w:hAnsi="Times New Roman"/>
          <w:sz w:val="24"/>
        </w:rPr>
        <w:t xml:space="preserve"> </w:t>
      </w:r>
      <w:r w:rsidR="00162DFE">
        <w:rPr>
          <w:rFonts w:ascii="Times New Roman" w:hAnsi="Times New Roman"/>
          <w:sz w:val="24"/>
        </w:rPr>
        <w:t xml:space="preserve">is </w:t>
      </w:r>
      <w:r>
        <w:rPr>
          <w:rFonts w:ascii="Times New Roman" w:hAnsi="Times New Roman"/>
          <w:sz w:val="24"/>
        </w:rPr>
        <w:t>offset by lower gas and market prices. The result is an overall decrease of $37.0 million in power costs for the rate year.</w:t>
      </w:r>
      <w:r w:rsidR="00162DFE">
        <w:rPr>
          <w:rStyle w:val="FootnoteReference"/>
          <w:rFonts w:ascii="Times New Roman" w:hAnsi="Times New Roman"/>
          <w:sz w:val="24"/>
        </w:rPr>
        <w:footnoteReference w:id="12"/>
      </w:r>
      <w:r>
        <w:rPr>
          <w:rFonts w:ascii="Times New Roman" w:hAnsi="Times New Roman"/>
          <w:sz w:val="24"/>
        </w:rPr>
        <w:t xml:space="preserve"> </w:t>
      </w:r>
      <w:r w:rsidR="00773D19">
        <w:rPr>
          <w:rFonts w:ascii="Times New Roman" w:hAnsi="Times New Roman"/>
          <w:sz w:val="24"/>
        </w:rPr>
        <w:t xml:space="preserve">The impact to a typical residential bill </w:t>
      </w:r>
      <w:r w:rsidR="0045769A">
        <w:rPr>
          <w:rFonts w:ascii="Times New Roman" w:hAnsi="Times New Roman"/>
          <w:sz w:val="24"/>
        </w:rPr>
        <w:t xml:space="preserve">for a customer </w:t>
      </w:r>
      <w:r w:rsidR="00773D19">
        <w:rPr>
          <w:rFonts w:ascii="Times New Roman" w:hAnsi="Times New Roman"/>
          <w:sz w:val="24"/>
        </w:rPr>
        <w:t>using 1,000 kWh will be a monthly decrease of $1.84</w:t>
      </w:r>
      <w:r w:rsidR="0045769A">
        <w:rPr>
          <w:rFonts w:ascii="Times New Roman" w:hAnsi="Times New Roman"/>
          <w:sz w:val="24"/>
        </w:rPr>
        <w:t xml:space="preserve"> (1.73 percent)</w:t>
      </w:r>
      <w:r w:rsidR="00773D19">
        <w:rPr>
          <w:rFonts w:ascii="Times New Roman" w:hAnsi="Times New Roman"/>
          <w:sz w:val="24"/>
        </w:rPr>
        <w:t>.</w:t>
      </w:r>
      <w:r w:rsidR="0045769A">
        <w:rPr>
          <w:rStyle w:val="FootnoteReference"/>
          <w:rFonts w:ascii="Times New Roman" w:hAnsi="Times New Roman"/>
          <w:sz w:val="24"/>
        </w:rPr>
        <w:footnoteReference w:id="13"/>
      </w:r>
    </w:p>
    <w:p w14:paraId="0BCE2586" w14:textId="70434F86" w:rsidR="002A61FE" w:rsidRDefault="00773D19" w:rsidP="00D86E98">
      <w:pPr>
        <w:spacing w:before="120" w:after="120"/>
        <w:rPr>
          <w:rFonts w:ascii="Times New Roman" w:hAnsi="Times New Roman"/>
          <w:sz w:val="24"/>
        </w:rPr>
      </w:pPr>
      <w:r>
        <w:rPr>
          <w:rFonts w:ascii="Times New Roman" w:hAnsi="Times New Roman"/>
          <w:sz w:val="24"/>
        </w:rPr>
        <w:lastRenderedPageBreak/>
        <w:t>In the coming months, PSE will prepare a joint motion by parties to the adjudicative proceeding in UE-130617 to modify Order 11 and expand the deferral period consistent with the agreement reached by parties to extend PSE</w:t>
      </w:r>
      <w:r w:rsidR="00F8648D">
        <w:rPr>
          <w:rFonts w:ascii="Times New Roman" w:hAnsi="Times New Roman"/>
          <w:sz w:val="24"/>
        </w:rPr>
        <w:t>’</w:t>
      </w:r>
      <w:r>
        <w:rPr>
          <w:rFonts w:ascii="Times New Roman" w:hAnsi="Times New Roman"/>
          <w:sz w:val="24"/>
        </w:rPr>
        <w:t xml:space="preserve">s stay-out period </w:t>
      </w:r>
      <w:r w:rsidR="00B96D4D">
        <w:rPr>
          <w:rFonts w:ascii="Times New Roman" w:hAnsi="Times New Roman"/>
          <w:sz w:val="24"/>
        </w:rPr>
        <w:t xml:space="preserve">by </w:t>
      </w:r>
      <w:r>
        <w:rPr>
          <w:rFonts w:ascii="Times New Roman" w:hAnsi="Times New Roman"/>
          <w:sz w:val="24"/>
        </w:rPr>
        <w:t xml:space="preserve">another nine months. </w:t>
      </w:r>
      <w:r w:rsidR="00F8648D">
        <w:rPr>
          <w:rFonts w:ascii="Times New Roman" w:hAnsi="Times New Roman"/>
          <w:sz w:val="24"/>
        </w:rPr>
        <w:t>Staff</w:t>
      </w:r>
      <w:r>
        <w:rPr>
          <w:rFonts w:ascii="Times New Roman" w:hAnsi="Times New Roman"/>
          <w:sz w:val="24"/>
        </w:rPr>
        <w:t>, as one of the parties, plans to support PSE</w:t>
      </w:r>
      <w:r w:rsidR="00F8648D">
        <w:rPr>
          <w:rFonts w:ascii="Times New Roman" w:hAnsi="Times New Roman"/>
          <w:sz w:val="24"/>
        </w:rPr>
        <w:t>’</w:t>
      </w:r>
      <w:r>
        <w:rPr>
          <w:rFonts w:ascii="Times New Roman" w:hAnsi="Times New Roman"/>
          <w:sz w:val="24"/>
        </w:rPr>
        <w:t>s petition for an extension of the deferral period until rates become effective in the company</w:t>
      </w:r>
      <w:r w:rsidR="00F8648D">
        <w:rPr>
          <w:rFonts w:ascii="Times New Roman" w:hAnsi="Times New Roman"/>
          <w:sz w:val="24"/>
        </w:rPr>
        <w:t>’</w:t>
      </w:r>
      <w:r>
        <w:rPr>
          <w:rFonts w:ascii="Times New Roman" w:hAnsi="Times New Roman"/>
          <w:sz w:val="24"/>
        </w:rPr>
        <w:t xml:space="preserve">s next rate case. </w:t>
      </w:r>
      <w:r w:rsidR="00375900">
        <w:rPr>
          <w:rFonts w:ascii="Times New Roman" w:hAnsi="Times New Roman"/>
          <w:sz w:val="24"/>
        </w:rPr>
        <w:t xml:space="preserve"> </w:t>
      </w:r>
      <w:r w:rsidR="009E7EB8">
        <w:rPr>
          <w:rFonts w:ascii="Times New Roman" w:hAnsi="Times New Roman"/>
          <w:sz w:val="24"/>
        </w:rPr>
        <w:t xml:space="preserve"> </w:t>
      </w:r>
    </w:p>
    <w:p w14:paraId="4870839D" w14:textId="77777777" w:rsidR="00F8648D" w:rsidRDefault="00F8648D" w:rsidP="00D86E98">
      <w:pPr>
        <w:spacing w:before="120" w:after="120"/>
        <w:rPr>
          <w:rFonts w:ascii="Times New Roman" w:hAnsi="Times New Roman"/>
          <w:sz w:val="24"/>
        </w:rPr>
      </w:pPr>
    </w:p>
    <w:p w14:paraId="04D5D1C3" w14:textId="77777777" w:rsidR="00633FE5" w:rsidRPr="00474A0A" w:rsidRDefault="00633FE5" w:rsidP="000F593B">
      <w:pPr>
        <w:pStyle w:val="Heading1"/>
        <w:spacing w:before="120" w:after="120"/>
        <w:rPr>
          <w:rStyle w:val="BookTitle"/>
        </w:rPr>
      </w:pPr>
      <w:r w:rsidRPr="00474A0A">
        <w:rPr>
          <w:rStyle w:val="BookTitle"/>
        </w:rPr>
        <w:t>Conclusion</w:t>
      </w:r>
    </w:p>
    <w:p w14:paraId="04D5D1C7" w14:textId="02A3B4F8" w:rsidR="00633FE5" w:rsidRPr="00AC5A84" w:rsidRDefault="00F8648D" w:rsidP="000F593B">
      <w:pPr>
        <w:widowControl/>
        <w:autoSpaceDE/>
        <w:autoSpaceDN/>
        <w:adjustRightInd/>
        <w:spacing w:before="120" w:after="120"/>
        <w:rPr>
          <w:rFonts w:ascii="Times New Roman" w:hAnsi="Times New Roman"/>
        </w:rPr>
      </w:pPr>
      <w:r>
        <w:rPr>
          <w:rFonts w:ascii="Times New Roman" w:hAnsi="Times New Roman"/>
          <w:sz w:val="24"/>
        </w:rPr>
        <w:t>Staff</w:t>
      </w:r>
      <w:r w:rsidR="00A55E57" w:rsidRPr="00A55E57">
        <w:rPr>
          <w:rFonts w:ascii="Times New Roman" w:hAnsi="Times New Roman"/>
          <w:sz w:val="24"/>
        </w:rPr>
        <w:t xml:space="preserve"> </w:t>
      </w:r>
      <w:r w:rsidR="008259E6">
        <w:rPr>
          <w:rFonts w:ascii="Times New Roman" w:hAnsi="Times New Roman"/>
          <w:sz w:val="24"/>
        </w:rPr>
        <w:t xml:space="preserve">recommends the </w:t>
      </w:r>
      <w:r>
        <w:rPr>
          <w:rFonts w:ascii="Times New Roman" w:hAnsi="Times New Roman"/>
          <w:sz w:val="24"/>
        </w:rPr>
        <w:t>commission</w:t>
      </w:r>
      <w:r w:rsidR="008259E6">
        <w:rPr>
          <w:rFonts w:ascii="Times New Roman" w:hAnsi="Times New Roman"/>
          <w:sz w:val="24"/>
        </w:rPr>
        <w:t xml:space="preserve"> take no action, allowing the </w:t>
      </w:r>
      <w:r w:rsidR="008259E6" w:rsidRPr="008259E6">
        <w:rPr>
          <w:rFonts w:ascii="Times New Roman" w:hAnsi="Times New Roman"/>
          <w:sz w:val="24"/>
        </w:rPr>
        <w:t xml:space="preserve">tariff revisions filed in Docket UE-161135 </w:t>
      </w:r>
      <w:r w:rsidR="008259E6">
        <w:rPr>
          <w:rFonts w:ascii="Times New Roman" w:hAnsi="Times New Roman"/>
          <w:sz w:val="24"/>
        </w:rPr>
        <w:t xml:space="preserve">to go into </w:t>
      </w:r>
      <w:r w:rsidR="008259E6" w:rsidRPr="008259E6">
        <w:rPr>
          <w:rFonts w:ascii="Times New Roman" w:hAnsi="Times New Roman"/>
          <w:sz w:val="24"/>
        </w:rPr>
        <w:t xml:space="preserve">effect by operation of law and </w:t>
      </w:r>
      <w:r w:rsidR="008259E6">
        <w:rPr>
          <w:rFonts w:ascii="Times New Roman" w:hAnsi="Times New Roman"/>
          <w:sz w:val="24"/>
        </w:rPr>
        <w:t xml:space="preserve">that the </w:t>
      </w:r>
      <w:r>
        <w:rPr>
          <w:rFonts w:ascii="Times New Roman" w:hAnsi="Times New Roman"/>
          <w:sz w:val="24"/>
        </w:rPr>
        <w:t>commission</w:t>
      </w:r>
      <w:r w:rsidR="008259E6">
        <w:rPr>
          <w:rFonts w:ascii="Times New Roman" w:hAnsi="Times New Roman"/>
          <w:sz w:val="24"/>
        </w:rPr>
        <w:t xml:space="preserve"> </w:t>
      </w:r>
      <w:r w:rsidR="008259E6" w:rsidRPr="008259E6">
        <w:rPr>
          <w:rFonts w:ascii="Times New Roman" w:hAnsi="Times New Roman"/>
          <w:sz w:val="24"/>
        </w:rPr>
        <w:t>issue an order granting PSE</w:t>
      </w:r>
      <w:r>
        <w:rPr>
          <w:rFonts w:ascii="Times New Roman" w:hAnsi="Times New Roman"/>
          <w:sz w:val="24"/>
        </w:rPr>
        <w:t>’</w:t>
      </w:r>
      <w:r w:rsidR="008259E6" w:rsidRPr="008259E6">
        <w:rPr>
          <w:rFonts w:ascii="Times New Roman" w:hAnsi="Times New Roman"/>
          <w:sz w:val="24"/>
        </w:rPr>
        <w:t xml:space="preserve">s petition in UE-161112, authorizing deferral of variances in the revenue it collects under its Schedule No. 95 for the fixed production cost portion of its power cost baseline due to be removed from </w:t>
      </w:r>
      <w:r w:rsidR="008259E6">
        <w:rPr>
          <w:rFonts w:ascii="Times New Roman" w:hAnsi="Times New Roman"/>
          <w:sz w:val="24"/>
        </w:rPr>
        <w:t xml:space="preserve">the </w:t>
      </w:r>
      <w:r w:rsidR="008259E6" w:rsidRPr="008259E6">
        <w:rPr>
          <w:rFonts w:ascii="Times New Roman" w:hAnsi="Times New Roman"/>
          <w:sz w:val="24"/>
        </w:rPr>
        <w:t>PCA beginning January 1, 2017</w:t>
      </w:r>
      <w:r w:rsidR="00A55E57" w:rsidRPr="00A55E57">
        <w:rPr>
          <w:rFonts w:ascii="Times New Roman" w:hAnsi="Times New Roman"/>
          <w:sz w:val="24"/>
        </w:rPr>
        <w:t>.</w:t>
      </w:r>
    </w:p>
    <w:p w14:paraId="0F2844B2" w14:textId="62B3FBA7" w:rsidR="000F593B" w:rsidRPr="00AC5A84" w:rsidRDefault="000F593B">
      <w:pPr>
        <w:widowControl/>
        <w:autoSpaceDE/>
        <w:autoSpaceDN/>
        <w:adjustRightInd/>
        <w:spacing w:before="120" w:after="120"/>
        <w:rPr>
          <w:rFonts w:ascii="Times New Roman" w:hAnsi="Times New Roman"/>
        </w:rPr>
      </w:pPr>
    </w:p>
    <w:sectPr w:rsidR="000F593B" w:rsidRPr="00AC5A84" w:rsidSect="00F947DE">
      <w:headerReference w:type="default" r:id="rId11"/>
      <w:pgSz w:w="12240" w:h="15840"/>
      <w:pgMar w:top="117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7B9B" w14:textId="77777777" w:rsidR="002324DA" w:rsidRDefault="002324DA" w:rsidP="00446BE3">
      <w:r>
        <w:separator/>
      </w:r>
    </w:p>
  </w:endnote>
  <w:endnote w:type="continuationSeparator" w:id="0">
    <w:p w14:paraId="1C1EB289" w14:textId="77777777" w:rsidR="002324DA" w:rsidRDefault="002324DA"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F6A" w14:textId="77777777" w:rsidR="002324DA" w:rsidRDefault="002324DA" w:rsidP="00446BE3">
      <w:r>
        <w:separator/>
      </w:r>
    </w:p>
  </w:footnote>
  <w:footnote w:type="continuationSeparator" w:id="0">
    <w:p w14:paraId="5CA81911" w14:textId="77777777" w:rsidR="002324DA" w:rsidRDefault="002324DA" w:rsidP="00446BE3">
      <w:r>
        <w:continuationSeparator/>
      </w:r>
    </w:p>
  </w:footnote>
  <w:footnote w:id="1">
    <w:p w14:paraId="3F5C343E" w14:textId="56844212" w:rsidR="00D5196F" w:rsidRPr="00EE57F4" w:rsidRDefault="00D5196F" w:rsidP="00D5196F">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Both over-collection and under-collection.</w:t>
      </w:r>
    </w:p>
  </w:footnote>
  <w:footnote w:id="2">
    <w:p w14:paraId="6B770FFC" w14:textId="77777777" w:rsidR="00B61D93" w:rsidRPr="00EE57F4" w:rsidRDefault="00B61D93" w:rsidP="00B61D93">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w:t>
      </w:r>
      <w:r w:rsidRPr="00EE57F4">
        <w:rPr>
          <w:rFonts w:ascii="Times New Roman" w:hAnsi="Times New Roman"/>
          <w:i/>
        </w:rPr>
        <w:t>WUTC v. Puget Sound Energy, Inc.</w:t>
      </w:r>
      <w:r w:rsidRPr="00EE57F4">
        <w:rPr>
          <w:rFonts w:ascii="Times New Roman" w:hAnsi="Times New Roman"/>
        </w:rPr>
        <w:t xml:space="preserve">, Dockets UE-130617 </w:t>
      </w:r>
      <w:r w:rsidRPr="00EE57F4">
        <w:rPr>
          <w:rFonts w:ascii="Times New Roman" w:hAnsi="Times New Roman"/>
          <w:i/>
        </w:rPr>
        <w:t>et al</w:t>
      </w:r>
      <w:r w:rsidRPr="00EE57F4">
        <w:rPr>
          <w:rFonts w:ascii="Times New Roman" w:hAnsi="Times New Roman"/>
        </w:rPr>
        <w:t>,</w:t>
      </w:r>
      <w:r w:rsidRPr="00EE57F4">
        <w:rPr>
          <w:rFonts w:ascii="Times New Roman" w:hAnsi="Times New Roman"/>
          <w:i/>
        </w:rPr>
        <w:t xml:space="preserve"> </w:t>
      </w:r>
      <w:r w:rsidRPr="00EE57F4">
        <w:rPr>
          <w:rFonts w:ascii="Times New Roman" w:hAnsi="Times New Roman"/>
        </w:rPr>
        <w:t>Order 11, ¶ 15 (August 7, 2015) and Appendix A to Order 11 – Settlement Stipulation, ¶ 9, Section F, Item 4.</w:t>
      </w:r>
    </w:p>
  </w:footnote>
  <w:footnote w:id="3">
    <w:p w14:paraId="7E8BDF9C" w14:textId="77777777" w:rsidR="00C34013" w:rsidRPr="00EE57F4" w:rsidRDefault="00C34013" w:rsidP="00C34013">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Ibid, ¶ 6.</w:t>
      </w:r>
    </w:p>
  </w:footnote>
  <w:footnote w:id="4">
    <w:p w14:paraId="570E5F87" w14:textId="29B9800D" w:rsidR="00C34013" w:rsidRPr="00EE57F4" w:rsidRDefault="00C34013" w:rsidP="00C34013">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In </w:t>
      </w:r>
      <w:r w:rsidRPr="00EE57F4">
        <w:rPr>
          <w:rFonts w:ascii="Times New Roman" w:hAnsi="Times New Roman"/>
          <w:i/>
        </w:rPr>
        <w:t>WUTC v. Puget Sound Energy, Inc.</w:t>
      </w:r>
      <w:r w:rsidRPr="00EE57F4">
        <w:rPr>
          <w:rFonts w:ascii="Times New Roman" w:hAnsi="Times New Roman"/>
        </w:rPr>
        <w:t xml:space="preserve">, Dockets UE-130617 </w:t>
      </w:r>
      <w:r w:rsidRPr="00EE57F4">
        <w:rPr>
          <w:rFonts w:ascii="Times New Roman" w:hAnsi="Times New Roman"/>
          <w:i/>
        </w:rPr>
        <w:t>et al</w:t>
      </w:r>
      <w:r w:rsidRPr="00EE57F4">
        <w:rPr>
          <w:rFonts w:ascii="Times New Roman" w:hAnsi="Times New Roman"/>
        </w:rPr>
        <w:t>, Appendix A to Order 11 – Settlement Stipulation, ¶ 9, Section F, Item 2, it was agreed among the settling parties that the interest rate on any deferred customer surcharges or refunds will continue f</w:t>
      </w:r>
      <w:r w:rsidR="00F8648D">
        <w:rPr>
          <w:rFonts w:ascii="Times New Roman" w:hAnsi="Times New Roman"/>
        </w:rPr>
        <w:t xml:space="preserve">or the PCA per current policy. </w:t>
      </w:r>
      <w:r w:rsidRPr="00EE57F4">
        <w:rPr>
          <w:rFonts w:ascii="Times New Roman" w:hAnsi="Times New Roman"/>
        </w:rPr>
        <w:t xml:space="preserve">Staff has proposed, and the </w:t>
      </w:r>
      <w:r w:rsidR="00F8648D">
        <w:rPr>
          <w:rFonts w:ascii="Times New Roman" w:hAnsi="Times New Roman"/>
        </w:rPr>
        <w:t>c</w:t>
      </w:r>
      <w:r w:rsidRPr="00EE57F4">
        <w:rPr>
          <w:rFonts w:ascii="Times New Roman" w:hAnsi="Times New Roman"/>
        </w:rPr>
        <w:t xml:space="preserve">ompany agrees to apply the FERC Interest Rate to the revenue variances (both over and under collection) associated with its recovery of its fixed production related costs in order to be consistent with both the PCA and the </w:t>
      </w:r>
      <w:r w:rsidR="00F8648D">
        <w:rPr>
          <w:rFonts w:ascii="Times New Roman" w:hAnsi="Times New Roman"/>
        </w:rPr>
        <w:t>c</w:t>
      </w:r>
      <w:r w:rsidRPr="00EE57F4">
        <w:rPr>
          <w:rFonts w:ascii="Times New Roman" w:hAnsi="Times New Roman"/>
        </w:rPr>
        <w:t>ompany’s existing Decoupling Mechanism.</w:t>
      </w:r>
    </w:p>
  </w:footnote>
  <w:footnote w:id="5">
    <w:p w14:paraId="4126FE71" w14:textId="3D6FA980" w:rsidR="00FF0054" w:rsidRPr="00FF0054" w:rsidRDefault="00FF0054">
      <w:pPr>
        <w:pStyle w:val="FootnoteText"/>
        <w:rPr>
          <w:rFonts w:ascii="Times New Roman" w:hAnsi="Times New Roman"/>
        </w:rPr>
      </w:pPr>
      <w:r w:rsidRPr="00FF0054">
        <w:rPr>
          <w:rStyle w:val="FootnoteReference"/>
          <w:rFonts w:ascii="Times New Roman" w:hAnsi="Times New Roman"/>
        </w:rPr>
        <w:footnoteRef/>
      </w:r>
      <w:r w:rsidRPr="00FF0054">
        <w:rPr>
          <w:rFonts w:ascii="Times New Roman" w:hAnsi="Times New Roman"/>
        </w:rPr>
        <w:t xml:space="preserve"> UE-161135</w:t>
      </w:r>
      <w:r>
        <w:rPr>
          <w:rFonts w:ascii="Times New Roman" w:hAnsi="Times New Roman"/>
        </w:rPr>
        <w:t>.</w:t>
      </w:r>
    </w:p>
  </w:footnote>
  <w:footnote w:id="6">
    <w:p w14:paraId="6A574BAE" w14:textId="5BD804E9" w:rsidR="00606F0A" w:rsidRPr="00606F0A" w:rsidRDefault="00606F0A">
      <w:pPr>
        <w:pStyle w:val="FootnoteText"/>
        <w:rPr>
          <w:rFonts w:ascii="Times New Roman" w:hAnsi="Times New Roman"/>
        </w:rPr>
      </w:pPr>
      <w:r w:rsidRPr="00606F0A">
        <w:rPr>
          <w:rStyle w:val="FootnoteReference"/>
          <w:rFonts w:ascii="Times New Roman" w:hAnsi="Times New Roman"/>
        </w:rPr>
        <w:footnoteRef/>
      </w:r>
      <w:r w:rsidRPr="00606F0A">
        <w:rPr>
          <w:rFonts w:ascii="Times New Roman" w:hAnsi="Times New Roman"/>
        </w:rPr>
        <w:t xml:space="preserve"> </w:t>
      </w:r>
      <w:r>
        <w:rPr>
          <w:rFonts w:ascii="Times New Roman" w:hAnsi="Times New Roman"/>
        </w:rPr>
        <w:t>UE-141141, Order 04, ¶22, Item 10.</w:t>
      </w:r>
    </w:p>
  </w:footnote>
  <w:footnote w:id="7">
    <w:p w14:paraId="476A369C" w14:textId="190FC639" w:rsidR="00CE5628" w:rsidRPr="00CE5628" w:rsidRDefault="00CE5628">
      <w:pPr>
        <w:pStyle w:val="FootnoteText"/>
        <w:rPr>
          <w:rFonts w:ascii="Times New Roman" w:hAnsi="Times New Roman"/>
        </w:rPr>
      </w:pPr>
      <w:r w:rsidRPr="00CE5628">
        <w:rPr>
          <w:rStyle w:val="FootnoteReference"/>
          <w:rFonts w:ascii="Times New Roman" w:hAnsi="Times New Roman"/>
        </w:rPr>
        <w:footnoteRef/>
      </w:r>
      <w:r w:rsidRPr="00CE5628">
        <w:rPr>
          <w:rFonts w:ascii="Times New Roman" w:hAnsi="Times New Roman"/>
        </w:rPr>
        <w:t xml:space="preserve"> </w:t>
      </w:r>
      <w:r>
        <w:rPr>
          <w:rFonts w:ascii="Times New Roman" w:hAnsi="Times New Roman"/>
        </w:rPr>
        <w:t xml:space="preserve">The deferral period proposed </w:t>
      </w:r>
      <w:r w:rsidR="008130B1">
        <w:rPr>
          <w:rFonts w:ascii="Times New Roman" w:hAnsi="Times New Roman"/>
        </w:rPr>
        <w:t xml:space="preserve">by the Joint Parties </w:t>
      </w:r>
      <w:r w:rsidR="006D7178">
        <w:rPr>
          <w:rFonts w:ascii="Times New Roman" w:hAnsi="Times New Roman"/>
        </w:rPr>
        <w:t xml:space="preserve">is from </w:t>
      </w:r>
      <w:r w:rsidRPr="00CE5628">
        <w:rPr>
          <w:rFonts w:ascii="Times New Roman" w:hAnsi="Times New Roman"/>
        </w:rPr>
        <w:t>January 17, 2017</w:t>
      </w:r>
      <w:r w:rsidR="006D7178">
        <w:rPr>
          <w:rFonts w:ascii="Times New Roman" w:hAnsi="Times New Roman"/>
        </w:rPr>
        <w:t>,</w:t>
      </w:r>
      <w:r w:rsidRPr="00CE5628">
        <w:rPr>
          <w:rFonts w:ascii="Times New Roman" w:hAnsi="Times New Roman"/>
        </w:rPr>
        <w:t xml:space="preserve"> and end</w:t>
      </w:r>
      <w:r>
        <w:rPr>
          <w:rFonts w:ascii="Times New Roman" w:hAnsi="Times New Roman"/>
        </w:rPr>
        <w:t>s</w:t>
      </w:r>
      <w:r w:rsidRPr="00CE5628">
        <w:rPr>
          <w:rFonts w:ascii="Times New Roman" w:hAnsi="Times New Roman"/>
        </w:rPr>
        <w:t xml:space="preserve"> the day rates become effective in PSE’s next general rate case which is e</w:t>
      </w:r>
      <w:r>
        <w:rPr>
          <w:rFonts w:ascii="Times New Roman" w:hAnsi="Times New Roman"/>
        </w:rPr>
        <w:t>xpected to be December 17, 2017.</w:t>
      </w:r>
    </w:p>
  </w:footnote>
  <w:footnote w:id="8">
    <w:p w14:paraId="6B9C1BDB" w14:textId="77777777" w:rsidR="00725EE2" w:rsidRPr="00EE57F4" w:rsidRDefault="00725EE2" w:rsidP="00725EE2">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UE-121697, Joint Petition to Modify Order 07, ¶ 8, Item H.</w:t>
      </w:r>
    </w:p>
  </w:footnote>
  <w:footnote w:id="9">
    <w:p w14:paraId="40924815" w14:textId="00FEBD41" w:rsidR="00D5196F" w:rsidRPr="00EE57F4" w:rsidRDefault="00D5196F" w:rsidP="00D5196F">
      <w:pPr>
        <w:pStyle w:val="FootnoteText"/>
        <w:rPr>
          <w:rFonts w:ascii="Times New Roman" w:hAnsi="Times New Roman"/>
        </w:rPr>
      </w:pPr>
      <w:r w:rsidRPr="00EE57F4">
        <w:rPr>
          <w:rStyle w:val="FootnoteReference"/>
          <w:rFonts w:ascii="Times New Roman" w:hAnsi="Times New Roman"/>
        </w:rPr>
        <w:footnoteRef/>
      </w:r>
      <w:r w:rsidRPr="00EE57F4">
        <w:rPr>
          <w:rFonts w:ascii="Times New Roman" w:hAnsi="Times New Roman"/>
        </w:rPr>
        <w:t xml:space="preserve"> Ibid, ¶ 8, Item C.</w:t>
      </w:r>
      <w:r w:rsidR="00643835">
        <w:rPr>
          <w:rFonts w:ascii="Times New Roman" w:hAnsi="Times New Roman"/>
        </w:rPr>
        <w:t xml:space="preserve"> </w:t>
      </w:r>
    </w:p>
  </w:footnote>
  <w:footnote w:id="10">
    <w:p w14:paraId="2482CAC7" w14:textId="447E2275" w:rsidR="00643835" w:rsidRPr="00643835" w:rsidRDefault="00643835">
      <w:pPr>
        <w:pStyle w:val="FootnoteText"/>
        <w:rPr>
          <w:rFonts w:ascii="Times New Roman" w:hAnsi="Times New Roman"/>
        </w:rPr>
      </w:pPr>
      <w:r w:rsidRPr="00643835">
        <w:rPr>
          <w:rStyle w:val="FootnoteReference"/>
          <w:rFonts w:ascii="Times New Roman" w:hAnsi="Times New Roman"/>
        </w:rPr>
        <w:footnoteRef/>
      </w:r>
      <w:r>
        <w:rPr>
          <w:rFonts w:ascii="Times New Roman" w:hAnsi="Times New Roman"/>
        </w:rPr>
        <w:t xml:space="preserve"> In their motion to modify Order 07, the Joint Parties agreed to expand the scope of the </w:t>
      </w:r>
      <w:r w:rsidR="00293961">
        <w:rPr>
          <w:rFonts w:ascii="Times New Roman" w:hAnsi="Times New Roman"/>
        </w:rPr>
        <w:t xml:space="preserve">2016 </w:t>
      </w:r>
      <w:r>
        <w:rPr>
          <w:rFonts w:ascii="Times New Roman" w:hAnsi="Times New Roman"/>
        </w:rPr>
        <w:t>PCA baseline</w:t>
      </w:r>
      <w:r w:rsidR="00293961">
        <w:rPr>
          <w:rFonts w:ascii="Times New Roman" w:hAnsi="Times New Roman"/>
        </w:rPr>
        <w:t xml:space="preserve"> update </w:t>
      </w:r>
      <w:r w:rsidR="008130B1">
        <w:rPr>
          <w:rFonts w:ascii="Times New Roman" w:hAnsi="Times New Roman"/>
        </w:rPr>
        <w:t xml:space="preserve">authorized by the </w:t>
      </w:r>
      <w:r w:rsidR="00F8648D">
        <w:rPr>
          <w:rFonts w:ascii="Times New Roman" w:hAnsi="Times New Roman"/>
        </w:rPr>
        <w:t>c</w:t>
      </w:r>
      <w:r w:rsidR="008130B1">
        <w:rPr>
          <w:rFonts w:ascii="Times New Roman" w:hAnsi="Times New Roman"/>
        </w:rPr>
        <w:t xml:space="preserve">ommission in the 2014 PCORC </w:t>
      </w:r>
      <w:r w:rsidR="00293961">
        <w:rPr>
          <w:rFonts w:ascii="Times New Roman" w:hAnsi="Times New Roman"/>
        </w:rPr>
        <w:t xml:space="preserve">to </w:t>
      </w:r>
      <w:r>
        <w:rPr>
          <w:rFonts w:ascii="Times New Roman" w:hAnsi="Times New Roman"/>
        </w:rPr>
        <w:t xml:space="preserve">include </w:t>
      </w:r>
      <w:r w:rsidRPr="00643835">
        <w:rPr>
          <w:rFonts w:ascii="Times New Roman" w:hAnsi="Times New Roman"/>
        </w:rPr>
        <w:t>variable power costs for FERC accounts 547- Fuel; 555- Purchased Power; 447-Sales to Others; 456-Purch/Sales Non-Core Gas</w:t>
      </w:r>
      <w:r w:rsidR="00293961">
        <w:rPr>
          <w:rFonts w:ascii="Times New Roman" w:hAnsi="Times New Roman"/>
        </w:rPr>
        <w:t>.</w:t>
      </w:r>
      <w:r>
        <w:rPr>
          <w:rFonts w:ascii="Times New Roman" w:hAnsi="Times New Roman"/>
        </w:rPr>
        <w:t xml:space="preserve">  </w:t>
      </w:r>
      <w:r w:rsidRPr="00643835">
        <w:rPr>
          <w:rFonts w:ascii="Times New Roman" w:hAnsi="Times New Roman"/>
        </w:rPr>
        <w:t xml:space="preserve"> </w:t>
      </w:r>
    </w:p>
  </w:footnote>
  <w:footnote w:id="11">
    <w:p w14:paraId="1825397A" w14:textId="08D0DF13" w:rsidR="003B1B16" w:rsidRPr="003B1B16" w:rsidRDefault="003B1B16">
      <w:pPr>
        <w:pStyle w:val="FootnoteText"/>
        <w:rPr>
          <w:rFonts w:ascii="Times New Roman" w:hAnsi="Times New Roman"/>
        </w:rPr>
      </w:pPr>
      <w:r w:rsidRPr="003B1B16">
        <w:rPr>
          <w:rStyle w:val="FootnoteReference"/>
          <w:rFonts w:ascii="Times New Roman" w:hAnsi="Times New Roman"/>
        </w:rPr>
        <w:footnoteRef/>
      </w:r>
      <w:r w:rsidRPr="003B1B16">
        <w:rPr>
          <w:rFonts w:ascii="Times New Roman" w:hAnsi="Times New Roman"/>
        </w:rPr>
        <w:t xml:space="preserve"> UE-161135 Exhibit A-1.</w:t>
      </w:r>
    </w:p>
  </w:footnote>
  <w:footnote w:id="12">
    <w:p w14:paraId="2B1C6195" w14:textId="128154B6" w:rsidR="00162DFE" w:rsidRPr="00162DFE" w:rsidRDefault="00162DFE">
      <w:pPr>
        <w:pStyle w:val="FootnoteText"/>
        <w:rPr>
          <w:rFonts w:ascii="Times New Roman" w:hAnsi="Times New Roman"/>
        </w:rPr>
      </w:pPr>
      <w:r w:rsidRPr="00162DFE">
        <w:rPr>
          <w:rStyle w:val="FootnoteReference"/>
          <w:rFonts w:ascii="Times New Roman" w:hAnsi="Times New Roman"/>
        </w:rPr>
        <w:footnoteRef/>
      </w:r>
      <w:r w:rsidRPr="00162DFE">
        <w:rPr>
          <w:rFonts w:ascii="Times New Roman" w:hAnsi="Times New Roman"/>
        </w:rPr>
        <w:t xml:space="preserve"> </w:t>
      </w:r>
      <w:r w:rsidR="0045769A">
        <w:rPr>
          <w:rFonts w:ascii="Times New Roman" w:hAnsi="Times New Roman"/>
        </w:rPr>
        <w:t>The PCA rate year is from December 1, 2016 through November 30, 2017.</w:t>
      </w:r>
    </w:p>
  </w:footnote>
  <w:footnote w:id="13">
    <w:p w14:paraId="3759A644" w14:textId="3FCD05D0" w:rsidR="0045769A" w:rsidRPr="0045769A" w:rsidRDefault="0045769A">
      <w:pPr>
        <w:pStyle w:val="FootnoteText"/>
        <w:rPr>
          <w:rFonts w:ascii="Times New Roman" w:hAnsi="Times New Roman"/>
        </w:rPr>
      </w:pPr>
      <w:r w:rsidRPr="0045769A">
        <w:rPr>
          <w:rStyle w:val="FootnoteReference"/>
          <w:rFonts w:ascii="Times New Roman" w:hAnsi="Times New Roman"/>
        </w:rPr>
        <w:footnoteRef/>
      </w:r>
      <w:r w:rsidRPr="0045769A">
        <w:rPr>
          <w:rFonts w:ascii="Times New Roman" w:hAnsi="Times New Roman"/>
        </w:rPr>
        <w:t xml:space="preserve"> </w:t>
      </w:r>
      <w:r>
        <w:rPr>
          <w:rFonts w:ascii="Times New Roman" w:hAnsi="Times New Roman"/>
        </w:rPr>
        <w:t>The monthly bill is reduced from $106.22 per month to $104.38.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D1CC" w14:textId="6BAB8E7F" w:rsidR="00BE4528" w:rsidRPr="006E5DA4" w:rsidRDefault="00BE4528" w:rsidP="00D4342A">
    <w:pPr>
      <w:rPr>
        <w:rFonts w:ascii="Times New Roman" w:hAnsi="Times New Roman"/>
        <w:szCs w:val="20"/>
      </w:rPr>
    </w:pPr>
    <w:r w:rsidRPr="006E5DA4">
      <w:rPr>
        <w:rFonts w:ascii="Times New Roman" w:hAnsi="Times New Roman"/>
        <w:szCs w:val="20"/>
      </w:rPr>
      <w:t>Docket</w:t>
    </w:r>
    <w:r w:rsidR="00D34FA3">
      <w:rPr>
        <w:rFonts w:ascii="Times New Roman" w:hAnsi="Times New Roman"/>
        <w:szCs w:val="20"/>
      </w:rPr>
      <w:t>s</w:t>
    </w:r>
    <w:r w:rsidRPr="006E5DA4">
      <w:rPr>
        <w:rFonts w:ascii="Times New Roman" w:hAnsi="Times New Roman"/>
        <w:szCs w:val="20"/>
      </w:rPr>
      <w:t xml:space="preserve"> UG-</w:t>
    </w:r>
    <w:r w:rsidR="00ED1CAD">
      <w:rPr>
        <w:rFonts w:ascii="Times New Roman" w:hAnsi="Times New Roman"/>
        <w:szCs w:val="20"/>
      </w:rPr>
      <w:t>161</w:t>
    </w:r>
    <w:r w:rsidR="00FA6590">
      <w:rPr>
        <w:rFonts w:ascii="Times New Roman" w:hAnsi="Times New Roman"/>
        <w:szCs w:val="20"/>
      </w:rPr>
      <w:t>112</w:t>
    </w:r>
    <w:r w:rsidR="00D34FA3">
      <w:rPr>
        <w:rFonts w:ascii="Times New Roman" w:hAnsi="Times New Roman"/>
        <w:szCs w:val="20"/>
      </w:rPr>
      <w:t xml:space="preserve"> and</w:t>
    </w:r>
    <w:r w:rsidR="00ED1CAD">
      <w:rPr>
        <w:rFonts w:ascii="Times New Roman" w:hAnsi="Times New Roman"/>
        <w:szCs w:val="20"/>
      </w:rPr>
      <w:t xml:space="preserve"> UG-16</w:t>
    </w:r>
    <w:r w:rsidR="00FA6590">
      <w:rPr>
        <w:rFonts w:ascii="Times New Roman" w:hAnsi="Times New Roman"/>
        <w:szCs w:val="20"/>
      </w:rPr>
      <w:t>1135</w:t>
    </w:r>
  </w:p>
  <w:p w14:paraId="04D5D1CD" w14:textId="52CFB9DA" w:rsidR="00BE4528" w:rsidRPr="006E5DA4" w:rsidRDefault="00FA6590" w:rsidP="00D4342A">
    <w:pPr>
      <w:rPr>
        <w:rFonts w:ascii="Times New Roman" w:hAnsi="Times New Roman"/>
        <w:szCs w:val="20"/>
      </w:rPr>
    </w:pPr>
    <w:r>
      <w:rPr>
        <w:rFonts w:ascii="Times New Roman" w:hAnsi="Times New Roman"/>
        <w:szCs w:val="20"/>
      </w:rPr>
      <w:t>November 10</w:t>
    </w:r>
    <w:r w:rsidR="00BE4528" w:rsidRPr="006E5DA4">
      <w:rPr>
        <w:rFonts w:ascii="Times New Roman" w:hAnsi="Times New Roman"/>
        <w:szCs w:val="20"/>
      </w:rPr>
      <w:t>, 201</w:t>
    </w:r>
    <w:r w:rsidR="00ED1CAD">
      <w:rPr>
        <w:rFonts w:ascii="Times New Roman" w:hAnsi="Times New Roman"/>
        <w:szCs w:val="20"/>
      </w:rPr>
      <w:t>6</w:t>
    </w:r>
  </w:p>
  <w:p w14:paraId="04D5D1CE" w14:textId="77777777" w:rsidR="00BE4528" w:rsidRPr="006E5DA4" w:rsidRDefault="00BE4528"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151B63">
      <w:rPr>
        <w:rFonts w:ascii="Times New Roman" w:hAnsi="Times New Roman"/>
        <w:noProof/>
        <w:szCs w:val="20"/>
      </w:rPr>
      <w:t>3</w:t>
    </w:r>
    <w:r w:rsidRPr="006E5DA4">
      <w:rPr>
        <w:rFonts w:ascii="Times New Roman" w:hAnsi="Times New Roman"/>
        <w:szCs w:val="20"/>
      </w:rPr>
      <w:fldChar w:fldCharType="end"/>
    </w:r>
  </w:p>
  <w:p w14:paraId="04D5D1CF" w14:textId="77777777" w:rsidR="00BE4528" w:rsidRDefault="00BE4528" w:rsidP="001D1631">
    <w:pPr>
      <w:pStyle w:val="Header"/>
      <w:rPr>
        <w:rFonts w:ascii="Times New Roman" w:hAnsi="Times New Roman"/>
        <w:sz w:val="24"/>
      </w:rPr>
    </w:pPr>
  </w:p>
  <w:p w14:paraId="0ADAF171" w14:textId="77777777" w:rsidR="00F8648D" w:rsidRPr="00D4342A" w:rsidRDefault="00F8648D"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A20"/>
    <w:multiLevelType w:val="hybridMultilevel"/>
    <w:tmpl w:val="63A4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64A5"/>
    <w:multiLevelType w:val="hybridMultilevel"/>
    <w:tmpl w:val="DAA2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D1108"/>
    <w:multiLevelType w:val="hybridMultilevel"/>
    <w:tmpl w:val="1042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D6978"/>
    <w:multiLevelType w:val="hybridMultilevel"/>
    <w:tmpl w:val="FE1C39C2"/>
    <w:lvl w:ilvl="0" w:tplc="EF1CA70C">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82819"/>
    <w:multiLevelType w:val="hybridMultilevel"/>
    <w:tmpl w:val="F76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5"/>
    <w:rsid w:val="00011EC2"/>
    <w:rsid w:val="00015E80"/>
    <w:rsid w:val="00025483"/>
    <w:rsid w:val="00025A51"/>
    <w:rsid w:val="00025E1E"/>
    <w:rsid w:val="00026A37"/>
    <w:rsid w:val="00027C7F"/>
    <w:rsid w:val="0003441F"/>
    <w:rsid w:val="00043193"/>
    <w:rsid w:val="00045EB2"/>
    <w:rsid w:val="00046C04"/>
    <w:rsid w:val="0004736C"/>
    <w:rsid w:val="0005340D"/>
    <w:rsid w:val="0005502D"/>
    <w:rsid w:val="00061D09"/>
    <w:rsid w:val="00065A4B"/>
    <w:rsid w:val="00066E1D"/>
    <w:rsid w:val="00087684"/>
    <w:rsid w:val="0009020A"/>
    <w:rsid w:val="00095AAD"/>
    <w:rsid w:val="000A0B56"/>
    <w:rsid w:val="000A3A72"/>
    <w:rsid w:val="000A681F"/>
    <w:rsid w:val="000A704B"/>
    <w:rsid w:val="000B2FCA"/>
    <w:rsid w:val="000D3226"/>
    <w:rsid w:val="000D358A"/>
    <w:rsid w:val="000D4B69"/>
    <w:rsid w:val="000E3636"/>
    <w:rsid w:val="000E640C"/>
    <w:rsid w:val="000F18DC"/>
    <w:rsid w:val="000F2DC4"/>
    <w:rsid w:val="000F3DB5"/>
    <w:rsid w:val="000F593B"/>
    <w:rsid w:val="000F6B99"/>
    <w:rsid w:val="00117B59"/>
    <w:rsid w:val="00131690"/>
    <w:rsid w:val="001355C9"/>
    <w:rsid w:val="00136D36"/>
    <w:rsid w:val="00151B63"/>
    <w:rsid w:val="00156C69"/>
    <w:rsid w:val="0016002B"/>
    <w:rsid w:val="00160690"/>
    <w:rsid w:val="00162DFE"/>
    <w:rsid w:val="001655BD"/>
    <w:rsid w:val="0017037D"/>
    <w:rsid w:val="00170537"/>
    <w:rsid w:val="001724EB"/>
    <w:rsid w:val="00177632"/>
    <w:rsid w:val="00186A7F"/>
    <w:rsid w:val="001A6722"/>
    <w:rsid w:val="001A6FE3"/>
    <w:rsid w:val="001B1BCD"/>
    <w:rsid w:val="001B4E77"/>
    <w:rsid w:val="001B6212"/>
    <w:rsid w:val="001C0159"/>
    <w:rsid w:val="001C374F"/>
    <w:rsid w:val="001C5AB1"/>
    <w:rsid w:val="001D094C"/>
    <w:rsid w:val="001D1631"/>
    <w:rsid w:val="001D1C3D"/>
    <w:rsid w:val="001D2123"/>
    <w:rsid w:val="001D79D8"/>
    <w:rsid w:val="001E1FC2"/>
    <w:rsid w:val="001E274F"/>
    <w:rsid w:val="001E28D7"/>
    <w:rsid w:val="001F0360"/>
    <w:rsid w:val="00214099"/>
    <w:rsid w:val="00215D0C"/>
    <w:rsid w:val="00223A6B"/>
    <w:rsid w:val="002276ED"/>
    <w:rsid w:val="00231020"/>
    <w:rsid w:val="002324DA"/>
    <w:rsid w:val="00234488"/>
    <w:rsid w:val="002346FC"/>
    <w:rsid w:val="002352C4"/>
    <w:rsid w:val="00243FF5"/>
    <w:rsid w:val="00244C2B"/>
    <w:rsid w:val="00253377"/>
    <w:rsid w:val="00256B1E"/>
    <w:rsid w:val="00260B9E"/>
    <w:rsid w:val="00261E32"/>
    <w:rsid w:val="00280D8C"/>
    <w:rsid w:val="002867F5"/>
    <w:rsid w:val="0028770C"/>
    <w:rsid w:val="00290FB9"/>
    <w:rsid w:val="00293961"/>
    <w:rsid w:val="002A0770"/>
    <w:rsid w:val="002A20B6"/>
    <w:rsid w:val="002A31D5"/>
    <w:rsid w:val="002A5CB5"/>
    <w:rsid w:val="002A61FE"/>
    <w:rsid w:val="002B0984"/>
    <w:rsid w:val="002C039A"/>
    <w:rsid w:val="002C1456"/>
    <w:rsid w:val="002C304F"/>
    <w:rsid w:val="002C41D3"/>
    <w:rsid w:val="002C5EEA"/>
    <w:rsid w:val="002D433E"/>
    <w:rsid w:val="002D7AD0"/>
    <w:rsid w:val="002E50EA"/>
    <w:rsid w:val="002E5D7F"/>
    <w:rsid w:val="002F2D25"/>
    <w:rsid w:val="002F4908"/>
    <w:rsid w:val="0030204A"/>
    <w:rsid w:val="00304468"/>
    <w:rsid w:val="00306A5C"/>
    <w:rsid w:val="00311379"/>
    <w:rsid w:val="003116AC"/>
    <w:rsid w:val="00312FE6"/>
    <w:rsid w:val="00317CE1"/>
    <w:rsid w:val="00321DC4"/>
    <w:rsid w:val="00321FDC"/>
    <w:rsid w:val="00323FC4"/>
    <w:rsid w:val="00324DA6"/>
    <w:rsid w:val="00346234"/>
    <w:rsid w:val="003527B7"/>
    <w:rsid w:val="00353151"/>
    <w:rsid w:val="003716A9"/>
    <w:rsid w:val="00372469"/>
    <w:rsid w:val="00373110"/>
    <w:rsid w:val="00375900"/>
    <w:rsid w:val="0038333D"/>
    <w:rsid w:val="0038636A"/>
    <w:rsid w:val="003944FB"/>
    <w:rsid w:val="00397FC9"/>
    <w:rsid w:val="003A175C"/>
    <w:rsid w:val="003B1B16"/>
    <w:rsid w:val="003B3214"/>
    <w:rsid w:val="003B77FD"/>
    <w:rsid w:val="003C7604"/>
    <w:rsid w:val="003D0731"/>
    <w:rsid w:val="003D3006"/>
    <w:rsid w:val="003D56BE"/>
    <w:rsid w:val="003D619F"/>
    <w:rsid w:val="003E1196"/>
    <w:rsid w:val="003E328C"/>
    <w:rsid w:val="003E34F5"/>
    <w:rsid w:val="003F2075"/>
    <w:rsid w:val="003F35C6"/>
    <w:rsid w:val="003F5625"/>
    <w:rsid w:val="003F6D63"/>
    <w:rsid w:val="003F73F7"/>
    <w:rsid w:val="003F7E5A"/>
    <w:rsid w:val="00400AF9"/>
    <w:rsid w:val="004019AD"/>
    <w:rsid w:val="00401A79"/>
    <w:rsid w:val="00410126"/>
    <w:rsid w:val="00416205"/>
    <w:rsid w:val="00420096"/>
    <w:rsid w:val="0042210D"/>
    <w:rsid w:val="0042240E"/>
    <w:rsid w:val="004333D0"/>
    <w:rsid w:val="00436E8C"/>
    <w:rsid w:val="00442DA4"/>
    <w:rsid w:val="00444EA3"/>
    <w:rsid w:val="00445411"/>
    <w:rsid w:val="004466C4"/>
    <w:rsid w:val="00446BE3"/>
    <w:rsid w:val="00446FFA"/>
    <w:rsid w:val="00447C71"/>
    <w:rsid w:val="0045769A"/>
    <w:rsid w:val="0047045A"/>
    <w:rsid w:val="00474076"/>
    <w:rsid w:val="00474A0A"/>
    <w:rsid w:val="00475D2B"/>
    <w:rsid w:val="00477AF0"/>
    <w:rsid w:val="004806E9"/>
    <w:rsid w:val="004822D5"/>
    <w:rsid w:val="00482CCC"/>
    <w:rsid w:val="00492A07"/>
    <w:rsid w:val="004936EB"/>
    <w:rsid w:val="00493B04"/>
    <w:rsid w:val="004959F2"/>
    <w:rsid w:val="004963FC"/>
    <w:rsid w:val="00496B89"/>
    <w:rsid w:val="004970DA"/>
    <w:rsid w:val="00497895"/>
    <w:rsid w:val="00497E69"/>
    <w:rsid w:val="004A38B4"/>
    <w:rsid w:val="004A466B"/>
    <w:rsid w:val="004B3D34"/>
    <w:rsid w:val="004C06A2"/>
    <w:rsid w:val="004C0754"/>
    <w:rsid w:val="004C2FE9"/>
    <w:rsid w:val="004C3883"/>
    <w:rsid w:val="004C4AE6"/>
    <w:rsid w:val="004D01F3"/>
    <w:rsid w:val="004D76A5"/>
    <w:rsid w:val="004E5439"/>
    <w:rsid w:val="004E650E"/>
    <w:rsid w:val="004F59FD"/>
    <w:rsid w:val="004F5A55"/>
    <w:rsid w:val="00511448"/>
    <w:rsid w:val="00521240"/>
    <w:rsid w:val="005255A7"/>
    <w:rsid w:val="00526128"/>
    <w:rsid w:val="00527D0C"/>
    <w:rsid w:val="005304A4"/>
    <w:rsid w:val="00531152"/>
    <w:rsid w:val="00536629"/>
    <w:rsid w:val="00537004"/>
    <w:rsid w:val="00537D65"/>
    <w:rsid w:val="005432F7"/>
    <w:rsid w:val="00544395"/>
    <w:rsid w:val="00552600"/>
    <w:rsid w:val="00554668"/>
    <w:rsid w:val="00556C01"/>
    <w:rsid w:val="005604DD"/>
    <w:rsid w:val="00562894"/>
    <w:rsid w:val="0056751A"/>
    <w:rsid w:val="0057059C"/>
    <w:rsid w:val="00570EB7"/>
    <w:rsid w:val="00571FC9"/>
    <w:rsid w:val="00573514"/>
    <w:rsid w:val="00582D68"/>
    <w:rsid w:val="00593AAA"/>
    <w:rsid w:val="00593F87"/>
    <w:rsid w:val="00595887"/>
    <w:rsid w:val="00597DC7"/>
    <w:rsid w:val="005A4915"/>
    <w:rsid w:val="005A6C74"/>
    <w:rsid w:val="005A6D66"/>
    <w:rsid w:val="005B3892"/>
    <w:rsid w:val="005C1410"/>
    <w:rsid w:val="005C1FF7"/>
    <w:rsid w:val="005C4C0D"/>
    <w:rsid w:val="005E159D"/>
    <w:rsid w:val="005F4DF5"/>
    <w:rsid w:val="00602735"/>
    <w:rsid w:val="006059C6"/>
    <w:rsid w:val="00606F0A"/>
    <w:rsid w:val="00610A36"/>
    <w:rsid w:val="006112E4"/>
    <w:rsid w:val="00612125"/>
    <w:rsid w:val="006169C1"/>
    <w:rsid w:val="0062117C"/>
    <w:rsid w:val="00623164"/>
    <w:rsid w:val="00625830"/>
    <w:rsid w:val="00630E22"/>
    <w:rsid w:val="0063230B"/>
    <w:rsid w:val="00633FE5"/>
    <w:rsid w:val="006415D5"/>
    <w:rsid w:val="006424FC"/>
    <w:rsid w:val="00642B4F"/>
    <w:rsid w:val="00643835"/>
    <w:rsid w:val="00660E58"/>
    <w:rsid w:val="00672F7B"/>
    <w:rsid w:val="00683411"/>
    <w:rsid w:val="00687B64"/>
    <w:rsid w:val="006A388D"/>
    <w:rsid w:val="006A40CF"/>
    <w:rsid w:val="006A41EE"/>
    <w:rsid w:val="006A4FF8"/>
    <w:rsid w:val="006A61BF"/>
    <w:rsid w:val="006B16D9"/>
    <w:rsid w:val="006B2EC9"/>
    <w:rsid w:val="006B74E9"/>
    <w:rsid w:val="006C2E3A"/>
    <w:rsid w:val="006C3BE5"/>
    <w:rsid w:val="006D6651"/>
    <w:rsid w:val="006D7178"/>
    <w:rsid w:val="006E0F13"/>
    <w:rsid w:val="006E1137"/>
    <w:rsid w:val="006E5DA4"/>
    <w:rsid w:val="006F092C"/>
    <w:rsid w:val="00706239"/>
    <w:rsid w:val="0071468B"/>
    <w:rsid w:val="00717B32"/>
    <w:rsid w:val="0072386F"/>
    <w:rsid w:val="00725EE2"/>
    <w:rsid w:val="00732295"/>
    <w:rsid w:val="00736648"/>
    <w:rsid w:val="00751478"/>
    <w:rsid w:val="00755346"/>
    <w:rsid w:val="00762422"/>
    <w:rsid w:val="00763B1B"/>
    <w:rsid w:val="007667EA"/>
    <w:rsid w:val="00772B5A"/>
    <w:rsid w:val="00773D19"/>
    <w:rsid w:val="00775521"/>
    <w:rsid w:val="00776EA5"/>
    <w:rsid w:val="007805C1"/>
    <w:rsid w:val="007842F2"/>
    <w:rsid w:val="00787371"/>
    <w:rsid w:val="007905DD"/>
    <w:rsid w:val="007A1EF0"/>
    <w:rsid w:val="007A2709"/>
    <w:rsid w:val="007A4774"/>
    <w:rsid w:val="007B4200"/>
    <w:rsid w:val="007C13B4"/>
    <w:rsid w:val="007D0C69"/>
    <w:rsid w:val="007D6104"/>
    <w:rsid w:val="007E31BF"/>
    <w:rsid w:val="007E5FA3"/>
    <w:rsid w:val="007E7A4F"/>
    <w:rsid w:val="007E7F9F"/>
    <w:rsid w:val="007F490D"/>
    <w:rsid w:val="007F51DC"/>
    <w:rsid w:val="008007AF"/>
    <w:rsid w:val="00800C37"/>
    <w:rsid w:val="0080254B"/>
    <w:rsid w:val="00807CA3"/>
    <w:rsid w:val="008130B1"/>
    <w:rsid w:val="0082369F"/>
    <w:rsid w:val="008259E6"/>
    <w:rsid w:val="00827D29"/>
    <w:rsid w:val="00835F23"/>
    <w:rsid w:val="008375B6"/>
    <w:rsid w:val="008404F8"/>
    <w:rsid w:val="00844156"/>
    <w:rsid w:val="0085688D"/>
    <w:rsid w:val="00857931"/>
    <w:rsid w:val="008650F8"/>
    <w:rsid w:val="008666CE"/>
    <w:rsid w:val="00873905"/>
    <w:rsid w:val="00881976"/>
    <w:rsid w:val="0088779F"/>
    <w:rsid w:val="0089773C"/>
    <w:rsid w:val="008A0305"/>
    <w:rsid w:val="008A1477"/>
    <w:rsid w:val="008A15C8"/>
    <w:rsid w:val="008A5545"/>
    <w:rsid w:val="008A6E77"/>
    <w:rsid w:val="008B28B6"/>
    <w:rsid w:val="008B6BFE"/>
    <w:rsid w:val="008C0679"/>
    <w:rsid w:val="008C7845"/>
    <w:rsid w:val="008D53ED"/>
    <w:rsid w:val="008D7C95"/>
    <w:rsid w:val="008E1357"/>
    <w:rsid w:val="008E2494"/>
    <w:rsid w:val="008E2647"/>
    <w:rsid w:val="008E5104"/>
    <w:rsid w:val="008E7EF1"/>
    <w:rsid w:val="008F0C7B"/>
    <w:rsid w:val="008F4FFA"/>
    <w:rsid w:val="008F67A0"/>
    <w:rsid w:val="00901EBE"/>
    <w:rsid w:val="009110FB"/>
    <w:rsid w:val="0091287C"/>
    <w:rsid w:val="00914865"/>
    <w:rsid w:val="0091518A"/>
    <w:rsid w:val="009262E9"/>
    <w:rsid w:val="00934319"/>
    <w:rsid w:val="009362ED"/>
    <w:rsid w:val="0093702A"/>
    <w:rsid w:val="00942041"/>
    <w:rsid w:val="00942F43"/>
    <w:rsid w:val="0094336B"/>
    <w:rsid w:val="00943A95"/>
    <w:rsid w:val="009444D6"/>
    <w:rsid w:val="009467D6"/>
    <w:rsid w:val="00950485"/>
    <w:rsid w:val="00953B32"/>
    <w:rsid w:val="009624C1"/>
    <w:rsid w:val="009647E0"/>
    <w:rsid w:val="00971300"/>
    <w:rsid w:val="00972BC9"/>
    <w:rsid w:val="009814BE"/>
    <w:rsid w:val="009A34AD"/>
    <w:rsid w:val="009B1957"/>
    <w:rsid w:val="009B58B4"/>
    <w:rsid w:val="009B602E"/>
    <w:rsid w:val="009B6106"/>
    <w:rsid w:val="009C405D"/>
    <w:rsid w:val="009D0734"/>
    <w:rsid w:val="009D1BB7"/>
    <w:rsid w:val="009E01C5"/>
    <w:rsid w:val="009E7EB8"/>
    <w:rsid w:val="009F2BC7"/>
    <w:rsid w:val="00A04507"/>
    <w:rsid w:val="00A05DF7"/>
    <w:rsid w:val="00A1066B"/>
    <w:rsid w:val="00A106C0"/>
    <w:rsid w:val="00A11266"/>
    <w:rsid w:val="00A11972"/>
    <w:rsid w:val="00A219C9"/>
    <w:rsid w:val="00A229B6"/>
    <w:rsid w:val="00A30587"/>
    <w:rsid w:val="00A33C31"/>
    <w:rsid w:val="00A356FE"/>
    <w:rsid w:val="00A40A31"/>
    <w:rsid w:val="00A41805"/>
    <w:rsid w:val="00A50430"/>
    <w:rsid w:val="00A55E57"/>
    <w:rsid w:val="00A61E54"/>
    <w:rsid w:val="00A6374E"/>
    <w:rsid w:val="00A71A44"/>
    <w:rsid w:val="00A71DE6"/>
    <w:rsid w:val="00A77552"/>
    <w:rsid w:val="00A84C2A"/>
    <w:rsid w:val="00A851C3"/>
    <w:rsid w:val="00AA42A8"/>
    <w:rsid w:val="00AA6CE5"/>
    <w:rsid w:val="00AB0E66"/>
    <w:rsid w:val="00AB3160"/>
    <w:rsid w:val="00AC5861"/>
    <w:rsid w:val="00AC5A84"/>
    <w:rsid w:val="00AD3312"/>
    <w:rsid w:val="00AE587E"/>
    <w:rsid w:val="00AF1934"/>
    <w:rsid w:val="00AF3EDE"/>
    <w:rsid w:val="00B00AA5"/>
    <w:rsid w:val="00B01E97"/>
    <w:rsid w:val="00B04CEE"/>
    <w:rsid w:val="00B1167C"/>
    <w:rsid w:val="00B13041"/>
    <w:rsid w:val="00B205F9"/>
    <w:rsid w:val="00B24E22"/>
    <w:rsid w:val="00B25220"/>
    <w:rsid w:val="00B265D0"/>
    <w:rsid w:val="00B32CA3"/>
    <w:rsid w:val="00B37B17"/>
    <w:rsid w:val="00B42F12"/>
    <w:rsid w:val="00B45B59"/>
    <w:rsid w:val="00B5062F"/>
    <w:rsid w:val="00B61D93"/>
    <w:rsid w:val="00B64984"/>
    <w:rsid w:val="00B67E07"/>
    <w:rsid w:val="00B7671F"/>
    <w:rsid w:val="00B7730B"/>
    <w:rsid w:val="00B7740B"/>
    <w:rsid w:val="00B8693D"/>
    <w:rsid w:val="00B92EA8"/>
    <w:rsid w:val="00B94F05"/>
    <w:rsid w:val="00B96D4D"/>
    <w:rsid w:val="00BA190B"/>
    <w:rsid w:val="00BB0B52"/>
    <w:rsid w:val="00BB2F89"/>
    <w:rsid w:val="00BB33C1"/>
    <w:rsid w:val="00BB5C00"/>
    <w:rsid w:val="00BC030F"/>
    <w:rsid w:val="00BD7BB1"/>
    <w:rsid w:val="00BE4528"/>
    <w:rsid w:val="00BE5DA3"/>
    <w:rsid w:val="00BE6FD8"/>
    <w:rsid w:val="00C00B7C"/>
    <w:rsid w:val="00C02A6A"/>
    <w:rsid w:val="00C05119"/>
    <w:rsid w:val="00C1202D"/>
    <w:rsid w:val="00C1335C"/>
    <w:rsid w:val="00C140CB"/>
    <w:rsid w:val="00C14DFE"/>
    <w:rsid w:val="00C21276"/>
    <w:rsid w:val="00C31230"/>
    <w:rsid w:val="00C31843"/>
    <w:rsid w:val="00C34013"/>
    <w:rsid w:val="00C34664"/>
    <w:rsid w:val="00C52710"/>
    <w:rsid w:val="00C5349A"/>
    <w:rsid w:val="00C622DD"/>
    <w:rsid w:val="00C7355F"/>
    <w:rsid w:val="00C7723A"/>
    <w:rsid w:val="00C833FA"/>
    <w:rsid w:val="00C9072F"/>
    <w:rsid w:val="00C93991"/>
    <w:rsid w:val="00C94743"/>
    <w:rsid w:val="00CA34F4"/>
    <w:rsid w:val="00CB4BCB"/>
    <w:rsid w:val="00CB5CA7"/>
    <w:rsid w:val="00CC06BE"/>
    <w:rsid w:val="00CC26F0"/>
    <w:rsid w:val="00CD29F3"/>
    <w:rsid w:val="00CD2AB9"/>
    <w:rsid w:val="00CD34D2"/>
    <w:rsid w:val="00CE057D"/>
    <w:rsid w:val="00CE5628"/>
    <w:rsid w:val="00CE7873"/>
    <w:rsid w:val="00CE7A07"/>
    <w:rsid w:val="00CE7F89"/>
    <w:rsid w:val="00CF3E1D"/>
    <w:rsid w:val="00CF4D6B"/>
    <w:rsid w:val="00D01560"/>
    <w:rsid w:val="00D04716"/>
    <w:rsid w:val="00D07C39"/>
    <w:rsid w:val="00D104E1"/>
    <w:rsid w:val="00D16ACD"/>
    <w:rsid w:val="00D178DC"/>
    <w:rsid w:val="00D23A2C"/>
    <w:rsid w:val="00D315CF"/>
    <w:rsid w:val="00D34FA3"/>
    <w:rsid w:val="00D35C06"/>
    <w:rsid w:val="00D4342A"/>
    <w:rsid w:val="00D50F51"/>
    <w:rsid w:val="00D5196F"/>
    <w:rsid w:val="00D535C4"/>
    <w:rsid w:val="00D6053A"/>
    <w:rsid w:val="00D61C6A"/>
    <w:rsid w:val="00D6438C"/>
    <w:rsid w:val="00D71D8B"/>
    <w:rsid w:val="00D72599"/>
    <w:rsid w:val="00D73959"/>
    <w:rsid w:val="00D7549F"/>
    <w:rsid w:val="00D8206F"/>
    <w:rsid w:val="00D847DD"/>
    <w:rsid w:val="00D86E98"/>
    <w:rsid w:val="00D92559"/>
    <w:rsid w:val="00D956A1"/>
    <w:rsid w:val="00DA04B9"/>
    <w:rsid w:val="00DA1B86"/>
    <w:rsid w:val="00DB48A9"/>
    <w:rsid w:val="00DC0318"/>
    <w:rsid w:val="00DC06DD"/>
    <w:rsid w:val="00DC6F23"/>
    <w:rsid w:val="00DD2A47"/>
    <w:rsid w:val="00DD7760"/>
    <w:rsid w:val="00DE0917"/>
    <w:rsid w:val="00DE56EC"/>
    <w:rsid w:val="00DF7341"/>
    <w:rsid w:val="00E009B6"/>
    <w:rsid w:val="00E041FB"/>
    <w:rsid w:val="00E161A6"/>
    <w:rsid w:val="00E2042D"/>
    <w:rsid w:val="00E26449"/>
    <w:rsid w:val="00E37D98"/>
    <w:rsid w:val="00E42EAC"/>
    <w:rsid w:val="00E462B8"/>
    <w:rsid w:val="00E54512"/>
    <w:rsid w:val="00E55ACA"/>
    <w:rsid w:val="00E6143F"/>
    <w:rsid w:val="00E62FFA"/>
    <w:rsid w:val="00E84693"/>
    <w:rsid w:val="00E852DF"/>
    <w:rsid w:val="00E9378E"/>
    <w:rsid w:val="00EA706C"/>
    <w:rsid w:val="00EB108F"/>
    <w:rsid w:val="00EB2A69"/>
    <w:rsid w:val="00EB5440"/>
    <w:rsid w:val="00EB55D8"/>
    <w:rsid w:val="00EC12A3"/>
    <w:rsid w:val="00ED1CAD"/>
    <w:rsid w:val="00ED30B9"/>
    <w:rsid w:val="00EE1F73"/>
    <w:rsid w:val="00EE4CB2"/>
    <w:rsid w:val="00EE57F4"/>
    <w:rsid w:val="00EE6D76"/>
    <w:rsid w:val="00EF1488"/>
    <w:rsid w:val="00EF46DD"/>
    <w:rsid w:val="00F01702"/>
    <w:rsid w:val="00F04357"/>
    <w:rsid w:val="00F10EAE"/>
    <w:rsid w:val="00F12260"/>
    <w:rsid w:val="00F13195"/>
    <w:rsid w:val="00F17B8C"/>
    <w:rsid w:val="00F17BAF"/>
    <w:rsid w:val="00F21B68"/>
    <w:rsid w:val="00F221A5"/>
    <w:rsid w:val="00F273C6"/>
    <w:rsid w:val="00F2778F"/>
    <w:rsid w:val="00F32252"/>
    <w:rsid w:val="00F34D7A"/>
    <w:rsid w:val="00F35132"/>
    <w:rsid w:val="00F3615C"/>
    <w:rsid w:val="00F36F91"/>
    <w:rsid w:val="00F37A05"/>
    <w:rsid w:val="00F41EB2"/>
    <w:rsid w:val="00F43C68"/>
    <w:rsid w:val="00F44145"/>
    <w:rsid w:val="00F565EB"/>
    <w:rsid w:val="00F578AF"/>
    <w:rsid w:val="00F6296C"/>
    <w:rsid w:val="00F64A81"/>
    <w:rsid w:val="00F67982"/>
    <w:rsid w:val="00F73D90"/>
    <w:rsid w:val="00F77709"/>
    <w:rsid w:val="00F82E57"/>
    <w:rsid w:val="00F8550C"/>
    <w:rsid w:val="00F8648D"/>
    <w:rsid w:val="00F9114C"/>
    <w:rsid w:val="00F947DE"/>
    <w:rsid w:val="00F973E3"/>
    <w:rsid w:val="00FA1A33"/>
    <w:rsid w:val="00FA21BC"/>
    <w:rsid w:val="00FA436A"/>
    <w:rsid w:val="00FA621A"/>
    <w:rsid w:val="00FA6590"/>
    <w:rsid w:val="00FB2E5A"/>
    <w:rsid w:val="00FB5C5D"/>
    <w:rsid w:val="00FD0147"/>
    <w:rsid w:val="00FD22A1"/>
    <w:rsid w:val="00FD3C14"/>
    <w:rsid w:val="00FD6C2B"/>
    <w:rsid w:val="00FE3ABA"/>
    <w:rsid w:val="00FF0054"/>
    <w:rsid w:val="00FF1909"/>
    <w:rsid w:val="00FF4CF7"/>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4D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25483"/>
    <w:pPr>
      <w:outlineLvl w:val="0"/>
    </w:pPr>
  </w:style>
  <w:style w:type="paragraph" w:styleId="Heading2">
    <w:name w:val="heading 2"/>
    <w:basedOn w:val="Normal"/>
    <w:next w:val="Normal"/>
    <w:link w:val="Heading2Char"/>
    <w:unhideWhenUsed/>
    <w:qFormat/>
    <w:rsid w:val="00025483"/>
    <w:pPr>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83"/>
    <w:rPr>
      <w:rFonts w:ascii="Courier" w:eastAsia="Times New Roman" w:hAnsi="Courier" w:cs="Times New Roman"/>
      <w:sz w:val="20"/>
      <w:szCs w:val="24"/>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nhideWhenUsed/>
    <w:rsid w:val="00D104E1"/>
    <w:rPr>
      <w:szCs w:val="20"/>
    </w:rPr>
  </w:style>
  <w:style w:type="character" w:customStyle="1" w:styleId="FootnoteTextChar">
    <w:name w:val="Footnote Text Char"/>
    <w:basedOn w:val="DefaultParagraphFont"/>
    <w:link w:val="FootnoteText"/>
    <w:uiPriority w:val="99"/>
    <w:rsid w:val="00D104E1"/>
    <w:rPr>
      <w:rFonts w:ascii="Courier" w:eastAsia="Times New Roman" w:hAnsi="Courier" w:cs="Times New Roman"/>
      <w:sz w:val="20"/>
      <w:szCs w:val="20"/>
    </w:rPr>
  </w:style>
  <w:style w:type="character" w:styleId="FootnoteReference">
    <w:name w:val="footnote reference"/>
    <w:basedOn w:val="DefaultParagraphFont"/>
    <w:unhideWhenUsed/>
    <w:rsid w:val="00D104E1"/>
    <w:rPr>
      <w:vertAlign w:val="superscript"/>
    </w:rPr>
  </w:style>
  <w:style w:type="character" w:customStyle="1" w:styleId="Heading2Char">
    <w:name w:val="Heading 2 Char"/>
    <w:basedOn w:val="DefaultParagraphFont"/>
    <w:link w:val="Heading2"/>
    <w:rsid w:val="0002548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474A0A"/>
    <w:rPr>
      <w:rFonts w:ascii="Times New Roman" w:hAnsi="Times New Roman"/>
      <w:b/>
      <w:sz w:val="24"/>
      <w:u w:val="single"/>
    </w:rPr>
  </w:style>
  <w:style w:type="character" w:styleId="Hyperlink">
    <w:name w:val="Hyperlink"/>
    <w:basedOn w:val="DefaultParagraphFont"/>
    <w:uiPriority w:val="99"/>
    <w:unhideWhenUsed/>
    <w:rsid w:val="00186A7F"/>
    <w:rPr>
      <w:color w:val="0000FF" w:themeColor="hyperlink"/>
      <w:u w:val="single"/>
    </w:rPr>
  </w:style>
  <w:style w:type="table" w:styleId="TableGrid">
    <w:name w:val="Table Grid"/>
    <w:basedOn w:val="TableNormal"/>
    <w:rsid w:val="002E5D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F490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12EE8584904C4897CD07B1F86E1EC4" ma:contentTypeVersion="104" ma:contentTypeDescription="" ma:contentTypeScope="" ma:versionID="bb8b2c19e02cf6d60a2381dba6e046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2016-09-30T07:00:00+00:00</OpenedDate>
    <Date1 xmlns="dc463f71-b30c-4ab2-9473-d307f9d35888">2016-11-08T08:00:00+00:00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B79948-C4A0-4641-B77F-6EE0998DDBFC}">
  <ds:schemaRefs>
    <ds:schemaRef ds:uri="http://schemas.microsoft.com/sharepoint/v3/contenttype/forms"/>
  </ds:schemaRefs>
</ds:datastoreItem>
</file>

<file path=customXml/itemProps2.xml><?xml version="1.0" encoding="utf-8"?>
<ds:datastoreItem xmlns:ds="http://schemas.openxmlformats.org/officeDocument/2006/customXml" ds:itemID="{64ADE272-4026-446D-A7A4-6BC618A2B2FD}"/>
</file>

<file path=customXml/itemProps3.xml><?xml version="1.0" encoding="utf-8"?>
<ds:datastoreItem xmlns:ds="http://schemas.openxmlformats.org/officeDocument/2006/customXml" ds:itemID="{49E491FE-7D48-45EB-8528-7EFE6C382E32}">
  <ds:schemaRefs>
    <ds:schemaRef ds:uri="http://purl.org/dc/dcmitype/"/>
    <ds:schemaRef ds:uri="http://purl.org/dc/elements/1.1/"/>
    <ds:schemaRef ds:uri="http://schemas.microsoft.com/office/infopath/2007/PartnerControls"/>
    <ds:schemaRef ds:uri="6CBF17BB-32BF-4210-B88D-9EAFDDF24BBA"/>
    <ds:schemaRef ds:uri="http://purl.org/dc/terms/"/>
    <ds:schemaRef ds:uri="http://www.w3.org/XML/1998/namespace"/>
    <ds:schemaRef ds:uri="http://schemas.microsoft.com/office/2006/documentManagement/types"/>
    <ds:schemaRef ds:uri="http://schemas.openxmlformats.org/package/2006/metadata/core-properties"/>
    <ds:schemaRef ds:uri="751276d0-61bc-4dad-b75c-21dfd12630ad"/>
    <ds:schemaRef ds:uri="http://schemas.microsoft.com/office/2006/metadata/properties"/>
  </ds:schemaRefs>
</ds:datastoreItem>
</file>

<file path=customXml/itemProps4.xml><?xml version="1.0" encoding="utf-8"?>
<ds:datastoreItem xmlns:ds="http://schemas.openxmlformats.org/officeDocument/2006/customXml" ds:itemID="{8159B7C0-F15F-42D8-9AEA-ACD2BF9F1B07}">
  <ds:schemaRefs>
    <ds:schemaRef ds:uri="http://schemas.openxmlformats.org/officeDocument/2006/bibliography"/>
  </ds:schemaRefs>
</ds:datastoreItem>
</file>

<file path=customXml/itemProps5.xml><?xml version="1.0" encoding="utf-8"?>
<ds:datastoreItem xmlns:ds="http://schemas.openxmlformats.org/officeDocument/2006/customXml" ds:itemID="{83E85F14-C386-4E3E-A806-40C79237AABF}"/>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UE-161135 UE-161112 Memo</vt:lpstr>
    </vt:vector>
  </TitlesOfParts>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UE-161135 UE-161112 Memo</dc:title>
  <dc:creator/>
  <cp:lastModifiedBy/>
  <cp:revision>1</cp:revision>
  <dcterms:created xsi:type="dcterms:W3CDTF">2016-11-03T14:53:00Z</dcterms:created>
  <dcterms:modified xsi:type="dcterms:W3CDTF">2016-11-07T19:29:00Z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0x0101006E56B4D1795A2E4DB2F0B01679ED314A008012EE8584904C4897CD07B1F86E1EC4</vt:lpwstr>
  </property>
  <property fmtid="{D5CDD505-2E9C-101B-9397-08002B2CF9AE}" pid="3" name="_docset_NoMedatataSyncRequired">
    <vt:lpwstr>False</vt:lpwstr>
  </property>
</Properties>
</file>