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F8CE" w14:textId="77777777" w:rsidR="000A1236" w:rsidRPr="00C923D6" w:rsidRDefault="000A1236">
      <w:pPr>
        <w:pStyle w:val="BodyText"/>
        <w:rPr>
          <w:b/>
          <w:bCs/>
        </w:rPr>
      </w:pPr>
      <w:bookmarkStart w:id="0" w:name="_GoBack"/>
      <w:bookmarkEnd w:id="0"/>
      <w:r w:rsidRPr="00C923D6">
        <w:rPr>
          <w:b/>
          <w:bCs/>
        </w:rPr>
        <w:t>BEFORE THE WASHINGTON</w:t>
      </w:r>
    </w:p>
    <w:p w14:paraId="1CECF8CF" w14:textId="77777777" w:rsidR="000A1236" w:rsidRPr="00C923D6" w:rsidRDefault="000A1236">
      <w:pPr>
        <w:pStyle w:val="BodyText"/>
        <w:rPr>
          <w:b/>
          <w:bCs/>
        </w:rPr>
      </w:pPr>
      <w:r w:rsidRPr="00C923D6">
        <w:rPr>
          <w:b/>
          <w:bCs/>
        </w:rPr>
        <w:t xml:space="preserve">UTILITIES AND TRANSPORTATION </w:t>
      </w:r>
      <w:r w:rsidR="00FA1C7D">
        <w:rPr>
          <w:b/>
          <w:bCs/>
        </w:rPr>
        <w:t>COMMISSION</w:t>
      </w:r>
    </w:p>
    <w:p w14:paraId="1CECF8D0" w14:textId="77777777" w:rsidR="000A1236" w:rsidRPr="00C923D6" w:rsidRDefault="000A1236">
      <w:pPr>
        <w:jc w:val="center"/>
      </w:pPr>
    </w:p>
    <w:tbl>
      <w:tblPr>
        <w:tblW w:w="8886" w:type="dxa"/>
        <w:tblLook w:val="0000" w:firstRow="0" w:lastRow="0" w:firstColumn="0" w:lastColumn="0" w:noHBand="0" w:noVBand="0"/>
      </w:tblPr>
      <w:tblGrid>
        <w:gridCol w:w="4428"/>
        <w:gridCol w:w="270"/>
        <w:gridCol w:w="4188"/>
      </w:tblGrid>
      <w:tr w:rsidR="000A1236" w:rsidRPr="00C923D6" w14:paraId="1CECF8E0" w14:textId="77777777" w:rsidTr="00516BE6">
        <w:tc>
          <w:tcPr>
            <w:tcW w:w="4428" w:type="dxa"/>
            <w:tcBorders>
              <w:bottom w:val="single" w:sz="4" w:space="0" w:color="auto"/>
              <w:right w:val="single" w:sz="4" w:space="0" w:color="auto"/>
            </w:tcBorders>
          </w:tcPr>
          <w:p w14:paraId="1CECF8D1" w14:textId="77777777" w:rsidR="000A1236" w:rsidRPr="00C923D6" w:rsidRDefault="000A1236">
            <w:pPr>
              <w:pStyle w:val="Header"/>
              <w:tabs>
                <w:tab w:val="clear" w:pos="4320"/>
                <w:tab w:val="clear" w:pos="8640"/>
              </w:tabs>
            </w:pPr>
            <w:r w:rsidRPr="00C923D6">
              <w:t xml:space="preserve">In the Matter of the Petition of </w:t>
            </w:r>
          </w:p>
          <w:p w14:paraId="1CECF8D2" w14:textId="77777777" w:rsidR="000A1236" w:rsidRPr="00C923D6" w:rsidRDefault="000A1236"/>
          <w:p w14:paraId="1CECF8D3" w14:textId="55BD48DE" w:rsidR="007308FD" w:rsidRDefault="00E1167D" w:rsidP="00D75862">
            <w:r>
              <w:t>PACIFIC POWER &amp; LIGHT COMPANY</w:t>
            </w:r>
            <w:r w:rsidR="000A1236" w:rsidRPr="00C923D6">
              <w:t>,</w:t>
            </w:r>
          </w:p>
          <w:p w14:paraId="1CECF8D4" w14:textId="77777777" w:rsidR="000A1236" w:rsidRPr="00C923D6" w:rsidRDefault="000A1236"/>
          <w:p w14:paraId="1CECF8D5" w14:textId="77777777" w:rsidR="000A1236" w:rsidRPr="00C923D6" w:rsidRDefault="000A1236" w:rsidP="00057BB3">
            <w:pPr>
              <w:jc w:val="center"/>
            </w:pPr>
            <w:r w:rsidRPr="00C923D6">
              <w:t>Petitioner,</w:t>
            </w:r>
          </w:p>
          <w:p w14:paraId="1CECF8D6" w14:textId="77777777" w:rsidR="000A1236" w:rsidRPr="00C923D6" w:rsidRDefault="000A1236"/>
          <w:p w14:paraId="41258931" w14:textId="2EB8E09D" w:rsidR="000A1236" w:rsidRDefault="000A1236" w:rsidP="007C0332">
            <w:r w:rsidRPr="00C923D6">
              <w:t xml:space="preserve">For An Accounting Order </w:t>
            </w:r>
            <w:r w:rsidR="00905891" w:rsidRPr="00905891">
              <w:t xml:space="preserve">Authorizing </w:t>
            </w:r>
            <w:r w:rsidR="007C0332">
              <w:t>Deferral of Costs</w:t>
            </w:r>
            <w:r w:rsidR="00905891" w:rsidRPr="00905891">
              <w:t xml:space="preserve"> related to the </w:t>
            </w:r>
            <w:r w:rsidR="007C0332">
              <w:t xml:space="preserve">Purchase of </w:t>
            </w:r>
            <w:r w:rsidR="00D51613">
              <w:t xml:space="preserve">Unbundled </w:t>
            </w:r>
            <w:r w:rsidR="007C0332">
              <w:t>Renewable Energy Certificates</w:t>
            </w:r>
          </w:p>
          <w:p w14:paraId="1CECF8D8" w14:textId="14752C99" w:rsidR="00DA0419" w:rsidRPr="00C923D6" w:rsidRDefault="00DA0419" w:rsidP="007C0332"/>
        </w:tc>
        <w:tc>
          <w:tcPr>
            <w:tcW w:w="270" w:type="dxa"/>
            <w:tcBorders>
              <w:left w:val="single" w:sz="4" w:space="0" w:color="auto"/>
            </w:tcBorders>
          </w:tcPr>
          <w:p w14:paraId="1CECF8D9" w14:textId="77777777" w:rsidR="000A1236" w:rsidRPr="00C923D6" w:rsidRDefault="000A1236">
            <w:pPr>
              <w:jc w:val="center"/>
            </w:pPr>
          </w:p>
        </w:tc>
        <w:tc>
          <w:tcPr>
            <w:tcW w:w="4188" w:type="dxa"/>
          </w:tcPr>
          <w:p w14:paraId="1CECF8DA" w14:textId="420DA3DF" w:rsidR="000A1236" w:rsidRPr="00C923D6" w:rsidRDefault="00491C72">
            <w:r>
              <w:t>DOCKET</w:t>
            </w:r>
            <w:r w:rsidR="00AC1794">
              <w:t xml:space="preserve"> </w:t>
            </w:r>
            <w:r w:rsidR="00B20DE1">
              <w:t>UE-1</w:t>
            </w:r>
            <w:r w:rsidR="00D51613">
              <w:t>61067</w:t>
            </w:r>
          </w:p>
          <w:p w14:paraId="1CECF8DB" w14:textId="77777777" w:rsidR="000A1236" w:rsidRPr="00C923D6" w:rsidRDefault="000A1236"/>
          <w:p w14:paraId="1CECF8DC" w14:textId="77777777" w:rsidR="000A1236" w:rsidRPr="00C923D6" w:rsidRDefault="00491C72">
            <w:r>
              <w:t>ORDER</w:t>
            </w:r>
            <w:r w:rsidR="000A1236" w:rsidRPr="00C923D6">
              <w:t xml:space="preserve"> </w:t>
            </w:r>
            <w:r w:rsidR="00B20DE1">
              <w:t>01</w:t>
            </w:r>
          </w:p>
          <w:p w14:paraId="1CECF8DD" w14:textId="77777777" w:rsidR="000A1236" w:rsidRPr="00C923D6" w:rsidRDefault="000A1236">
            <w:pPr>
              <w:rPr>
                <w:b/>
                <w:bCs/>
              </w:rPr>
            </w:pPr>
          </w:p>
          <w:p w14:paraId="1CECF8DE" w14:textId="77777777" w:rsidR="000A1236" w:rsidRPr="00C923D6" w:rsidRDefault="000A1236">
            <w:pPr>
              <w:rPr>
                <w:b/>
                <w:bCs/>
              </w:rPr>
            </w:pPr>
          </w:p>
          <w:p w14:paraId="1CECF8DF" w14:textId="58426E8B" w:rsidR="000A1236" w:rsidRPr="00C923D6" w:rsidRDefault="000A1236" w:rsidP="007C0332">
            <w:pPr>
              <w:pStyle w:val="Header"/>
              <w:tabs>
                <w:tab w:val="clear" w:pos="4320"/>
                <w:tab w:val="clear" w:pos="8640"/>
              </w:tabs>
            </w:pPr>
            <w:r w:rsidRPr="00C923D6">
              <w:t xml:space="preserve">ORDER </w:t>
            </w:r>
            <w:r w:rsidR="001E31D2">
              <w:t>GRANTING</w:t>
            </w:r>
            <w:r w:rsidR="00516BE6">
              <w:t xml:space="preserve"> ACCOUNTING PETITION</w:t>
            </w:r>
            <w:r w:rsidR="000F6AA3">
              <w:t>; ALLOWING RECOVERY OF COSTS</w:t>
            </w:r>
          </w:p>
        </w:tc>
      </w:tr>
    </w:tbl>
    <w:p w14:paraId="1CECF8E1" w14:textId="77777777" w:rsidR="000A1236" w:rsidRDefault="000A1236">
      <w:pPr>
        <w:jc w:val="center"/>
      </w:pPr>
    </w:p>
    <w:p w14:paraId="77F0CBE2" w14:textId="77777777" w:rsidR="005728CE" w:rsidRPr="00C923D6" w:rsidRDefault="005728CE">
      <w:pPr>
        <w:jc w:val="center"/>
      </w:pPr>
    </w:p>
    <w:p w14:paraId="1CECF8E2" w14:textId="77777777" w:rsidR="000A1236" w:rsidRPr="00C923D6" w:rsidRDefault="000A1236" w:rsidP="00DE6413">
      <w:pPr>
        <w:pStyle w:val="Heading1"/>
        <w:spacing w:line="320" w:lineRule="exact"/>
      </w:pPr>
      <w:r w:rsidRPr="00C923D6">
        <w:t>BACKGROUND</w:t>
      </w:r>
    </w:p>
    <w:p w14:paraId="1CECF8E3" w14:textId="77777777" w:rsidR="000A1236" w:rsidRPr="00C923D6" w:rsidRDefault="000A1236" w:rsidP="00DE6413">
      <w:pPr>
        <w:spacing w:line="320" w:lineRule="exact"/>
        <w:jc w:val="center"/>
      </w:pPr>
    </w:p>
    <w:p w14:paraId="595931B9" w14:textId="6DF7266F" w:rsidR="00A402B8" w:rsidRDefault="00A402B8" w:rsidP="00A402B8">
      <w:pPr>
        <w:pStyle w:val="ListParagraph"/>
        <w:numPr>
          <w:ilvl w:val="0"/>
          <w:numId w:val="1"/>
        </w:numPr>
        <w:spacing w:line="276" w:lineRule="auto"/>
      </w:pPr>
      <w:r w:rsidRPr="006C20E8">
        <w:t>The Energy Independence Act (EIA or Act)</w:t>
      </w:r>
      <w:r w:rsidRPr="006C20E8">
        <w:rPr>
          <w:vertAlign w:val="superscript"/>
        </w:rPr>
        <w:footnoteReference w:id="1"/>
      </w:r>
      <w:r w:rsidRPr="006C20E8">
        <w:t xml:space="preserve"> requires qualifying electric utilities to obtain certain percentages of their electricity from eligible renewable resources. The </w:t>
      </w:r>
      <w:r w:rsidR="00D97F72" w:rsidRPr="00C923D6">
        <w:t xml:space="preserve">Washington Utilities and Transportation </w:t>
      </w:r>
      <w:r w:rsidR="00D97F72">
        <w:t>Commission</w:t>
      </w:r>
      <w:r w:rsidR="00D97F72" w:rsidRPr="00C923D6">
        <w:t xml:space="preserve"> </w:t>
      </w:r>
      <w:r w:rsidR="00D97F72">
        <w:t xml:space="preserve">(Commission) </w:t>
      </w:r>
      <w:r w:rsidRPr="006C20E8">
        <w:t xml:space="preserve">enforces </w:t>
      </w:r>
      <w:r>
        <w:t xml:space="preserve">investor-owned utility companies’ </w:t>
      </w:r>
      <w:r w:rsidRPr="006C20E8">
        <w:t>compliance with the EIA.</w:t>
      </w:r>
      <w:r w:rsidRPr="006C20E8">
        <w:rPr>
          <w:vertAlign w:val="superscript"/>
        </w:rPr>
        <w:footnoteReference w:id="2"/>
      </w:r>
      <w:r>
        <w:t xml:space="preserve"> </w:t>
      </w:r>
      <w:r w:rsidRPr="00CB15EA">
        <w:t xml:space="preserve">Utilities may generate </w:t>
      </w:r>
      <w:r>
        <w:t>power</w:t>
      </w:r>
      <w:r w:rsidRPr="00CB15EA">
        <w:t xml:space="preserve"> using eligible renewable resources, purchase </w:t>
      </w:r>
      <w:r w:rsidR="00D97F72">
        <w:t xml:space="preserve">Renewable Energy Certificates (RECs) </w:t>
      </w:r>
      <w:r w:rsidRPr="00CB15EA">
        <w:t xml:space="preserve">from other generators, or </w:t>
      </w:r>
      <w:r>
        <w:t>use a combination of these two methods to achieve compliance</w:t>
      </w:r>
      <w:r w:rsidRPr="00CB15EA">
        <w:t>.</w:t>
      </w:r>
      <w:r>
        <w:rPr>
          <w:rStyle w:val="FootnoteReference"/>
        </w:rPr>
        <w:footnoteReference w:id="3"/>
      </w:r>
      <w:r>
        <w:t xml:space="preserve"> </w:t>
      </w:r>
      <w:r>
        <w:br/>
      </w:r>
    </w:p>
    <w:p w14:paraId="1CECF8E5" w14:textId="2F2D4DE0" w:rsidR="00905891" w:rsidRDefault="00D51613" w:rsidP="001B7215">
      <w:pPr>
        <w:numPr>
          <w:ilvl w:val="0"/>
          <w:numId w:val="1"/>
        </w:numPr>
        <w:spacing w:line="320" w:lineRule="exact"/>
      </w:pPr>
      <w:r>
        <w:t xml:space="preserve">On September 9, 2016, </w:t>
      </w:r>
      <w:r w:rsidRPr="00D2068C">
        <w:rPr>
          <w:bCs/>
        </w:rPr>
        <w:t>Pacific Power &amp; Light Company</w:t>
      </w:r>
      <w:r w:rsidRPr="00C923D6">
        <w:t xml:space="preserve"> (</w:t>
      </w:r>
      <w:r>
        <w:t>Pacific Power or Company</w:t>
      </w:r>
      <w:r w:rsidRPr="00C923D6">
        <w:t>)</w:t>
      </w:r>
      <w:r w:rsidRPr="00D2068C">
        <w:rPr>
          <w:b/>
          <w:bCs/>
        </w:rPr>
        <w:t xml:space="preserve"> </w:t>
      </w:r>
      <w:r>
        <w:t xml:space="preserve">filed with the </w:t>
      </w:r>
      <w:r w:rsidR="00D97F72" w:rsidRPr="006C20E8">
        <w:t xml:space="preserve">Commission </w:t>
      </w:r>
      <w:r>
        <w:t xml:space="preserve">an accounting </w:t>
      </w:r>
      <w:r w:rsidRPr="000A1F1E">
        <w:t xml:space="preserve">petition </w:t>
      </w:r>
      <w:r>
        <w:t xml:space="preserve">(Petition) seeking authorization to defer costs related to the purchase of unbundled </w:t>
      </w:r>
      <w:r w:rsidR="00D97F72" w:rsidRPr="00CB15EA">
        <w:t xml:space="preserve">RECs </w:t>
      </w:r>
      <w:r>
        <w:t xml:space="preserve">necessary for compliance with the </w:t>
      </w:r>
      <w:r w:rsidR="00E904C0">
        <w:t xml:space="preserve">Company’s </w:t>
      </w:r>
      <w:r>
        <w:t>renewable portfolio standard (RPS).</w:t>
      </w:r>
      <w:r w:rsidR="00E904C0">
        <w:rPr>
          <w:rStyle w:val="FootnoteReference"/>
        </w:rPr>
        <w:footnoteReference w:id="4"/>
      </w:r>
      <w:r>
        <w:t xml:space="preserve"> </w:t>
      </w:r>
      <w:r w:rsidR="00E904C0">
        <w:t xml:space="preserve">Pacific Power </w:t>
      </w:r>
      <w:r w:rsidR="00D2068C">
        <w:t>requests approval</w:t>
      </w:r>
      <w:r w:rsidR="00E904C0">
        <w:t xml:space="preserve"> to defer </w:t>
      </w:r>
      <w:r w:rsidR="00D2068C">
        <w:t xml:space="preserve">the </w:t>
      </w:r>
      <w:r w:rsidR="00E904C0">
        <w:t xml:space="preserve">costs associated </w:t>
      </w:r>
      <w:r w:rsidR="00D2068C">
        <w:t xml:space="preserve">with </w:t>
      </w:r>
      <w:r w:rsidR="00E904C0">
        <w:t>its RPS compliance obligations in 2017 and beyond</w:t>
      </w:r>
      <w:r w:rsidR="00D2068C">
        <w:t xml:space="preserve"> for future ratemaking treatment</w:t>
      </w:r>
      <w:r w:rsidR="00E904C0">
        <w:t xml:space="preserve">.  </w:t>
      </w:r>
      <w:r w:rsidR="00D97F72">
        <w:t xml:space="preserve"> </w:t>
      </w:r>
      <w:r w:rsidR="007C0332">
        <w:br/>
      </w:r>
    </w:p>
    <w:p w14:paraId="47B4DB0D" w14:textId="7FA86EC0" w:rsidR="00191F38" w:rsidRPr="00191F38" w:rsidRDefault="006B2A04" w:rsidP="00D2068C">
      <w:pPr>
        <w:pStyle w:val="ListParagraph"/>
        <w:numPr>
          <w:ilvl w:val="0"/>
          <w:numId w:val="1"/>
        </w:numPr>
        <w:spacing w:line="276" w:lineRule="auto"/>
      </w:pPr>
      <w:r>
        <w:lastRenderedPageBreak/>
        <w:t>Commission staff (</w:t>
      </w:r>
      <w:r w:rsidR="000F6AA3" w:rsidRPr="00C97954">
        <w:t>Staff</w:t>
      </w:r>
      <w:r>
        <w:t>)</w:t>
      </w:r>
      <w:r w:rsidR="000F6AA3" w:rsidRPr="00C97954">
        <w:t xml:space="preserve"> </w:t>
      </w:r>
      <w:r w:rsidR="000F6AA3">
        <w:t xml:space="preserve">reviewed </w:t>
      </w:r>
      <w:r w:rsidR="00E904C0">
        <w:t xml:space="preserve">the </w:t>
      </w:r>
      <w:r w:rsidR="00E00D1D">
        <w:t xml:space="preserve">Company’s </w:t>
      </w:r>
      <w:r w:rsidR="00E904C0">
        <w:t xml:space="preserve">Petition and recommends the Commission </w:t>
      </w:r>
      <w:r w:rsidR="00E00D1D">
        <w:t>allow the Company to defer its</w:t>
      </w:r>
      <w:r w:rsidR="00E904C0" w:rsidRPr="00CB15EA">
        <w:rPr>
          <w:rFonts w:eastAsia="Calibri"/>
        </w:rPr>
        <w:t xml:space="preserve"> REC expenses </w:t>
      </w:r>
      <w:r w:rsidR="00E904C0">
        <w:rPr>
          <w:rFonts w:eastAsia="Calibri"/>
        </w:rPr>
        <w:t xml:space="preserve">and </w:t>
      </w:r>
      <w:r w:rsidR="00F3587D">
        <w:rPr>
          <w:rFonts w:eastAsia="Calibri"/>
        </w:rPr>
        <w:t>recover its costs</w:t>
      </w:r>
      <w:r w:rsidR="00E904C0">
        <w:rPr>
          <w:rFonts w:eastAsia="Calibri"/>
        </w:rPr>
        <w:t xml:space="preserve"> through</w:t>
      </w:r>
      <w:r w:rsidR="00E904C0" w:rsidRPr="00CB15EA">
        <w:rPr>
          <w:rFonts w:eastAsia="Calibri"/>
        </w:rPr>
        <w:t xml:space="preserve"> the </w:t>
      </w:r>
      <w:r w:rsidR="00E904C0">
        <w:rPr>
          <w:rFonts w:eastAsia="Calibri"/>
        </w:rPr>
        <w:t xml:space="preserve">Schedule 95 </w:t>
      </w:r>
      <w:r w:rsidR="00E904C0" w:rsidRPr="00CB15EA">
        <w:rPr>
          <w:rFonts w:eastAsia="Calibri"/>
        </w:rPr>
        <w:t>REC tracker until</w:t>
      </w:r>
      <w:r w:rsidR="00E904C0">
        <w:rPr>
          <w:rFonts w:eastAsia="Calibri"/>
        </w:rPr>
        <w:t xml:space="preserve"> the Company’s next general rate case</w:t>
      </w:r>
      <w:r w:rsidR="00E904C0" w:rsidRPr="00CB15EA">
        <w:rPr>
          <w:rFonts w:eastAsia="Calibri"/>
        </w:rPr>
        <w:t>.</w:t>
      </w:r>
      <w:r w:rsidR="00F565EA">
        <w:rPr>
          <w:rFonts w:eastAsia="Calibri"/>
        </w:rPr>
        <w:t xml:space="preserve"> Staff recommends the Commission require Pacific Power to make a compliance filing to adjust Schedule 95 as necessary on or before July 1, 2017. Staff will review the Company’s purchase power contracts, and the prudence of those purchases, prior to the compliance filing.</w:t>
      </w:r>
      <w:r w:rsidR="00191F38">
        <w:rPr>
          <w:rFonts w:eastAsia="Calibri"/>
        </w:rPr>
        <w:br/>
      </w:r>
    </w:p>
    <w:p w14:paraId="4E599A12" w14:textId="22CF782E" w:rsidR="006B2A04" w:rsidRPr="006B2A04" w:rsidRDefault="00191F38" w:rsidP="00D2068C">
      <w:pPr>
        <w:pStyle w:val="ListParagraph"/>
        <w:numPr>
          <w:ilvl w:val="0"/>
          <w:numId w:val="1"/>
        </w:numPr>
        <w:spacing w:line="276" w:lineRule="auto"/>
        <w:rPr>
          <w:rFonts w:eastAsia="Calibri"/>
        </w:rPr>
      </w:pPr>
      <w:r>
        <w:t xml:space="preserve">Staff notes that </w:t>
      </w:r>
      <w:r w:rsidR="006B2A04">
        <w:t xml:space="preserve">Public Counsel </w:t>
      </w:r>
      <w:r>
        <w:t xml:space="preserve">has </w:t>
      </w:r>
      <w:r w:rsidR="006B2A04">
        <w:t>expressed concern about allowing Pacific Power to collect interest on deferred costs.</w:t>
      </w:r>
      <w:r w:rsidR="00F23C35">
        <w:t xml:space="preserve"> Staff recommends including </w:t>
      </w:r>
      <w:r w:rsidR="006B2A04">
        <w:t>the regulatory deferrals in rate base as a component of</w:t>
      </w:r>
      <w:r w:rsidR="00A402B8">
        <w:t xml:space="preserve"> investor-</w:t>
      </w:r>
      <w:r w:rsidR="006B2A04">
        <w:t>supplied working capital</w:t>
      </w:r>
      <w:r w:rsidR="00F23C35">
        <w:t xml:space="preserve"> without accumulating interest</w:t>
      </w:r>
      <w:r w:rsidR="0009614E">
        <w:t>, consistent with its standard recommendation for deferred accounting</w:t>
      </w:r>
      <w:r w:rsidR="00F23C35">
        <w:t>.</w:t>
      </w:r>
      <w:r w:rsidR="006B2A04">
        <w:t xml:space="preserve"> </w:t>
      </w:r>
      <w:r w:rsidR="006B2A04">
        <w:br/>
      </w:r>
    </w:p>
    <w:p w14:paraId="7CCB65AC" w14:textId="2D00DCAD" w:rsidR="000F6AA3" w:rsidRDefault="00F23C35" w:rsidP="000F6AA3">
      <w:pPr>
        <w:numPr>
          <w:ilvl w:val="0"/>
          <w:numId w:val="1"/>
        </w:numPr>
        <w:spacing w:line="276" w:lineRule="auto"/>
      </w:pPr>
      <w:r>
        <w:t xml:space="preserve">Accordingly, Staff recommends the </w:t>
      </w:r>
      <w:r w:rsidR="004F0DF3">
        <w:t>Commission</w:t>
      </w:r>
      <w:r>
        <w:t xml:space="preserve"> issue an order a</w:t>
      </w:r>
      <w:r w:rsidRPr="00CB15EA">
        <w:t>uthoriz</w:t>
      </w:r>
      <w:r>
        <w:t>ing</w:t>
      </w:r>
      <w:r w:rsidRPr="00CB15EA">
        <w:t xml:space="preserve"> </w:t>
      </w:r>
      <w:r>
        <w:t xml:space="preserve">Pacific Power to </w:t>
      </w:r>
      <w:r w:rsidRPr="00CB15EA">
        <w:t xml:space="preserve">defer the costs </w:t>
      </w:r>
      <w:r>
        <w:t xml:space="preserve">of ongoing </w:t>
      </w:r>
      <w:r w:rsidRPr="00CB15EA">
        <w:t>purchase</w:t>
      </w:r>
      <w:r>
        <w:t>s</w:t>
      </w:r>
      <w:r w:rsidRPr="00CB15EA">
        <w:t xml:space="preserve"> </w:t>
      </w:r>
      <w:r>
        <w:t xml:space="preserve">of </w:t>
      </w:r>
      <w:r w:rsidR="00A402B8">
        <w:t>RECs</w:t>
      </w:r>
      <w:r w:rsidRPr="00CB15EA">
        <w:t xml:space="preserve"> for </w:t>
      </w:r>
      <w:r>
        <w:t xml:space="preserve">RPS compliance as </w:t>
      </w:r>
      <w:r w:rsidRPr="00CB15EA">
        <w:t>Regulatory Assets</w:t>
      </w:r>
      <w:r>
        <w:t xml:space="preserve"> in </w:t>
      </w:r>
      <w:r w:rsidRPr="00CB15EA">
        <w:t xml:space="preserve">Account 182.3, </w:t>
      </w:r>
      <w:r>
        <w:t xml:space="preserve">without interest, and allow </w:t>
      </w:r>
      <w:r w:rsidRPr="000B0AA9">
        <w:t>the recovery of the purchased RECs in Schedule 95 until Pacific Power</w:t>
      </w:r>
      <w:r w:rsidRPr="00E11731">
        <w:t>’s next general rate</w:t>
      </w:r>
      <w:r>
        <w:t xml:space="preserve"> case.</w:t>
      </w:r>
      <w:r w:rsidR="000F6AA3">
        <w:br/>
      </w:r>
    </w:p>
    <w:p w14:paraId="73B7BA0C" w14:textId="77777777" w:rsidR="000F6AA3" w:rsidRPr="000F6AA3" w:rsidRDefault="000F6AA3" w:rsidP="000F6AA3">
      <w:pPr>
        <w:pStyle w:val="ListParagraph"/>
        <w:spacing w:line="320" w:lineRule="exact"/>
        <w:ind w:left="0"/>
        <w:jc w:val="center"/>
        <w:rPr>
          <w:b/>
        </w:rPr>
      </w:pPr>
      <w:r w:rsidRPr="000F6AA3">
        <w:rPr>
          <w:b/>
        </w:rPr>
        <w:t>DISCUSSION</w:t>
      </w:r>
    </w:p>
    <w:p w14:paraId="776B8AC6" w14:textId="77777777" w:rsidR="000F6AA3" w:rsidRPr="00D002D2" w:rsidRDefault="000F6AA3" w:rsidP="000F6AA3">
      <w:pPr>
        <w:spacing w:line="276" w:lineRule="auto"/>
      </w:pPr>
    </w:p>
    <w:p w14:paraId="1CECF8E9" w14:textId="6788B216" w:rsidR="000A1236" w:rsidRPr="00C923D6" w:rsidRDefault="00E1167D" w:rsidP="00D53583">
      <w:pPr>
        <w:numPr>
          <w:ilvl w:val="0"/>
          <w:numId w:val="1"/>
        </w:numPr>
        <w:spacing w:line="320" w:lineRule="exact"/>
      </w:pPr>
      <w:r>
        <w:t xml:space="preserve">We agree with Staff’s recommendation and grant Pacific Power’s Petition. </w:t>
      </w:r>
      <w:r w:rsidR="00F23C35">
        <w:t xml:space="preserve">We also </w:t>
      </w:r>
      <w:r w:rsidR="00A402B8">
        <w:t>adopt</w:t>
      </w:r>
      <w:r w:rsidR="00F23C35">
        <w:t xml:space="preserve"> Staff’s recommendation to allow cost</w:t>
      </w:r>
      <w:r w:rsidR="00F23C35">
        <w:rPr>
          <w:rFonts w:eastAsia="Calibri"/>
        </w:rPr>
        <w:t xml:space="preserve"> recovery through</w:t>
      </w:r>
      <w:r w:rsidR="00A402B8">
        <w:rPr>
          <w:rFonts w:eastAsia="Calibri"/>
        </w:rPr>
        <w:t xml:space="preserve"> Pacific Power’s</w:t>
      </w:r>
      <w:r w:rsidR="00F23C35" w:rsidRPr="00CB15EA">
        <w:rPr>
          <w:rFonts w:eastAsia="Calibri"/>
        </w:rPr>
        <w:t xml:space="preserve"> </w:t>
      </w:r>
      <w:r w:rsidR="00F23C35">
        <w:rPr>
          <w:rFonts w:eastAsia="Calibri"/>
        </w:rPr>
        <w:t xml:space="preserve">Schedule 95 </w:t>
      </w:r>
      <w:r w:rsidR="00F23C35" w:rsidRPr="00CB15EA">
        <w:rPr>
          <w:rFonts w:eastAsia="Calibri"/>
        </w:rPr>
        <w:t>REC tracker until</w:t>
      </w:r>
      <w:r w:rsidR="00F23C35">
        <w:rPr>
          <w:rFonts w:eastAsia="Calibri"/>
        </w:rPr>
        <w:t xml:space="preserve"> the</w:t>
      </w:r>
      <w:r w:rsidR="00A402B8">
        <w:rPr>
          <w:rFonts w:eastAsia="Calibri"/>
        </w:rPr>
        <w:t xml:space="preserve"> Company’s </w:t>
      </w:r>
      <w:r w:rsidR="00F23C35">
        <w:rPr>
          <w:rFonts w:eastAsia="Calibri"/>
        </w:rPr>
        <w:t>next general rate case</w:t>
      </w:r>
      <w:r w:rsidR="000B0BEB">
        <w:rPr>
          <w:rFonts w:eastAsia="Calibri"/>
        </w:rPr>
        <w:t>, and require the Company to make a compliance filing on or before July 1, 2017, to adjust Schedule 95 as necessary</w:t>
      </w:r>
      <w:r w:rsidR="00F23C35" w:rsidRPr="00CB15EA">
        <w:rPr>
          <w:rFonts w:eastAsia="Calibri"/>
        </w:rPr>
        <w:t>.</w:t>
      </w:r>
      <w:r w:rsidR="00F23C35">
        <w:rPr>
          <w:rFonts w:eastAsia="Calibri"/>
        </w:rPr>
        <w:t xml:space="preserve"> In the </w:t>
      </w:r>
      <w:r w:rsidR="00A402B8">
        <w:rPr>
          <w:rFonts w:eastAsia="Calibri"/>
        </w:rPr>
        <w:t>immediate future</w:t>
      </w:r>
      <w:r w:rsidR="00F23C35">
        <w:rPr>
          <w:rFonts w:eastAsia="Calibri"/>
        </w:rPr>
        <w:t>, t</w:t>
      </w:r>
      <w:r w:rsidR="00F23C35" w:rsidRPr="00CB15EA">
        <w:rPr>
          <w:rFonts w:eastAsia="Calibri"/>
        </w:rPr>
        <w:t xml:space="preserve">his </w:t>
      </w:r>
      <w:r w:rsidR="00A402B8">
        <w:rPr>
          <w:rFonts w:eastAsia="Calibri"/>
        </w:rPr>
        <w:t>solution avoids</w:t>
      </w:r>
      <w:r w:rsidR="00F23C35">
        <w:rPr>
          <w:rFonts w:eastAsia="Calibri"/>
        </w:rPr>
        <w:t xml:space="preserve"> including</w:t>
      </w:r>
      <w:r w:rsidR="00F23C35" w:rsidRPr="00CB15EA">
        <w:rPr>
          <w:rFonts w:eastAsia="Calibri"/>
        </w:rPr>
        <w:t xml:space="preserve"> the REC costs </w:t>
      </w:r>
      <w:r w:rsidR="00F23C35">
        <w:rPr>
          <w:rFonts w:eastAsia="Calibri"/>
        </w:rPr>
        <w:t xml:space="preserve">in </w:t>
      </w:r>
      <w:r w:rsidR="00F23C35" w:rsidRPr="00CB15EA">
        <w:rPr>
          <w:rFonts w:eastAsia="Calibri"/>
        </w:rPr>
        <w:t xml:space="preserve">the </w:t>
      </w:r>
      <w:r w:rsidR="00F23C35">
        <w:rPr>
          <w:rFonts w:eastAsia="Calibri"/>
        </w:rPr>
        <w:t xml:space="preserve">actual </w:t>
      </w:r>
      <w:r w:rsidR="00A402B8">
        <w:rPr>
          <w:rFonts w:eastAsia="Calibri"/>
        </w:rPr>
        <w:t>Power Cost Adjustment (</w:t>
      </w:r>
      <w:r w:rsidR="00F23C35">
        <w:rPr>
          <w:rFonts w:eastAsia="Calibri"/>
        </w:rPr>
        <w:t>PCA</w:t>
      </w:r>
      <w:r w:rsidR="00A402B8">
        <w:rPr>
          <w:rFonts w:eastAsia="Calibri"/>
        </w:rPr>
        <w:t>)</w:t>
      </w:r>
      <w:r w:rsidR="00F23C35">
        <w:rPr>
          <w:rFonts w:eastAsia="Calibri"/>
        </w:rPr>
        <w:t xml:space="preserve"> costs</w:t>
      </w:r>
      <w:r w:rsidR="00A402B8">
        <w:rPr>
          <w:rFonts w:eastAsia="Calibri"/>
        </w:rPr>
        <w:t xml:space="preserve">, which, due to PCA </w:t>
      </w:r>
      <w:r w:rsidR="004F0DF3">
        <w:rPr>
          <w:rFonts w:eastAsia="Calibri"/>
        </w:rPr>
        <w:t>dead bands</w:t>
      </w:r>
      <w:r w:rsidR="00A402B8">
        <w:rPr>
          <w:rFonts w:eastAsia="Calibri"/>
        </w:rPr>
        <w:t>, could preclude cost recovery</w:t>
      </w:r>
      <w:r w:rsidR="00F23C35">
        <w:rPr>
          <w:rFonts w:eastAsia="Calibri"/>
        </w:rPr>
        <w:t>. We agree</w:t>
      </w:r>
      <w:r w:rsidR="00A402B8">
        <w:rPr>
          <w:rFonts w:eastAsia="Calibri"/>
        </w:rPr>
        <w:t xml:space="preserve"> that the Company’s next general rate case should include a full discussion related to</w:t>
      </w:r>
      <w:r w:rsidR="00F565EA">
        <w:rPr>
          <w:rFonts w:eastAsia="Calibri"/>
        </w:rPr>
        <w:t xml:space="preserve"> the treatment of REC purchases.</w:t>
      </w:r>
      <w:r w:rsidR="00A402B8">
        <w:rPr>
          <w:rFonts w:eastAsia="Calibri"/>
        </w:rPr>
        <w:br/>
      </w:r>
      <w:r w:rsidR="00C550D3">
        <w:t xml:space="preserve"> </w:t>
      </w:r>
    </w:p>
    <w:p w14:paraId="1CECF8EA" w14:textId="77777777" w:rsidR="000A1236" w:rsidRPr="00C923D6" w:rsidRDefault="000A1236" w:rsidP="00DE6413">
      <w:pPr>
        <w:pStyle w:val="Heading1"/>
        <w:spacing w:line="320" w:lineRule="exact"/>
      </w:pPr>
      <w:r w:rsidRPr="00C923D6">
        <w:t>FINDINGS AND CONCLUSIONS</w:t>
      </w:r>
    </w:p>
    <w:p w14:paraId="1CECF8EB" w14:textId="77777777" w:rsidR="000A1236" w:rsidRPr="00C923D6" w:rsidRDefault="000A1236" w:rsidP="00DE6413">
      <w:pPr>
        <w:spacing w:line="320" w:lineRule="exact"/>
        <w:ind w:left="-1080"/>
      </w:pPr>
    </w:p>
    <w:p w14:paraId="1CECF8EC" w14:textId="365AFC13" w:rsidR="000A1236" w:rsidRPr="00C923D6" w:rsidRDefault="000A1236" w:rsidP="00DE6413">
      <w:pPr>
        <w:numPr>
          <w:ilvl w:val="0"/>
          <w:numId w:val="1"/>
        </w:numPr>
        <w:spacing w:line="320" w:lineRule="exact"/>
        <w:ind w:left="720" w:hanging="1440"/>
        <w:rPr>
          <w:i/>
          <w:iCs/>
        </w:rPr>
      </w:pPr>
      <w:r w:rsidRPr="00C923D6">
        <w:t>(1)</w:t>
      </w:r>
      <w:r w:rsidRPr="00C923D6">
        <w:tab/>
        <w:t xml:space="preserve">The </w:t>
      </w:r>
      <w:r w:rsidR="00FA1C7D">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B20DE1">
        <w:t>electric</w:t>
      </w:r>
      <w:r w:rsidRPr="00C923D6">
        <w:rPr>
          <w:b/>
          <w:bCs/>
        </w:rPr>
        <w:t xml:space="preserve"> </w:t>
      </w:r>
      <w:r w:rsidRPr="00C923D6">
        <w:t xml:space="preserve">companies. </w:t>
      </w:r>
    </w:p>
    <w:p w14:paraId="1CECF8ED" w14:textId="77777777" w:rsidR="000A1236" w:rsidRPr="00C923D6" w:rsidRDefault="000A1236" w:rsidP="00DE6413">
      <w:pPr>
        <w:spacing w:line="320" w:lineRule="exact"/>
      </w:pPr>
    </w:p>
    <w:p w14:paraId="1CECF8EE" w14:textId="4C3B1E26" w:rsidR="000A1236" w:rsidRPr="00C923D6" w:rsidRDefault="000A1236" w:rsidP="00DE6413">
      <w:pPr>
        <w:numPr>
          <w:ilvl w:val="0"/>
          <w:numId w:val="1"/>
        </w:numPr>
        <w:spacing w:line="320" w:lineRule="exact"/>
        <w:ind w:left="720" w:hanging="1440"/>
      </w:pPr>
      <w:r w:rsidRPr="00C923D6">
        <w:t>(2)</w:t>
      </w:r>
      <w:r w:rsidRPr="00C923D6">
        <w:tab/>
      </w:r>
      <w:r w:rsidR="00E1167D">
        <w:t>Pacific Power</w:t>
      </w:r>
      <w:r w:rsidR="00845BCE">
        <w:t xml:space="preserve"> </w:t>
      </w:r>
      <w:r w:rsidRPr="00C923D6">
        <w:t xml:space="preserve">is </w:t>
      </w:r>
      <w:r w:rsidR="00B20DE1">
        <w:rPr>
          <w:noProof/>
        </w:rPr>
        <w:t>an electric</w:t>
      </w:r>
      <w:r w:rsidRPr="00C923D6">
        <w:t xml:space="preserve"> company and a public service company subject to </w:t>
      </w:r>
      <w:r w:rsidR="00FA1C7D">
        <w:t>Commission</w:t>
      </w:r>
      <w:r w:rsidR="004E41FF">
        <w:t xml:space="preserve"> </w:t>
      </w:r>
      <w:r w:rsidRPr="00C923D6">
        <w:t>jurisdiction.</w:t>
      </w:r>
    </w:p>
    <w:p w14:paraId="1CECF8EF" w14:textId="77777777" w:rsidR="000A1236" w:rsidRPr="00C923D6" w:rsidRDefault="000A1236" w:rsidP="00DE6413">
      <w:pPr>
        <w:spacing w:line="320" w:lineRule="exact"/>
      </w:pPr>
    </w:p>
    <w:p w14:paraId="1CECF8F0" w14:textId="613FC1EC" w:rsidR="000A1236" w:rsidRPr="00C923D6" w:rsidRDefault="000A1236" w:rsidP="00DE6413">
      <w:pPr>
        <w:numPr>
          <w:ilvl w:val="0"/>
          <w:numId w:val="1"/>
        </w:numPr>
        <w:spacing w:line="320" w:lineRule="exact"/>
        <w:ind w:left="720" w:hanging="1440"/>
      </w:pPr>
      <w:r w:rsidRPr="00C923D6">
        <w:lastRenderedPageBreak/>
        <w:t>(3)</w:t>
      </w:r>
      <w:r w:rsidRPr="00C923D6">
        <w:tab/>
      </w:r>
      <w:r w:rsidRPr="00FA1C7D">
        <w:t>WAC 480-07-370</w:t>
      </w:r>
      <w:r w:rsidR="00F23EAE" w:rsidRPr="00FA1C7D">
        <w:t>(1)</w:t>
      </w:r>
      <w:r w:rsidRPr="00FA1C7D">
        <w:t>(b)</w:t>
      </w:r>
      <w:r w:rsidRPr="00C923D6">
        <w:t>, allows companies to file petition</w:t>
      </w:r>
      <w:r w:rsidR="004E41FF">
        <w:t>s</w:t>
      </w:r>
      <w:r w:rsidR="00FC6244">
        <w:t>,</w:t>
      </w:r>
      <w:r w:rsidRPr="00C923D6">
        <w:t xml:space="preserve"> including </w:t>
      </w:r>
      <w:r w:rsidR="00FC6244">
        <w:t xml:space="preserve">the </w:t>
      </w:r>
      <w:r w:rsidR="00BB6432">
        <w:t xml:space="preserve">Petition </w:t>
      </w:r>
      <w:r w:rsidR="00E1167D">
        <w:t>Pacific Power</w:t>
      </w:r>
      <w:r w:rsidRPr="00C923D6">
        <w:rPr>
          <w:b/>
          <w:bCs/>
        </w:rPr>
        <w:t xml:space="preserve"> </w:t>
      </w:r>
      <w:r w:rsidR="00FC6244">
        <w:t>filed in this docket</w:t>
      </w:r>
      <w:r w:rsidRPr="00C923D6">
        <w:t>.</w:t>
      </w:r>
    </w:p>
    <w:p w14:paraId="1CECF8F1" w14:textId="77777777" w:rsidR="000A1236" w:rsidRPr="00C923D6" w:rsidRDefault="000A1236" w:rsidP="00DE6413">
      <w:pPr>
        <w:spacing w:line="320" w:lineRule="exact"/>
      </w:pPr>
    </w:p>
    <w:p w14:paraId="1CECF8F2" w14:textId="06FF9831" w:rsidR="00D30CD1" w:rsidRDefault="000A1236" w:rsidP="00DE6413">
      <w:pPr>
        <w:numPr>
          <w:ilvl w:val="0"/>
          <w:numId w:val="1"/>
        </w:numPr>
        <w:spacing w:line="320" w:lineRule="exact"/>
        <w:ind w:left="720" w:hanging="1440"/>
      </w:pPr>
      <w:r w:rsidRPr="00C923D6">
        <w:t>(4)</w:t>
      </w:r>
      <w:r w:rsidRPr="00C923D6">
        <w:tab/>
      </w:r>
      <w:r w:rsidR="00FA1C7D">
        <w:t>Staff</w:t>
      </w:r>
      <w:r w:rsidRPr="00C923D6">
        <w:t xml:space="preserve"> has reviewed the </w:t>
      </w:r>
      <w:r w:rsidR="00BB6432">
        <w:t>P</w:t>
      </w:r>
      <w:r w:rsidR="002E53B8">
        <w:t xml:space="preserve">etition </w:t>
      </w:r>
      <w:r w:rsidRPr="00C923D6">
        <w:t xml:space="preserve">in Docket </w:t>
      </w:r>
      <w:r w:rsidR="00E1167D">
        <w:t>UE-1</w:t>
      </w:r>
      <w:r w:rsidR="00F23C35">
        <w:t>61067</w:t>
      </w:r>
      <w:r w:rsidR="00BB6432">
        <w:t>,</w:t>
      </w:r>
      <w:r w:rsidRPr="00C923D6">
        <w:t xml:space="preserve"> including related work</w:t>
      </w:r>
      <w:r w:rsidR="00DA0056">
        <w:t xml:space="preserve"> </w:t>
      </w:r>
      <w:r w:rsidR="00DE0C02">
        <w:t xml:space="preserve">papers. </w:t>
      </w:r>
    </w:p>
    <w:p w14:paraId="1CECF8F3" w14:textId="77777777" w:rsidR="00D30CD1" w:rsidRDefault="00D30CD1" w:rsidP="00DE6413">
      <w:pPr>
        <w:spacing w:line="320" w:lineRule="exact"/>
      </w:pPr>
    </w:p>
    <w:p w14:paraId="0AA63674" w14:textId="0224D6A7" w:rsidR="00F565EA" w:rsidRDefault="00D30CD1" w:rsidP="008D700F">
      <w:pPr>
        <w:numPr>
          <w:ilvl w:val="0"/>
          <w:numId w:val="1"/>
        </w:numPr>
        <w:spacing w:line="320" w:lineRule="exact"/>
        <w:ind w:left="720" w:hanging="1440"/>
      </w:pPr>
      <w:r>
        <w:t>(5)</w:t>
      </w:r>
      <w:r>
        <w:tab/>
      </w:r>
      <w:r w:rsidR="00FA1C7D">
        <w:t>Staff</w:t>
      </w:r>
      <w:r w:rsidR="000A1236" w:rsidRPr="00C923D6">
        <w:t xml:space="preserve"> </w:t>
      </w:r>
      <w:r w:rsidR="00BB6432">
        <w:t xml:space="preserve">finds that </w:t>
      </w:r>
      <w:r w:rsidR="00E1167D">
        <w:t>Pacific Power’s</w:t>
      </w:r>
      <w:r w:rsidR="00BB6432">
        <w:t xml:space="preserve"> Petition</w:t>
      </w:r>
      <w:r w:rsidR="00045705">
        <w:t xml:space="preserve"> </w:t>
      </w:r>
      <w:r w:rsidR="000A1236" w:rsidRPr="00C923D6">
        <w:t xml:space="preserve">is reasonable and should be </w:t>
      </w:r>
      <w:r w:rsidR="001E31D2">
        <w:t>granted</w:t>
      </w:r>
      <w:r w:rsidR="00F23C35">
        <w:t xml:space="preserve">. Specifically, Staff finds that the Company should be allowed to </w:t>
      </w:r>
      <w:r w:rsidR="00F23C35" w:rsidRPr="00CB15EA">
        <w:t xml:space="preserve">defer the costs </w:t>
      </w:r>
      <w:r w:rsidR="00F23C35">
        <w:t xml:space="preserve">of its ongoing </w:t>
      </w:r>
      <w:r w:rsidR="00F23C35" w:rsidRPr="00CB15EA">
        <w:t>purchase</w:t>
      </w:r>
      <w:r w:rsidR="00F23C35">
        <w:t>s</w:t>
      </w:r>
      <w:r w:rsidR="00F23C35" w:rsidRPr="00CB15EA">
        <w:t xml:space="preserve"> </w:t>
      </w:r>
      <w:r w:rsidR="00F23C35">
        <w:t>of RECs</w:t>
      </w:r>
      <w:r w:rsidR="00F23C35" w:rsidRPr="00CB15EA">
        <w:t xml:space="preserve"> for </w:t>
      </w:r>
      <w:r w:rsidR="00F23C35">
        <w:t>RPS compliance until the conclusion of its next general rate case</w:t>
      </w:r>
      <w:r w:rsidR="00F23C35" w:rsidRPr="00CB15EA">
        <w:t xml:space="preserve"> </w:t>
      </w:r>
      <w:r w:rsidR="00F23C35">
        <w:t xml:space="preserve">as </w:t>
      </w:r>
      <w:r w:rsidR="00F23C35" w:rsidRPr="00CB15EA">
        <w:t>Regulatory Assets</w:t>
      </w:r>
      <w:r w:rsidR="00F23C35">
        <w:t xml:space="preserve"> in </w:t>
      </w:r>
      <w:r w:rsidR="00F23C35" w:rsidRPr="00CB15EA">
        <w:t xml:space="preserve">Account 182.3, </w:t>
      </w:r>
      <w:r w:rsidR="00F23C35">
        <w:t>without interest. Staff also finds that Pacific Power should be allowed to</w:t>
      </w:r>
      <w:r w:rsidR="00F23C35" w:rsidRPr="000B0AA9">
        <w:t xml:space="preserve"> recover </w:t>
      </w:r>
      <w:r w:rsidR="00F23C35">
        <w:t xml:space="preserve">the cost of purchasing </w:t>
      </w:r>
      <w:r w:rsidR="00F23C35" w:rsidRPr="000B0AA9">
        <w:t>RECs in Schedule 95 until</w:t>
      </w:r>
      <w:r w:rsidR="00F23C35">
        <w:t xml:space="preserve"> the Company’</w:t>
      </w:r>
      <w:r w:rsidR="00F23C35" w:rsidRPr="00E11731">
        <w:t>s next general rate</w:t>
      </w:r>
      <w:r w:rsidR="00A402B8">
        <w:t xml:space="preserve"> case.</w:t>
      </w:r>
      <w:r w:rsidR="00F565EA">
        <w:t xml:space="preserve"> </w:t>
      </w:r>
    </w:p>
    <w:p w14:paraId="47CB0EDD" w14:textId="77777777" w:rsidR="00F565EA" w:rsidRDefault="00F565EA" w:rsidP="00F565EA">
      <w:pPr>
        <w:pStyle w:val="ListParagraph"/>
        <w:rPr>
          <w:rFonts w:eastAsia="Calibri"/>
        </w:rPr>
      </w:pPr>
    </w:p>
    <w:p w14:paraId="1CECF8F5" w14:textId="2FB2E0A5" w:rsidR="000A1236" w:rsidRPr="003C2211" w:rsidRDefault="00F565EA" w:rsidP="00DE6413">
      <w:pPr>
        <w:numPr>
          <w:ilvl w:val="0"/>
          <w:numId w:val="1"/>
        </w:numPr>
        <w:spacing w:line="320" w:lineRule="exact"/>
        <w:ind w:left="720" w:hanging="1440"/>
      </w:pPr>
      <w:r>
        <w:rPr>
          <w:rFonts w:eastAsia="Calibri"/>
        </w:rPr>
        <w:t>(6)</w:t>
      </w:r>
      <w:r>
        <w:rPr>
          <w:rFonts w:eastAsia="Calibri"/>
        </w:rPr>
        <w:tab/>
        <w:t>Pacific Power should make a compliance filing to adjust Schedule 95 as necessary on or before July 1, 2017. Staff will review the Company’s purchase power contracts, and the prudence of those purchases, prior to the compliance filing.</w:t>
      </w:r>
      <w:r>
        <w:rPr>
          <w:rFonts w:eastAsia="Calibri"/>
        </w:rPr>
        <w:br/>
      </w:r>
    </w:p>
    <w:p w14:paraId="1CECF8F6" w14:textId="2C6FA89C" w:rsidR="000A1236" w:rsidRPr="00C923D6" w:rsidRDefault="000A1236" w:rsidP="00DE6413">
      <w:pPr>
        <w:numPr>
          <w:ilvl w:val="0"/>
          <w:numId w:val="1"/>
        </w:numPr>
        <w:spacing w:line="320" w:lineRule="exact"/>
        <w:ind w:left="720" w:hanging="1440"/>
      </w:pPr>
      <w:r w:rsidRPr="00C923D6">
        <w:t>(</w:t>
      </w:r>
      <w:r w:rsidR="00F565EA">
        <w:t>7</w:t>
      </w:r>
      <w:r w:rsidRPr="00C923D6">
        <w:t>)</w:t>
      </w:r>
      <w:r w:rsidRPr="00C923D6">
        <w:tab/>
        <w:t xml:space="preserve">This matter </w:t>
      </w:r>
      <w:r w:rsidR="00045705">
        <w:t>came</w:t>
      </w:r>
      <w:r w:rsidRPr="00C923D6">
        <w:t xml:space="preserve"> before the </w:t>
      </w:r>
      <w:r w:rsidR="00FA1C7D">
        <w:t>Commission</w:t>
      </w:r>
      <w:r w:rsidRPr="00C923D6">
        <w:t xml:space="preserve"> at its regularly scheduled meeting on</w:t>
      </w:r>
      <w:r w:rsidR="00AC1794">
        <w:t xml:space="preserve"> </w:t>
      </w:r>
      <w:r w:rsidR="00F23C35">
        <w:t>February 9</w:t>
      </w:r>
      <w:r w:rsidR="00B20DE1">
        <w:t>, 201</w:t>
      </w:r>
      <w:r w:rsidR="00F23C35">
        <w:t>7</w:t>
      </w:r>
      <w:r w:rsidR="003C2211">
        <w:t>.</w:t>
      </w:r>
    </w:p>
    <w:p w14:paraId="1CECF8F7" w14:textId="77777777" w:rsidR="000A1236" w:rsidRPr="00C923D6" w:rsidRDefault="000A1236" w:rsidP="00DE6413">
      <w:pPr>
        <w:spacing w:line="320" w:lineRule="exact"/>
      </w:pPr>
    </w:p>
    <w:p w14:paraId="1CECF8F8" w14:textId="34D5E05A" w:rsidR="000A1236" w:rsidRPr="00BB6432" w:rsidRDefault="000A1236" w:rsidP="00DE6413">
      <w:pPr>
        <w:numPr>
          <w:ilvl w:val="0"/>
          <w:numId w:val="1"/>
        </w:numPr>
        <w:spacing w:line="320" w:lineRule="exact"/>
        <w:ind w:left="720" w:hanging="1440"/>
        <w:rPr>
          <w:color w:val="FF0000"/>
        </w:rPr>
      </w:pPr>
      <w:r w:rsidRPr="00C923D6">
        <w:t>(</w:t>
      </w:r>
      <w:r w:rsidR="00F565EA">
        <w:t>8</w:t>
      </w:r>
      <w:r w:rsidRPr="00C923D6">
        <w:t>)</w:t>
      </w:r>
      <w:r w:rsidRPr="00C923D6">
        <w:tab/>
        <w:t xml:space="preserve">After </w:t>
      </w:r>
      <w:r w:rsidR="00103788">
        <w:t>reviewing</w:t>
      </w:r>
      <w:r w:rsidR="003C2211">
        <w:t xml:space="preserve"> </w:t>
      </w:r>
      <w:r w:rsidR="00E1167D">
        <w:t>Pacific Power’s</w:t>
      </w:r>
      <w:r w:rsidR="00E82696">
        <w:rPr>
          <w:bCs/>
        </w:rPr>
        <w:t xml:space="preserve"> </w:t>
      </w:r>
      <w:r w:rsidR="00873F50">
        <w:rPr>
          <w:bCs/>
        </w:rPr>
        <w:t>P</w:t>
      </w:r>
      <w:r w:rsidRPr="00C923D6">
        <w:t xml:space="preserve">etition filed in Docket </w:t>
      </w:r>
      <w:r w:rsidR="00B20DE1">
        <w:t>UE-</w:t>
      </w:r>
      <w:r w:rsidR="00E1167D">
        <w:t>1</w:t>
      </w:r>
      <w:r w:rsidR="00F23C35">
        <w:t>61067</w:t>
      </w:r>
      <w:r w:rsidRPr="00C923D6">
        <w:t xml:space="preserve"> on </w:t>
      </w:r>
      <w:r w:rsidR="00F23C35">
        <w:t>September 9, 2016</w:t>
      </w:r>
      <w:r w:rsidR="00873F50">
        <w:t>,</w:t>
      </w:r>
      <w:r w:rsidR="00952ED4">
        <w:t xml:space="preserve"> </w:t>
      </w:r>
      <w:r w:rsidRPr="00C923D6">
        <w:t xml:space="preserve">and giving due consideration to all relevant matters and for good cause shown, the </w:t>
      </w:r>
      <w:r w:rsidR="00FA1C7D">
        <w:t>Commission</w:t>
      </w:r>
      <w:r w:rsidRPr="00C923D6">
        <w:t xml:space="preserve"> finds that</w:t>
      </w:r>
      <w:r w:rsidR="00E1167D">
        <w:t>: 1)</w:t>
      </w:r>
      <w:r w:rsidRPr="00C923D6">
        <w:t xml:space="preserve"> the Petition should be </w:t>
      </w:r>
      <w:r w:rsidR="001E31D2">
        <w:t>granted</w:t>
      </w:r>
      <w:r w:rsidR="00E1167D">
        <w:t xml:space="preserve">; 2) </w:t>
      </w:r>
      <w:r w:rsidR="00F23C35">
        <w:t xml:space="preserve">Pacific Power’s </w:t>
      </w:r>
      <w:r w:rsidR="00F23C35" w:rsidRPr="00CB15EA">
        <w:t xml:space="preserve">costs </w:t>
      </w:r>
      <w:r w:rsidR="00F23C35">
        <w:t xml:space="preserve">related to its ongoing </w:t>
      </w:r>
      <w:r w:rsidR="00F23C35" w:rsidRPr="00CB15EA">
        <w:t>purchase</w:t>
      </w:r>
      <w:r w:rsidR="00F23C35">
        <w:t>s</w:t>
      </w:r>
      <w:r w:rsidR="00F23C35" w:rsidRPr="00CB15EA">
        <w:t xml:space="preserve"> </w:t>
      </w:r>
      <w:r w:rsidR="00F23C35">
        <w:t>of RECs</w:t>
      </w:r>
      <w:r w:rsidR="00F23C35" w:rsidRPr="00CB15EA">
        <w:t xml:space="preserve"> for </w:t>
      </w:r>
      <w:r w:rsidR="00F23C35">
        <w:t xml:space="preserve">RPS compliance should be deferred as </w:t>
      </w:r>
      <w:r w:rsidR="00F23C35" w:rsidRPr="00CB15EA">
        <w:t>Regulatory Assets</w:t>
      </w:r>
      <w:r w:rsidR="00F23C35">
        <w:t xml:space="preserve"> in </w:t>
      </w:r>
      <w:r w:rsidR="00F23C35" w:rsidRPr="00CB15EA">
        <w:t xml:space="preserve">Account 182.3, </w:t>
      </w:r>
      <w:r w:rsidR="00F23C35">
        <w:t>without interest</w:t>
      </w:r>
      <w:r w:rsidR="00F3587D">
        <w:t xml:space="preserve">, until the conclusion of </w:t>
      </w:r>
      <w:r w:rsidR="000B0BEB">
        <w:t>the Company’s</w:t>
      </w:r>
      <w:r w:rsidR="00F3587D">
        <w:t xml:space="preserve"> next general rate case</w:t>
      </w:r>
      <w:r w:rsidR="00E1167D">
        <w:t>; 3) Pacific Power should recover the costs of the RECs through it</w:t>
      </w:r>
      <w:r w:rsidR="00F23C35">
        <w:t>s Schedule 95</w:t>
      </w:r>
      <w:r w:rsidR="00F3587D">
        <w:t xml:space="preserve"> REC</w:t>
      </w:r>
      <w:r w:rsidR="00F23C35">
        <w:t xml:space="preserve"> tracker mechanism until its next general rate case</w:t>
      </w:r>
      <w:r w:rsidR="00F565EA">
        <w:t>; and 4) Pacific Power should make a compliance filing t</w:t>
      </w:r>
      <w:r w:rsidR="00F565EA">
        <w:rPr>
          <w:rFonts w:eastAsia="Calibri"/>
        </w:rPr>
        <w:t xml:space="preserve">o adjust Schedule 95 as necessary </w:t>
      </w:r>
      <w:r w:rsidR="00F565EA">
        <w:t>on or before July 1, 2017.</w:t>
      </w:r>
    </w:p>
    <w:p w14:paraId="1CECF8FA" w14:textId="77777777" w:rsidR="002E53B8" w:rsidRDefault="002E53B8" w:rsidP="002E53B8"/>
    <w:p w14:paraId="1CECF900" w14:textId="1359C5EE" w:rsidR="000A1236" w:rsidRPr="00C923D6" w:rsidRDefault="000A1236" w:rsidP="00DE6413">
      <w:pPr>
        <w:pStyle w:val="Heading1"/>
        <w:spacing w:line="320" w:lineRule="exact"/>
      </w:pPr>
      <w:r w:rsidRPr="00C923D6">
        <w:t>ORDER</w:t>
      </w:r>
    </w:p>
    <w:p w14:paraId="1CECF901" w14:textId="77777777" w:rsidR="000A1236" w:rsidRPr="00C923D6" w:rsidRDefault="000A1236" w:rsidP="00DE6413">
      <w:pPr>
        <w:spacing w:line="320" w:lineRule="exact"/>
      </w:pPr>
    </w:p>
    <w:p w14:paraId="1CECF902" w14:textId="77777777" w:rsidR="000A1236" w:rsidRPr="004E41FF" w:rsidRDefault="000A1236" w:rsidP="00DE6413">
      <w:pPr>
        <w:spacing w:line="320" w:lineRule="exact"/>
        <w:rPr>
          <w:b/>
        </w:rPr>
      </w:pPr>
      <w:r w:rsidRPr="004E41FF">
        <w:rPr>
          <w:b/>
        </w:rPr>
        <w:t xml:space="preserve">THE </w:t>
      </w:r>
      <w:r w:rsidR="00FA1C7D">
        <w:rPr>
          <w:b/>
        </w:rPr>
        <w:t>COMMISSION</w:t>
      </w:r>
      <w:r w:rsidRPr="004E41FF">
        <w:rPr>
          <w:b/>
        </w:rPr>
        <w:t xml:space="preserve"> ORDERS:</w:t>
      </w:r>
    </w:p>
    <w:p w14:paraId="1CECF903" w14:textId="77777777" w:rsidR="000A1236" w:rsidRPr="00C923D6" w:rsidRDefault="000A1236" w:rsidP="00DE6413">
      <w:pPr>
        <w:spacing w:line="320" w:lineRule="exact"/>
      </w:pPr>
    </w:p>
    <w:p w14:paraId="1CECF904" w14:textId="3A23C2C7" w:rsidR="000A1236" w:rsidRPr="00C923D6" w:rsidRDefault="000A1236" w:rsidP="008D700F">
      <w:pPr>
        <w:numPr>
          <w:ilvl w:val="0"/>
          <w:numId w:val="1"/>
        </w:numPr>
        <w:spacing w:line="320" w:lineRule="exact"/>
        <w:ind w:left="720" w:hanging="1440"/>
      </w:pPr>
      <w:r w:rsidRPr="00C923D6">
        <w:t>(1)</w:t>
      </w:r>
      <w:r w:rsidRPr="00C923D6">
        <w:tab/>
      </w:r>
      <w:r w:rsidR="00E1167D">
        <w:t>Pacific Power &amp; Light Company’s Petition seeking authorization to defer costs related to the purchase of unbundled Renewable Energy Certificates is granted.</w:t>
      </w:r>
    </w:p>
    <w:p w14:paraId="1CECF905" w14:textId="77777777" w:rsidR="000A1236" w:rsidRPr="00C923D6" w:rsidRDefault="000A1236" w:rsidP="00DE6413">
      <w:pPr>
        <w:spacing w:line="320" w:lineRule="exact"/>
      </w:pPr>
    </w:p>
    <w:p w14:paraId="1CECF906" w14:textId="56F3ADD1" w:rsidR="000A1236" w:rsidRPr="00C923D6" w:rsidRDefault="000A1236" w:rsidP="00796FE4">
      <w:pPr>
        <w:numPr>
          <w:ilvl w:val="0"/>
          <w:numId w:val="1"/>
        </w:numPr>
        <w:spacing w:line="320" w:lineRule="exact"/>
        <w:ind w:left="720" w:hanging="1440"/>
      </w:pPr>
      <w:r w:rsidRPr="00C923D6">
        <w:lastRenderedPageBreak/>
        <w:t>(2)</w:t>
      </w:r>
      <w:r w:rsidRPr="00C923D6">
        <w:tab/>
      </w:r>
      <w:r w:rsidR="00E1167D">
        <w:t xml:space="preserve">Pacific Power &amp; Light Company’s </w:t>
      </w:r>
      <w:r w:rsidR="004111B0" w:rsidRPr="00CB15EA">
        <w:t xml:space="preserve">costs </w:t>
      </w:r>
      <w:r w:rsidR="004111B0">
        <w:t xml:space="preserve">related to its ongoing </w:t>
      </w:r>
      <w:r w:rsidR="004111B0" w:rsidRPr="00CB15EA">
        <w:t>purchase</w:t>
      </w:r>
      <w:r w:rsidR="004111B0">
        <w:t>s</w:t>
      </w:r>
      <w:r w:rsidR="004111B0" w:rsidRPr="00CB15EA">
        <w:t xml:space="preserve"> </w:t>
      </w:r>
      <w:r w:rsidR="004111B0">
        <w:t>of RECs</w:t>
      </w:r>
      <w:r w:rsidR="004111B0" w:rsidRPr="00CB15EA">
        <w:t xml:space="preserve"> for </w:t>
      </w:r>
      <w:r w:rsidR="004111B0">
        <w:t xml:space="preserve">RPS compliance </w:t>
      </w:r>
      <w:r w:rsidR="00C70021">
        <w:t>may</w:t>
      </w:r>
      <w:r w:rsidR="004111B0">
        <w:t xml:space="preserve"> be deferred as </w:t>
      </w:r>
      <w:r w:rsidR="004111B0" w:rsidRPr="00CB15EA">
        <w:t>Regulatory Assets</w:t>
      </w:r>
      <w:r w:rsidR="004111B0">
        <w:t xml:space="preserve"> in </w:t>
      </w:r>
      <w:r w:rsidR="004111B0" w:rsidRPr="00CB15EA">
        <w:t xml:space="preserve">Account 182.3, </w:t>
      </w:r>
      <w:r w:rsidR="004111B0">
        <w:t>without interest</w:t>
      </w:r>
      <w:r w:rsidR="00F3587D">
        <w:t>, until the conclusion of its next general rate case</w:t>
      </w:r>
      <w:r w:rsidR="00C70021">
        <w:t>.</w:t>
      </w:r>
    </w:p>
    <w:p w14:paraId="1CECF907" w14:textId="77777777" w:rsidR="000A1236" w:rsidRPr="00C923D6" w:rsidRDefault="000A1236" w:rsidP="00DE6413">
      <w:pPr>
        <w:spacing w:line="320" w:lineRule="exact"/>
      </w:pPr>
    </w:p>
    <w:p w14:paraId="1CECF908" w14:textId="100A06EF" w:rsidR="000A1236" w:rsidRDefault="003C2270" w:rsidP="00DE6413">
      <w:pPr>
        <w:numPr>
          <w:ilvl w:val="0"/>
          <w:numId w:val="1"/>
        </w:numPr>
        <w:spacing w:line="320" w:lineRule="exact"/>
        <w:ind w:left="720" w:hanging="1440"/>
      </w:pPr>
      <w:r>
        <w:t>(3)</w:t>
      </w:r>
      <w:r>
        <w:tab/>
      </w:r>
      <w:r w:rsidR="00E1167D">
        <w:t>Pacific Power &amp; Light Company may recover the cost of the unbundled Renewable Energy Certificates through its Schedule 95 tracker mechanism</w:t>
      </w:r>
      <w:r w:rsidR="00F3587D">
        <w:t xml:space="preserve"> until the conclusion of its next general rate case</w:t>
      </w:r>
      <w:r w:rsidR="00E1167D">
        <w:t>.</w:t>
      </w:r>
    </w:p>
    <w:p w14:paraId="76C004E1" w14:textId="77777777" w:rsidR="00F565EA" w:rsidRDefault="00F565EA" w:rsidP="00F565EA">
      <w:pPr>
        <w:pStyle w:val="ListParagraph"/>
      </w:pPr>
    </w:p>
    <w:p w14:paraId="3F53390A" w14:textId="029EC3FE" w:rsidR="00F565EA" w:rsidRDefault="00F565EA" w:rsidP="00DE6413">
      <w:pPr>
        <w:numPr>
          <w:ilvl w:val="0"/>
          <w:numId w:val="1"/>
        </w:numPr>
        <w:spacing w:line="320" w:lineRule="exact"/>
        <w:ind w:left="720" w:hanging="1440"/>
      </w:pPr>
      <w:r>
        <w:t>(4)</w:t>
      </w:r>
      <w:r>
        <w:tab/>
        <w:t>Pacific Power &amp; Light Company must make a compliance filing to adjust Schedule 95 as necessary on or before July 1, 2017.</w:t>
      </w:r>
    </w:p>
    <w:p w14:paraId="1CECF909" w14:textId="77777777" w:rsidR="00491C72" w:rsidRDefault="00491C72" w:rsidP="00DE6413">
      <w:pPr>
        <w:spacing w:line="320" w:lineRule="exact"/>
      </w:pPr>
    </w:p>
    <w:p w14:paraId="1CECF90A" w14:textId="44155D08" w:rsidR="000A1236" w:rsidRPr="00C923D6" w:rsidRDefault="000A1236" w:rsidP="00DE6413">
      <w:pPr>
        <w:numPr>
          <w:ilvl w:val="0"/>
          <w:numId w:val="1"/>
        </w:numPr>
        <w:spacing w:line="320" w:lineRule="exact"/>
        <w:ind w:left="720" w:hanging="1440"/>
      </w:pPr>
      <w:r w:rsidRPr="00C923D6">
        <w:t>(</w:t>
      </w:r>
      <w:r w:rsidR="00F565EA">
        <w:t>5</w:t>
      </w:r>
      <w:r w:rsidRPr="00C923D6">
        <w:t>)</w:t>
      </w:r>
      <w:r w:rsidRPr="00C923D6">
        <w:tab/>
        <w:t xml:space="preserve">The </w:t>
      </w:r>
      <w:r w:rsidR="00FA1C7D">
        <w:t>Commission</w:t>
      </w:r>
      <w:r w:rsidRPr="00C923D6">
        <w:t xml:space="preserve"> retains jurisdiction over the subject matter and </w:t>
      </w:r>
      <w:r w:rsidR="00E1167D">
        <w:t>Pacific Power &amp; Light Company</w:t>
      </w:r>
      <w:r w:rsidRPr="00C923D6">
        <w:rPr>
          <w:b/>
          <w:bCs/>
        </w:rPr>
        <w:t xml:space="preserve"> </w:t>
      </w:r>
      <w:r w:rsidRPr="00C923D6">
        <w:t>to effectuate the provisions of this Order.</w:t>
      </w:r>
    </w:p>
    <w:p w14:paraId="1CECF90C" w14:textId="4036F117" w:rsidR="005728CE" w:rsidRDefault="005728CE"/>
    <w:p w14:paraId="0B246114" w14:textId="77777777" w:rsidR="003C2270" w:rsidRDefault="003C2270" w:rsidP="00DE6413">
      <w:pPr>
        <w:spacing w:line="320" w:lineRule="exact"/>
      </w:pPr>
    </w:p>
    <w:p w14:paraId="1CECF90D" w14:textId="371662D2" w:rsidR="000A1236" w:rsidRPr="00AC1794" w:rsidRDefault="000A1236" w:rsidP="00DE6413">
      <w:pPr>
        <w:spacing w:line="320" w:lineRule="exact"/>
      </w:pPr>
      <w:r w:rsidRPr="00C923D6">
        <w:t xml:space="preserve">DATED at Olympia, Washington, and effective </w:t>
      </w:r>
      <w:r w:rsidR="00C70021">
        <w:rPr>
          <w:bCs/>
        </w:rPr>
        <w:t>February 9, 2017</w:t>
      </w:r>
      <w:r w:rsidRPr="00AC1794">
        <w:t>.</w:t>
      </w:r>
    </w:p>
    <w:p w14:paraId="1CECF90E" w14:textId="77777777" w:rsidR="000A1236" w:rsidRPr="00C923D6" w:rsidRDefault="000A1236" w:rsidP="00DE6413">
      <w:pPr>
        <w:spacing w:line="320" w:lineRule="exact"/>
      </w:pPr>
    </w:p>
    <w:p w14:paraId="1CECF90F"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FA1C7D">
        <w:t>COMMISSION</w:t>
      </w:r>
    </w:p>
    <w:p w14:paraId="1CECF910" w14:textId="77777777" w:rsidR="000A1236" w:rsidRPr="00C923D6" w:rsidRDefault="000A1236" w:rsidP="00DE6413">
      <w:pPr>
        <w:spacing w:line="320" w:lineRule="exact"/>
      </w:pPr>
    </w:p>
    <w:p w14:paraId="1CECF911" w14:textId="77777777" w:rsidR="000A1236" w:rsidRPr="00C923D6" w:rsidRDefault="000A1236" w:rsidP="00DE6413">
      <w:pPr>
        <w:spacing w:line="320" w:lineRule="exact"/>
      </w:pPr>
    </w:p>
    <w:p w14:paraId="1CECF912" w14:textId="77777777" w:rsidR="000A1236" w:rsidRPr="00C923D6" w:rsidRDefault="000A1236" w:rsidP="00DE6413">
      <w:pPr>
        <w:spacing w:line="320" w:lineRule="exact"/>
      </w:pPr>
    </w:p>
    <w:p w14:paraId="1CECF913" w14:textId="77777777" w:rsidR="003C2270" w:rsidRPr="000C1EB1" w:rsidRDefault="003C2270" w:rsidP="00DE6413">
      <w:pPr>
        <w:spacing w:line="320" w:lineRule="exact"/>
      </w:pPr>
      <w:r w:rsidRPr="003C2270">
        <w:rPr>
          <w:i/>
        </w:rPr>
        <w:tab/>
      </w:r>
      <w:r w:rsidRPr="003C2270">
        <w:rPr>
          <w:i/>
        </w:rPr>
        <w:tab/>
      </w:r>
    </w:p>
    <w:p w14:paraId="00900B41" w14:textId="77777777" w:rsidR="009466C8" w:rsidRDefault="003C2270" w:rsidP="009466C8">
      <w:pPr>
        <w:spacing w:line="320" w:lineRule="exact"/>
      </w:pPr>
      <w:r>
        <w:tab/>
      </w:r>
      <w:r>
        <w:tab/>
      </w:r>
      <w:r>
        <w:tab/>
      </w:r>
      <w:r>
        <w:tab/>
      </w:r>
      <w:r w:rsidR="009466C8">
        <w:t>DAVID W. DANNER, Chairman</w:t>
      </w:r>
    </w:p>
    <w:p w14:paraId="310C5F62" w14:textId="77777777" w:rsidR="009466C8" w:rsidRDefault="009466C8" w:rsidP="009466C8">
      <w:pPr>
        <w:spacing w:line="320" w:lineRule="exact"/>
      </w:pPr>
    </w:p>
    <w:p w14:paraId="42B3F0DE" w14:textId="77777777" w:rsidR="009466C8" w:rsidRDefault="009466C8" w:rsidP="009466C8">
      <w:pPr>
        <w:spacing w:line="320" w:lineRule="exact"/>
      </w:pPr>
    </w:p>
    <w:p w14:paraId="0C2C57D2" w14:textId="77777777" w:rsidR="009466C8" w:rsidRDefault="009466C8" w:rsidP="009466C8">
      <w:pPr>
        <w:spacing w:line="320" w:lineRule="exact"/>
      </w:pPr>
    </w:p>
    <w:p w14:paraId="1C31C2F2" w14:textId="77777777" w:rsidR="009466C8" w:rsidRDefault="009466C8" w:rsidP="009466C8">
      <w:pPr>
        <w:spacing w:line="320" w:lineRule="exact"/>
      </w:pPr>
      <w:r>
        <w:tab/>
      </w:r>
      <w:r>
        <w:tab/>
      </w:r>
      <w:r>
        <w:tab/>
      </w:r>
      <w:r>
        <w:tab/>
        <w:t>PHI</w:t>
      </w:r>
      <w:r w:rsidRPr="001D5896">
        <w:t>LIP B. JONES, Commissioner</w:t>
      </w:r>
    </w:p>
    <w:p w14:paraId="3C108579" w14:textId="77777777" w:rsidR="009466C8" w:rsidRDefault="009466C8" w:rsidP="009466C8">
      <w:pPr>
        <w:spacing w:line="320" w:lineRule="exact"/>
      </w:pPr>
    </w:p>
    <w:p w14:paraId="60DD3857" w14:textId="77777777" w:rsidR="009466C8" w:rsidRDefault="009466C8" w:rsidP="009466C8">
      <w:pPr>
        <w:spacing w:line="320" w:lineRule="exact"/>
      </w:pPr>
    </w:p>
    <w:p w14:paraId="21C74317" w14:textId="77777777" w:rsidR="009466C8" w:rsidRPr="001D5896" w:rsidRDefault="009466C8" w:rsidP="009466C8">
      <w:pPr>
        <w:spacing w:line="320" w:lineRule="exact"/>
      </w:pPr>
    </w:p>
    <w:p w14:paraId="746588E4" w14:textId="77777777" w:rsidR="009466C8" w:rsidRPr="001D5896" w:rsidRDefault="009466C8" w:rsidP="009466C8">
      <w:pPr>
        <w:spacing w:line="320" w:lineRule="exact"/>
      </w:pPr>
      <w:r>
        <w:tab/>
      </w:r>
      <w:r>
        <w:tab/>
      </w:r>
      <w:r>
        <w:tab/>
      </w:r>
      <w:r>
        <w:tab/>
        <w:t>ANN E. RENDAHL, Commissioner</w:t>
      </w:r>
    </w:p>
    <w:p w14:paraId="1CECF91D" w14:textId="37D1A412" w:rsidR="007D62FB" w:rsidRPr="00C923D6" w:rsidRDefault="007D62FB" w:rsidP="009466C8">
      <w:pPr>
        <w:spacing w:line="320" w:lineRule="exact"/>
      </w:pPr>
    </w:p>
    <w:sectPr w:rsidR="007D62FB" w:rsidRPr="00C923D6" w:rsidSect="009466C8">
      <w:headerReference w:type="default" r:id="rId11"/>
      <w:type w:val="continuous"/>
      <w:pgSz w:w="12240" w:h="15840" w:code="1"/>
      <w:pgMar w:top="1440" w:right="144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D66B" w14:textId="77777777" w:rsidR="00C24855" w:rsidRDefault="00C24855">
      <w:r>
        <w:separator/>
      </w:r>
    </w:p>
  </w:endnote>
  <w:endnote w:type="continuationSeparator" w:id="0">
    <w:p w14:paraId="4AA7A372" w14:textId="77777777" w:rsidR="00C24855" w:rsidRDefault="00C2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D9ACA" w14:textId="77777777" w:rsidR="00C24855" w:rsidRDefault="00C24855">
      <w:r>
        <w:separator/>
      </w:r>
    </w:p>
  </w:footnote>
  <w:footnote w:type="continuationSeparator" w:id="0">
    <w:p w14:paraId="3E324A19" w14:textId="77777777" w:rsidR="00C24855" w:rsidRDefault="00C24855">
      <w:r>
        <w:continuationSeparator/>
      </w:r>
    </w:p>
  </w:footnote>
  <w:footnote w:id="1">
    <w:p w14:paraId="4DD560CB" w14:textId="77777777" w:rsidR="00A402B8" w:rsidRPr="000F6AA3" w:rsidRDefault="00A402B8" w:rsidP="00A402B8">
      <w:pPr>
        <w:pStyle w:val="FootnoteText"/>
        <w:rPr>
          <w:rFonts w:ascii="Times New Roman" w:hAnsi="Times New Roman"/>
          <w:sz w:val="22"/>
          <w:szCs w:val="22"/>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RCW Chapter 19.285.</w:t>
      </w:r>
      <w:r>
        <w:rPr>
          <w:rFonts w:ascii="Times New Roman" w:hAnsi="Times New Roman"/>
          <w:sz w:val="22"/>
          <w:szCs w:val="22"/>
        </w:rPr>
        <w:br/>
      </w:r>
    </w:p>
  </w:footnote>
  <w:footnote w:id="2">
    <w:p w14:paraId="0DEF3CBE" w14:textId="77777777" w:rsidR="00A402B8" w:rsidRPr="000F6AA3" w:rsidRDefault="00A402B8" w:rsidP="00A402B8">
      <w:pPr>
        <w:pStyle w:val="FootnoteText"/>
        <w:rPr>
          <w:rFonts w:ascii="Times New Roman" w:hAnsi="Times New Roman"/>
          <w:sz w:val="22"/>
          <w:szCs w:val="22"/>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RCW 19.285.060(6).</w:t>
      </w:r>
      <w:r>
        <w:rPr>
          <w:rFonts w:ascii="Times New Roman" w:hAnsi="Times New Roman"/>
          <w:sz w:val="22"/>
          <w:szCs w:val="22"/>
        </w:rPr>
        <w:br/>
      </w:r>
    </w:p>
  </w:footnote>
  <w:footnote w:id="3">
    <w:p w14:paraId="2DF9F534" w14:textId="77777777" w:rsidR="00A402B8" w:rsidRPr="00D2068C" w:rsidRDefault="00A402B8" w:rsidP="00A402B8">
      <w:pPr>
        <w:pStyle w:val="FootnoteText"/>
        <w:rPr>
          <w:rFonts w:ascii="Times New Roman" w:hAnsi="Times New Roman"/>
          <w:sz w:val="22"/>
          <w:szCs w:val="22"/>
        </w:rPr>
      </w:pPr>
      <w:r w:rsidRPr="00D2068C">
        <w:rPr>
          <w:rStyle w:val="FootnoteReference"/>
          <w:rFonts w:ascii="Times New Roman" w:hAnsi="Times New Roman"/>
          <w:sz w:val="22"/>
          <w:szCs w:val="22"/>
        </w:rPr>
        <w:footnoteRef/>
      </w:r>
      <w:r w:rsidRPr="00D2068C">
        <w:rPr>
          <w:rFonts w:ascii="Times New Roman" w:hAnsi="Times New Roman"/>
          <w:sz w:val="22"/>
          <w:szCs w:val="22"/>
        </w:rPr>
        <w:t xml:space="preserve"> Beginning in 2012, the renewable resource requirement was 3 percent of a utility’s retail load. This requirement adjusted upward to 9 percent in 2016, and will increase to 15 percent in 2020.</w:t>
      </w:r>
      <w:r w:rsidRPr="00D2068C">
        <w:rPr>
          <w:rFonts w:ascii="Times New Roman" w:hAnsi="Times New Roman"/>
          <w:sz w:val="22"/>
          <w:szCs w:val="22"/>
        </w:rPr>
        <w:br/>
      </w:r>
    </w:p>
  </w:footnote>
  <w:footnote w:id="4">
    <w:p w14:paraId="41FF0906" w14:textId="38B28FC0" w:rsidR="00E904C0" w:rsidRPr="00E904C0" w:rsidRDefault="00E904C0">
      <w:pPr>
        <w:pStyle w:val="FootnoteText"/>
        <w:rPr>
          <w:rFonts w:ascii="Times New Roman" w:hAnsi="Times New Roman"/>
          <w:sz w:val="22"/>
          <w:szCs w:val="22"/>
        </w:rPr>
      </w:pPr>
      <w:r w:rsidRPr="00E904C0">
        <w:rPr>
          <w:rStyle w:val="FootnoteReference"/>
          <w:rFonts w:ascii="Times New Roman" w:hAnsi="Times New Roman"/>
          <w:sz w:val="22"/>
          <w:szCs w:val="22"/>
        </w:rPr>
        <w:footnoteRef/>
      </w:r>
      <w:r w:rsidRPr="00E904C0">
        <w:rPr>
          <w:rFonts w:ascii="Times New Roman" w:hAnsi="Times New Roman"/>
          <w:sz w:val="22"/>
          <w:szCs w:val="22"/>
        </w:rPr>
        <w:t xml:space="preserve"> On December 22, 2016, the Commission entered an order in docket UE-143915 authorizing deferral of the costs related to unbundled RECs purchased in 2014 to meet the Company’s RPS requirements in 2015, 2016, and 2017. The Commission found that the costs to procure the 2014 RECs were prudently incurred, and authorized recovery of the costs through </w:t>
      </w:r>
      <w:r w:rsidR="00D2068C">
        <w:rPr>
          <w:rFonts w:ascii="Times New Roman" w:hAnsi="Times New Roman"/>
          <w:sz w:val="22"/>
          <w:szCs w:val="22"/>
        </w:rPr>
        <w:t xml:space="preserve">the Company’s </w:t>
      </w:r>
      <w:r w:rsidRPr="00E904C0">
        <w:rPr>
          <w:rFonts w:ascii="Times New Roman" w:hAnsi="Times New Roman"/>
          <w:sz w:val="22"/>
          <w:szCs w:val="22"/>
        </w:rPr>
        <w:t>Schedule 95</w:t>
      </w:r>
      <w:r w:rsidR="00D2068C">
        <w:rPr>
          <w:rFonts w:ascii="Times New Roman" w:hAnsi="Times New Roman"/>
          <w:sz w:val="22"/>
          <w:szCs w:val="22"/>
        </w:rPr>
        <w:t xml:space="preserve"> REC tracker</w:t>
      </w:r>
      <w:r w:rsidRPr="00E904C0">
        <w:rPr>
          <w:rFonts w:ascii="Times New Roman" w:hAnsi="Times New Roman"/>
          <w:sz w:val="22"/>
          <w:szCs w:val="22"/>
        </w:rPr>
        <w:t>.</w:t>
      </w:r>
      <w:r>
        <w:rPr>
          <w:rFonts w:ascii="Times New Roman" w:hAnsi="Times New Roman"/>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F923" w14:textId="0C87D0FA" w:rsidR="00F23EAE" w:rsidRPr="00A748CC" w:rsidRDefault="00F23EAE" w:rsidP="00516BE6">
    <w:pPr>
      <w:pStyle w:val="Header"/>
      <w:tabs>
        <w:tab w:val="clear" w:pos="8640"/>
        <w:tab w:val="left" w:pos="7000"/>
        <w:tab w:val="right" w:pos="8460"/>
      </w:tabs>
      <w:rPr>
        <w:rStyle w:val="PageNumber"/>
        <w:b/>
        <w:sz w:val="20"/>
      </w:rPr>
    </w:pPr>
    <w:r w:rsidRPr="00A748CC">
      <w:rPr>
        <w:b/>
        <w:sz w:val="20"/>
      </w:rPr>
      <w:t xml:space="preserve">DOCKET </w:t>
    </w:r>
    <w:r w:rsidR="000F6AA3">
      <w:rPr>
        <w:b/>
        <w:sz w:val="20"/>
      </w:rPr>
      <w:t>UE-1</w:t>
    </w:r>
    <w:r w:rsidR="00E904C0">
      <w:rPr>
        <w:b/>
        <w:sz w:val="20"/>
      </w:rPr>
      <w:t>61067</w:t>
    </w:r>
    <w:r w:rsidRPr="00A748CC">
      <w:rPr>
        <w:b/>
        <w:sz w:val="20"/>
      </w:rPr>
      <w:tab/>
    </w:r>
    <w:r w:rsidRPr="00A748CC">
      <w:rPr>
        <w:b/>
        <w:sz w:val="20"/>
      </w:rPr>
      <w:tab/>
    </w:r>
    <w:r w:rsidR="00516BE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167B7">
      <w:rPr>
        <w:rStyle w:val="PageNumber"/>
        <w:b/>
        <w:noProof/>
        <w:sz w:val="20"/>
      </w:rPr>
      <w:t>4</w:t>
    </w:r>
    <w:r w:rsidRPr="00A748CC">
      <w:rPr>
        <w:rStyle w:val="PageNumber"/>
        <w:b/>
        <w:sz w:val="20"/>
      </w:rPr>
      <w:fldChar w:fldCharType="end"/>
    </w:r>
  </w:p>
  <w:p w14:paraId="1CECF924" w14:textId="77777777"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20DE1" w:rsidRPr="00B20DE1">
      <w:rPr>
        <w:b/>
        <w:sz w:val="20"/>
      </w:rPr>
      <w:t>01</w:t>
    </w:r>
  </w:p>
  <w:p w14:paraId="1CECF925" w14:textId="77777777" w:rsidR="00F23EAE" w:rsidRPr="00C923D6" w:rsidRDefault="00F23EAE">
    <w:pPr>
      <w:pStyle w:val="Header"/>
      <w:rPr>
        <w:rStyle w:val="PageNumber"/>
        <w:sz w:val="20"/>
      </w:rPr>
    </w:pPr>
  </w:p>
  <w:p w14:paraId="1CECF926" w14:textId="77777777" w:rsidR="00F23EAE" w:rsidRPr="00C923D6" w:rsidRDefault="00F23EA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E64"/>
    <w:multiLevelType w:val="hybridMultilevel"/>
    <w:tmpl w:val="47889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AD6978"/>
    <w:multiLevelType w:val="hybridMultilevel"/>
    <w:tmpl w:val="A464194E"/>
    <w:lvl w:ilvl="0" w:tplc="BF84DC0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0C2B7D"/>
    <w:multiLevelType w:val="hybridMultilevel"/>
    <w:tmpl w:val="3738F0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36"/>
    <w:rsid w:val="00002219"/>
    <w:rsid w:val="00003776"/>
    <w:rsid w:val="00005FD9"/>
    <w:rsid w:val="00020192"/>
    <w:rsid w:val="00023C9E"/>
    <w:rsid w:val="00037C22"/>
    <w:rsid w:val="00045705"/>
    <w:rsid w:val="00050C2A"/>
    <w:rsid w:val="00057A7C"/>
    <w:rsid w:val="00057BB3"/>
    <w:rsid w:val="000670DB"/>
    <w:rsid w:val="00092D0D"/>
    <w:rsid w:val="00095DA6"/>
    <w:rsid w:val="0009614E"/>
    <w:rsid w:val="000A1236"/>
    <w:rsid w:val="000B0BEB"/>
    <w:rsid w:val="000B2415"/>
    <w:rsid w:val="000C0449"/>
    <w:rsid w:val="000C06F4"/>
    <w:rsid w:val="000C1EB1"/>
    <w:rsid w:val="000E0FD7"/>
    <w:rsid w:val="000E3146"/>
    <w:rsid w:val="000E3ECF"/>
    <w:rsid w:val="000F378C"/>
    <w:rsid w:val="000F6AA3"/>
    <w:rsid w:val="00103788"/>
    <w:rsid w:val="001223E6"/>
    <w:rsid w:val="00136461"/>
    <w:rsid w:val="00137B5D"/>
    <w:rsid w:val="00156783"/>
    <w:rsid w:val="00163E45"/>
    <w:rsid w:val="00184D11"/>
    <w:rsid w:val="00191F38"/>
    <w:rsid w:val="00191FEF"/>
    <w:rsid w:val="00194B38"/>
    <w:rsid w:val="001A2476"/>
    <w:rsid w:val="001A2CF4"/>
    <w:rsid w:val="001C3CFC"/>
    <w:rsid w:val="001D05AF"/>
    <w:rsid w:val="001E31D2"/>
    <w:rsid w:val="001F3B0C"/>
    <w:rsid w:val="001F3B92"/>
    <w:rsid w:val="00207552"/>
    <w:rsid w:val="00210528"/>
    <w:rsid w:val="0021323F"/>
    <w:rsid w:val="002167B7"/>
    <w:rsid w:val="00217507"/>
    <w:rsid w:val="00225F93"/>
    <w:rsid w:val="00256D8F"/>
    <w:rsid w:val="00267B11"/>
    <w:rsid w:val="00290213"/>
    <w:rsid w:val="00292960"/>
    <w:rsid w:val="002A00FC"/>
    <w:rsid w:val="002A2164"/>
    <w:rsid w:val="002A288F"/>
    <w:rsid w:val="002A391C"/>
    <w:rsid w:val="002B2DA3"/>
    <w:rsid w:val="002E53B8"/>
    <w:rsid w:val="002F1DE2"/>
    <w:rsid w:val="00304BB0"/>
    <w:rsid w:val="0030610C"/>
    <w:rsid w:val="00324084"/>
    <w:rsid w:val="003603C6"/>
    <w:rsid w:val="00361E01"/>
    <w:rsid w:val="00374E9D"/>
    <w:rsid w:val="0037519F"/>
    <w:rsid w:val="00377CDA"/>
    <w:rsid w:val="003864F6"/>
    <w:rsid w:val="003919D4"/>
    <w:rsid w:val="0039735B"/>
    <w:rsid w:val="003C0A5B"/>
    <w:rsid w:val="003C2211"/>
    <w:rsid w:val="003C2270"/>
    <w:rsid w:val="003C35D0"/>
    <w:rsid w:val="003E5242"/>
    <w:rsid w:val="003F0F55"/>
    <w:rsid w:val="0040179C"/>
    <w:rsid w:val="00406621"/>
    <w:rsid w:val="00406766"/>
    <w:rsid w:val="004111B0"/>
    <w:rsid w:val="00412541"/>
    <w:rsid w:val="00420751"/>
    <w:rsid w:val="0043185D"/>
    <w:rsid w:val="00435481"/>
    <w:rsid w:val="004376D1"/>
    <w:rsid w:val="00446310"/>
    <w:rsid w:val="00464B1F"/>
    <w:rsid w:val="00491C72"/>
    <w:rsid w:val="004C0556"/>
    <w:rsid w:val="004E41FF"/>
    <w:rsid w:val="004E7207"/>
    <w:rsid w:val="004F0DF3"/>
    <w:rsid w:val="004F3814"/>
    <w:rsid w:val="005024C1"/>
    <w:rsid w:val="00512EC6"/>
    <w:rsid w:val="00516BE6"/>
    <w:rsid w:val="00525321"/>
    <w:rsid w:val="00537A6E"/>
    <w:rsid w:val="00544C45"/>
    <w:rsid w:val="0054782A"/>
    <w:rsid w:val="005579E7"/>
    <w:rsid w:val="00560A2A"/>
    <w:rsid w:val="005728CE"/>
    <w:rsid w:val="00572F55"/>
    <w:rsid w:val="00583678"/>
    <w:rsid w:val="005A0FF8"/>
    <w:rsid w:val="005A1E76"/>
    <w:rsid w:val="005E1629"/>
    <w:rsid w:val="005E1ADB"/>
    <w:rsid w:val="00603F5F"/>
    <w:rsid w:val="006262B3"/>
    <w:rsid w:val="006279C0"/>
    <w:rsid w:val="006641CB"/>
    <w:rsid w:val="00680D48"/>
    <w:rsid w:val="00681D8A"/>
    <w:rsid w:val="006B2A04"/>
    <w:rsid w:val="006B795F"/>
    <w:rsid w:val="006C4048"/>
    <w:rsid w:val="007027C1"/>
    <w:rsid w:val="00706D7A"/>
    <w:rsid w:val="007133EB"/>
    <w:rsid w:val="007147E9"/>
    <w:rsid w:val="007308FD"/>
    <w:rsid w:val="007454F4"/>
    <w:rsid w:val="00750293"/>
    <w:rsid w:val="0076326D"/>
    <w:rsid w:val="00796FE4"/>
    <w:rsid w:val="007A49DF"/>
    <w:rsid w:val="007C0332"/>
    <w:rsid w:val="007D4C59"/>
    <w:rsid w:val="007D62FB"/>
    <w:rsid w:val="007E6159"/>
    <w:rsid w:val="007F7266"/>
    <w:rsid w:val="0080664E"/>
    <w:rsid w:val="008246C9"/>
    <w:rsid w:val="00830EB3"/>
    <w:rsid w:val="00840ABC"/>
    <w:rsid w:val="00845BCE"/>
    <w:rsid w:val="00845F18"/>
    <w:rsid w:val="00873F50"/>
    <w:rsid w:val="00883B8B"/>
    <w:rsid w:val="00887761"/>
    <w:rsid w:val="008A5BDE"/>
    <w:rsid w:val="008A75BB"/>
    <w:rsid w:val="008B6F84"/>
    <w:rsid w:val="008D148C"/>
    <w:rsid w:val="008D6469"/>
    <w:rsid w:val="008D700F"/>
    <w:rsid w:val="008F2CB1"/>
    <w:rsid w:val="008F66CE"/>
    <w:rsid w:val="00905891"/>
    <w:rsid w:val="009138C6"/>
    <w:rsid w:val="00922662"/>
    <w:rsid w:val="0092543D"/>
    <w:rsid w:val="00940E71"/>
    <w:rsid w:val="009466C8"/>
    <w:rsid w:val="00952ED4"/>
    <w:rsid w:val="00990F85"/>
    <w:rsid w:val="009B3E4E"/>
    <w:rsid w:val="009D5E0A"/>
    <w:rsid w:val="009E6BBD"/>
    <w:rsid w:val="00A2102B"/>
    <w:rsid w:val="00A2131C"/>
    <w:rsid w:val="00A22F56"/>
    <w:rsid w:val="00A26256"/>
    <w:rsid w:val="00A26911"/>
    <w:rsid w:val="00A272E7"/>
    <w:rsid w:val="00A32948"/>
    <w:rsid w:val="00A34118"/>
    <w:rsid w:val="00A3599C"/>
    <w:rsid w:val="00A402B8"/>
    <w:rsid w:val="00A4134E"/>
    <w:rsid w:val="00A43DD7"/>
    <w:rsid w:val="00A6402D"/>
    <w:rsid w:val="00A710A2"/>
    <w:rsid w:val="00A71C65"/>
    <w:rsid w:val="00AA6C3F"/>
    <w:rsid w:val="00AC1794"/>
    <w:rsid w:val="00AD405A"/>
    <w:rsid w:val="00B109E7"/>
    <w:rsid w:val="00B20DE1"/>
    <w:rsid w:val="00B303AE"/>
    <w:rsid w:val="00B40357"/>
    <w:rsid w:val="00B7132A"/>
    <w:rsid w:val="00B940FA"/>
    <w:rsid w:val="00B948EF"/>
    <w:rsid w:val="00BA007B"/>
    <w:rsid w:val="00BA34F6"/>
    <w:rsid w:val="00BA627E"/>
    <w:rsid w:val="00BB0385"/>
    <w:rsid w:val="00BB6432"/>
    <w:rsid w:val="00BD5323"/>
    <w:rsid w:val="00BD6086"/>
    <w:rsid w:val="00C24855"/>
    <w:rsid w:val="00C40733"/>
    <w:rsid w:val="00C47D0C"/>
    <w:rsid w:val="00C550D3"/>
    <w:rsid w:val="00C622F6"/>
    <w:rsid w:val="00C62862"/>
    <w:rsid w:val="00C70021"/>
    <w:rsid w:val="00C823A7"/>
    <w:rsid w:val="00C87791"/>
    <w:rsid w:val="00C923D6"/>
    <w:rsid w:val="00C94CC6"/>
    <w:rsid w:val="00C96BE9"/>
    <w:rsid w:val="00C979BD"/>
    <w:rsid w:val="00CD75FE"/>
    <w:rsid w:val="00D002D2"/>
    <w:rsid w:val="00D15422"/>
    <w:rsid w:val="00D2068C"/>
    <w:rsid w:val="00D30CD1"/>
    <w:rsid w:val="00D34764"/>
    <w:rsid w:val="00D34FDB"/>
    <w:rsid w:val="00D365AA"/>
    <w:rsid w:val="00D37AE6"/>
    <w:rsid w:val="00D51613"/>
    <w:rsid w:val="00D564C0"/>
    <w:rsid w:val="00D75862"/>
    <w:rsid w:val="00D8358F"/>
    <w:rsid w:val="00D842FB"/>
    <w:rsid w:val="00D938E7"/>
    <w:rsid w:val="00D97F72"/>
    <w:rsid w:val="00DA0056"/>
    <w:rsid w:val="00DA0419"/>
    <w:rsid w:val="00DA34C3"/>
    <w:rsid w:val="00DA5958"/>
    <w:rsid w:val="00DD589F"/>
    <w:rsid w:val="00DE0C02"/>
    <w:rsid w:val="00DE12EB"/>
    <w:rsid w:val="00DE6413"/>
    <w:rsid w:val="00DF00C0"/>
    <w:rsid w:val="00DF6DED"/>
    <w:rsid w:val="00E00D1D"/>
    <w:rsid w:val="00E013DE"/>
    <w:rsid w:val="00E02724"/>
    <w:rsid w:val="00E1167D"/>
    <w:rsid w:val="00E36BC8"/>
    <w:rsid w:val="00E464AB"/>
    <w:rsid w:val="00E4683D"/>
    <w:rsid w:val="00E56EFE"/>
    <w:rsid w:val="00E66798"/>
    <w:rsid w:val="00E67931"/>
    <w:rsid w:val="00E708AA"/>
    <w:rsid w:val="00E70E2C"/>
    <w:rsid w:val="00E82696"/>
    <w:rsid w:val="00E8335A"/>
    <w:rsid w:val="00E904C0"/>
    <w:rsid w:val="00EB66E9"/>
    <w:rsid w:val="00EE6A09"/>
    <w:rsid w:val="00F03613"/>
    <w:rsid w:val="00F23C35"/>
    <w:rsid w:val="00F23EAE"/>
    <w:rsid w:val="00F27160"/>
    <w:rsid w:val="00F3587D"/>
    <w:rsid w:val="00F54B0B"/>
    <w:rsid w:val="00F565EA"/>
    <w:rsid w:val="00F75266"/>
    <w:rsid w:val="00F84147"/>
    <w:rsid w:val="00F90B09"/>
    <w:rsid w:val="00FA1C7D"/>
    <w:rsid w:val="00FC0341"/>
    <w:rsid w:val="00FC27F2"/>
    <w:rsid w:val="00FC6244"/>
    <w:rsid w:val="00FE2919"/>
    <w:rsid w:val="00FE3B8E"/>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CECF8CE"/>
  <w15:chartTrackingRefBased/>
  <w15:docId w15:val="{93739914-BD7F-48A5-BD2E-1FB0189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905891"/>
    <w:pPr>
      <w:ind w:left="720"/>
      <w:contextualSpacing/>
    </w:pPr>
  </w:style>
  <w:style w:type="paragraph" w:styleId="FootnoteText">
    <w:name w:val="footnote text"/>
    <w:basedOn w:val="Normal"/>
    <w:link w:val="FootnoteTextChar"/>
    <w:unhideWhenUsed/>
    <w:rsid w:val="00B109E7"/>
    <w:rPr>
      <w:rFonts w:ascii="Palatino Linotype" w:hAnsi="Palatino Linotype"/>
      <w:sz w:val="20"/>
      <w:szCs w:val="20"/>
    </w:rPr>
  </w:style>
  <w:style w:type="character" w:customStyle="1" w:styleId="FootnoteTextChar">
    <w:name w:val="Footnote Text Char"/>
    <w:basedOn w:val="DefaultParagraphFont"/>
    <w:link w:val="FootnoteText"/>
    <w:rsid w:val="00B109E7"/>
    <w:rPr>
      <w:rFonts w:ascii="Palatino Linotype" w:hAnsi="Palatino Linotype"/>
    </w:rPr>
  </w:style>
  <w:style w:type="character" w:styleId="FootnoteReference">
    <w:name w:val="footnote reference"/>
    <w:basedOn w:val="DefaultParagraphFont"/>
    <w:uiPriority w:val="99"/>
    <w:unhideWhenUsed/>
    <w:rsid w:val="00B109E7"/>
    <w:rPr>
      <w:vertAlign w:val="superscript"/>
    </w:rPr>
  </w:style>
  <w:style w:type="character" w:styleId="CommentReference">
    <w:name w:val="annotation reference"/>
    <w:basedOn w:val="DefaultParagraphFont"/>
    <w:rsid w:val="00C96BE9"/>
    <w:rPr>
      <w:sz w:val="16"/>
      <w:szCs w:val="16"/>
    </w:rPr>
  </w:style>
  <w:style w:type="paragraph" w:styleId="CommentText">
    <w:name w:val="annotation text"/>
    <w:basedOn w:val="Normal"/>
    <w:link w:val="CommentTextChar"/>
    <w:uiPriority w:val="99"/>
    <w:rsid w:val="00C96BE9"/>
    <w:rPr>
      <w:sz w:val="20"/>
      <w:szCs w:val="20"/>
    </w:rPr>
  </w:style>
  <w:style w:type="character" w:customStyle="1" w:styleId="CommentTextChar">
    <w:name w:val="Comment Text Char"/>
    <w:basedOn w:val="DefaultParagraphFont"/>
    <w:link w:val="CommentText"/>
    <w:uiPriority w:val="99"/>
    <w:rsid w:val="00C96BE9"/>
  </w:style>
  <w:style w:type="paragraph" w:styleId="CommentSubject">
    <w:name w:val="annotation subject"/>
    <w:basedOn w:val="CommentText"/>
    <w:next w:val="CommentText"/>
    <w:link w:val="CommentSubjectChar"/>
    <w:rsid w:val="00C96BE9"/>
    <w:rPr>
      <w:b/>
      <w:bCs/>
    </w:rPr>
  </w:style>
  <w:style w:type="character" w:customStyle="1" w:styleId="CommentSubjectChar">
    <w:name w:val="Comment Subject Char"/>
    <w:basedOn w:val="CommentTextChar"/>
    <w:link w:val="CommentSubject"/>
    <w:rsid w:val="00C96BE9"/>
    <w:rPr>
      <w:b/>
      <w:bCs/>
    </w:rPr>
  </w:style>
  <w:style w:type="paragraph" w:styleId="Revision">
    <w:name w:val="Revision"/>
    <w:hidden/>
    <w:uiPriority w:val="99"/>
    <w:semiHidden/>
    <w:rsid w:val="00B94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903">
      <w:bodyDiv w:val="1"/>
      <w:marLeft w:val="0"/>
      <w:marRight w:val="0"/>
      <w:marTop w:val="0"/>
      <w:marBottom w:val="0"/>
      <w:divBdr>
        <w:top w:val="none" w:sz="0" w:space="0" w:color="auto"/>
        <w:left w:val="none" w:sz="0" w:space="0" w:color="auto"/>
        <w:bottom w:val="none" w:sz="0" w:space="0" w:color="auto"/>
        <w:right w:val="none" w:sz="0" w:space="0" w:color="auto"/>
      </w:divBdr>
    </w:div>
    <w:div w:id="6838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2016-09-12T07:00:00+00:00</OpenedDate>
    <Date1 xmlns="dc463f71-b30c-4ab2-9473-d307f9d35888">2017-02-09T08:00:00+00:00</Date1>
    <IsDocumentOrder xmlns="dc463f71-b30c-4ab2-9473-d307f9d35888">true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161067</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8C4C4C7F3DCB4F895C0D53A3185AD0" ma:contentTypeVersion="104" ma:contentTypeDescription="" ma:contentTypeScope="" ma:versionID="8242435d2011d599239b9eee01059e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EC1723-40D6-48A4-8350-C465BD45A5F4}">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751276d0-61bc-4dad-b75c-21dfd12630ad"/>
    <ds:schemaRef ds:uri="DC949865-19B9-44BE-BDA3-55E2530C1CFA"/>
    <ds:schemaRef ds:uri="http://schemas.microsoft.com/office/2006/metadata/properties"/>
  </ds:schemaRefs>
</ds:datastoreItem>
</file>

<file path=customXml/itemProps2.xml><?xml version="1.0" encoding="utf-8"?>
<ds:datastoreItem xmlns:ds="http://schemas.openxmlformats.org/officeDocument/2006/customXml" ds:itemID="{7A98EEA0-96D9-41DB-9958-6E6E7B479522}"/>
</file>

<file path=customXml/itemProps3.xml><?xml version="1.0" encoding="utf-8"?>
<ds:datastoreItem xmlns:ds="http://schemas.openxmlformats.org/officeDocument/2006/customXml" ds:itemID="{C3AB8FAC-4F3F-4D7C-BD56-1A9AA72584B9}">
  <ds:schemaRefs>
    <ds:schemaRef ds:uri="http://schemas.microsoft.com/sharepoint/v3/contenttype/forms"/>
  </ds:schemaRefs>
</ds:datastoreItem>
</file>

<file path=customXml/itemProps4.xml><?xml version="1.0" encoding="utf-8"?>
<ds:datastoreItem xmlns:ds="http://schemas.openxmlformats.org/officeDocument/2006/customXml" ds:itemID="{16664D03-5126-413F-9CB4-765067DE444A}">
  <ds:schemaRefs>
    <ds:schemaRef ds:uri="http://schemas.openxmlformats.org/officeDocument/2006/bibliography"/>
  </ds:schemaRefs>
</ds:datastoreItem>
</file>

<file path=customXml/itemProps5.xml><?xml version="1.0" encoding="utf-8"?>
<ds:datastoreItem xmlns:ds="http://schemas.openxmlformats.org/officeDocument/2006/customXml" ds:itemID="{06A31730-4350-461C-8624-FEED7C86CE15}"/>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UE-161067 - Order 01</vt:lpstr>
    </vt:vector>
  </TitlesOfParts>
  <Company>WUTC</Company>
  <LinksUpToDate>false</LinksUpToDate>
  <CharactersWithSpaces>6405</CharactersWithSpaces>
  <SharedDoc>false</SharedDoc>
  <HLinks>
    <vt:vector size="48" baseType="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UE-161067 - Order 01</dc:title>
  <dc:subject/>
  <dc:creator>Template Team</dc:creator>
  <cp:keywords/>
  <dc:description/>
  <cp:lastModifiedBy>Kern, Cathy (UTC)</cp:lastModifiedBy>
  <cp:revision>2</cp:revision>
  <cp:lastPrinted>2016-03-10T23:00:00Z</cp:lastPrinted>
  <dcterms:created xsi:type="dcterms:W3CDTF">2017-02-09T00:08:00Z</dcterms:created>
  <dcterms:modified xsi:type="dcterms:W3CDTF">2017-02-09T00:08:00Z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0x0101006E56B4D1795A2E4DB2F0B01679ED314A00C18C4C4C7F3DCB4F895C0D53A3185AD0</vt:lpwstr>
  </property>
  <property fmtid="{D5CDD505-2E9C-101B-9397-08002B2CF9AE}" pid="3" name="_docset_NoMedatataSyncRequired">
    <vt:lpwstr>False</vt:lpwstr>
  </property>
  <property fmtid="{D5CDD505-2E9C-101B-9397-08002B2CF9AE}" pid="4" name="IsEFSEC">
    <vt:bool>false</vt:bool>
  </property>
</Properties>
</file>