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92AE5" w14:textId="77777777" w:rsidR="00D2493D" w:rsidRDefault="00EE3F03" w:rsidP="007B5571">
      <w:pPr>
        <w:ind w:left="-810" w:right="-540"/>
      </w:pPr>
      <w:bookmarkStart w:id="0" w:name="_GoBack"/>
      <w:bookmarkEnd w:id="0"/>
      <w:r w:rsidRPr="00EE3F03">
        <w:rPr>
          <w:noProof/>
        </w:rPr>
        <w:drawing>
          <wp:inline distT="0" distB="0" distL="0" distR="0" wp14:anchorId="1AF92B36" wp14:editId="1AF92B37">
            <wp:extent cx="7090012" cy="11805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086095" cy="1179879"/>
                    </a:xfrm>
                    <a:prstGeom prst="rect">
                      <a:avLst/>
                    </a:prstGeom>
                    <a:noFill/>
                    <a:ln w="9525">
                      <a:noFill/>
                      <a:miter lim="800000"/>
                      <a:headEnd/>
                      <a:tailEnd/>
                    </a:ln>
                  </pic:spPr>
                </pic:pic>
              </a:graphicData>
            </a:graphic>
          </wp:inline>
        </w:drawing>
      </w:r>
    </w:p>
    <w:p w14:paraId="1AF92AE6" w14:textId="77777777" w:rsidR="00D2493D" w:rsidRDefault="00D2493D"/>
    <w:p w14:paraId="1AF92AE7" w14:textId="77777777" w:rsidR="00D2493D" w:rsidRDefault="00D2493D"/>
    <w:p w14:paraId="1AF92AE8" w14:textId="77777777" w:rsidR="00D2493D" w:rsidRDefault="00D2493D"/>
    <w:p w14:paraId="1AF92AE9" w14:textId="77777777" w:rsidR="00D2493D" w:rsidRDefault="00D2493D"/>
    <w:tbl>
      <w:tblPr>
        <w:tblW w:w="0" w:type="auto"/>
        <w:tblBorders>
          <w:insideH w:val="single" w:sz="4" w:space="0" w:color="auto"/>
        </w:tblBorders>
        <w:tblLayout w:type="fixed"/>
        <w:tblLook w:val="0000" w:firstRow="0" w:lastRow="0" w:firstColumn="0" w:lastColumn="0" w:noHBand="0" w:noVBand="0"/>
      </w:tblPr>
      <w:tblGrid>
        <w:gridCol w:w="4788"/>
        <w:gridCol w:w="4788"/>
      </w:tblGrid>
      <w:tr w:rsidR="00040621" w14:paraId="1AF92AF1" w14:textId="77777777">
        <w:tc>
          <w:tcPr>
            <w:tcW w:w="4788" w:type="dxa"/>
          </w:tcPr>
          <w:p w14:paraId="1AF92AEA" w14:textId="77777777" w:rsidR="00040621" w:rsidRDefault="00040621">
            <w:pPr>
              <w:pStyle w:val="Header"/>
              <w:rPr>
                <w:rFonts w:ascii="Arial" w:hAnsi="Arial" w:cs="Arial"/>
                <w:b/>
                <w:bCs/>
                <w:sz w:val="18"/>
                <w:szCs w:val="18"/>
              </w:rPr>
            </w:pPr>
            <w:r>
              <w:rPr>
                <w:rFonts w:ascii="Arial" w:hAnsi="Arial" w:cs="Arial"/>
                <w:b/>
                <w:bCs/>
                <w:sz w:val="18"/>
                <w:szCs w:val="18"/>
              </w:rPr>
              <w:t>Avista Corp.</w:t>
            </w:r>
          </w:p>
          <w:p w14:paraId="1AF92AEB" w14:textId="77777777" w:rsidR="00040621" w:rsidRDefault="0004062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14:paraId="1AF92AEC" w14:textId="77777777" w:rsidR="00040621" w:rsidRDefault="0004062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14:paraId="1AF92AED" w14:textId="77777777" w:rsidR="00040621" w:rsidRDefault="00040621">
            <w:pPr>
              <w:pStyle w:val="Header"/>
              <w:rPr>
                <w:rFonts w:ascii="Arial" w:hAnsi="Arial" w:cs="Arial"/>
                <w:sz w:val="18"/>
                <w:szCs w:val="18"/>
              </w:rPr>
            </w:pPr>
            <w:r>
              <w:rPr>
                <w:rFonts w:ascii="Arial" w:hAnsi="Arial" w:cs="Arial"/>
                <w:sz w:val="18"/>
                <w:szCs w:val="18"/>
              </w:rPr>
              <w:t>Telephone 509-489-0500</w:t>
            </w:r>
          </w:p>
          <w:p w14:paraId="1AF92AEE" w14:textId="77777777" w:rsidR="00040621" w:rsidRDefault="00040621">
            <w:pPr>
              <w:pStyle w:val="Header"/>
              <w:rPr>
                <w:sz w:val="18"/>
                <w:szCs w:val="18"/>
              </w:rPr>
            </w:pPr>
            <w:r>
              <w:rPr>
                <w:rFonts w:ascii="Arial" w:hAnsi="Arial" w:cs="Arial"/>
                <w:sz w:val="18"/>
                <w:szCs w:val="18"/>
              </w:rPr>
              <w:t>Toll Free   800-727-9170</w:t>
            </w:r>
          </w:p>
          <w:p w14:paraId="1AF92AEF" w14:textId="77777777" w:rsidR="00040621" w:rsidRDefault="00040621">
            <w:pPr>
              <w:pStyle w:val="Header"/>
              <w:rPr>
                <w:rFonts w:ascii="Arial" w:hAnsi="Arial" w:cs="Arial"/>
                <w:b/>
                <w:bCs/>
                <w:sz w:val="18"/>
                <w:szCs w:val="18"/>
              </w:rPr>
            </w:pPr>
          </w:p>
        </w:tc>
        <w:tc>
          <w:tcPr>
            <w:tcW w:w="4788" w:type="dxa"/>
          </w:tcPr>
          <w:p w14:paraId="1AF92AF0" w14:textId="77777777" w:rsidR="00040621" w:rsidRDefault="0004062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14:paraId="1AF92AF2" w14:textId="77777777" w:rsidR="00040621" w:rsidRDefault="00040621">
      <w:pPr>
        <w:jc w:val="both"/>
        <w:rPr>
          <w:sz w:val="24"/>
        </w:rPr>
      </w:pPr>
    </w:p>
    <w:p w14:paraId="1AF92AF3" w14:textId="77777777" w:rsidR="004C3C45" w:rsidRPr="00D23FE7" w:rsidRDefault="00CD60DE">
      <w:pPr>
        <w:jc w:val="both"/>
        <w:rPr>
          <w:b/>
          <w:i/>
          <w:sz w:val="24"/>
        </w:rPr>
      </w:pPr>
      <w:r w:rsidRPr="00D23FE7">
        <w:rPr>
          <w:b/>
          <w:i/>
          <w:sz w:val="24"/>
        </w:rPr>
        <w:t xml:space="preserve">VIA – </w:t>
      </w:r>
      <w:r w:rsidR="003F1C8C">
        <w:rPr>
          <w:b/>
          <w:i/>
          <w:sz w:val="24"/>
        </w:rPr>
        <w:t>Commission Web-Portal</w:t>
      </w:r>
    </w:p>
    <w:p w14:paraId="1AF92AF4" w14:textId="77777777" w:rsidR="00CD60DE" w:rsidRDefault="00CD60DE">
      <w:pPr>
        <w:jc w:val="both"/>
        <w:rPr>
          <w:sz w:val="24"/>
        </w:rPr>
      </w:pPr>
    </w:p>
    <w:p w14:paraId="1AF92AF5" w14:textId="77777777" w:rsidR="00CD60DE" w:rsidRDefault="00CD60DE">
      <w:pPr>
        <w:jc w:val="both"/>
        <w:rPr>
          <w:sz w:val="24"/>
        </w:rPr>
      </w:pPr>
    </w:p>
    <w:p w14:paraId="1AF92AF6" w14:textId="77777777" w:rsidR="00040621" w:rsidRDefault="00F021CF">
      <w:pPr>
        <w:jc w:val="both"/>
        <w:rPr>
          <w:sz w:val="24"/>
        </w:rPr>
      </w:pPr>
      <w:r>
        <w:rPr>
          <w:sz w:val="24"/>
        </w:rPr>
        <w:t>July 8, 2016</w:t>
      </w:r>
    </w:p>
    <w:p w14:paraId="1AF92AF7" w14:textId="77777777" w:rsidR="00040621" w:rsidRDefault="00040621">
      <w:pPr>
        <w:jc w:val="both"/>
        <w:rPr>
          <w:sz w:val="24"/>
        </w:rPr>
      </w:pPr>
    </w:p>
    <w:p w14:paraId="1AF92AF8" w14:textId="77777777" w:rsidR="005C2F04" w:rsidRDefault="005C2F04">
      <w:pPr>
        <w:pStyle w:val="BodyTextIndent"/>
        <w:widowControl w:val="0"/>
        <w:tabs>
          <w:tab w:val="clear" w:pos="1440"/>
        </w:tabs>
        <w:ind w:firstLine="0"/>
        <w:jc w:val="left"/>
        <w:outlineLvl w:val="0"/>
      </w:pPr>
    </w:p>
    <w:p w14:paraId="1AF92AF9" w14:textId="77777777" w:rsidR="008F221D" w:rsidRPr="00C4686F" w:rsidRDefault="008F221D" w:rsidP="008F221D">
      <w:pPr>
        <w:ind w:right="-270"/>
        <w:jc w:val="both"/>
        <w:rPr>
          <w:sz w:val="24"/>
          <w:szCs w:val="24"/>
        </w:rPr>
      </w:pPr>
      <w:r>
        <w:rPr>
          <w:sz w:val="24"/>
          <w:szCs w:val="24"/>
        </w:rPr>
        <w:t>Steven V. King</w:t>
      </w:r>
    </w:p>
    <w:p w14:paraId="1AF92AFA" w14:textId="77777777" w:rsidR="008F221D" w:rsidRPr="00C4686F" w:rsidRDefault="008F221D" w:rsidP="008F221D">
      <w:pPr>
        <w:ind w:right="-270"/>
        <w:jc w:val="both"/>
        <w:rPr>
          <w:sz w:val="24"/>
          <w:szCs w:val="24"/>
        </w:rPr>
      </w:pPr>
      <w:r w:rsidRPr="00C4686F">
        <w:rPr>
          <w:sz w:val="24"/>
          <w:szCs w:val="24"/>
        </w:rPr>
        <w:t>Executive Director and Secretary</w:t>
      </w:r>
    </w:p>
    <w:p w14:paraId="1AF92AFB" w14:textId="77777777" w:rsidR="008F221D" w:rsidRPr="00C4686F" w:rsidRDefault="008F221D" w:rsidP="008F221D">
      <w:pPr>
        <w:ind w:right="-270"/>
        <w:jc w:val="both"/>
        <w:rPr>
          <w:sz w:val="24"/>
          <w:szCs w:val="24"/>
        </w:rPr>
      </w:pPr>
      <w:r w:rsidRPr="00C4686F">
        <w:rPr>
          <w:sz w:val="24"/>
          <w:szCs w:val="24"/>
        </w:rPr>
        <w:t>Washington Utilities &amp; Transportation Commission</w:t>
      </w:r>
    </w:p>
    <w:p w14:paraId="1AF92AFC" w14:textId="77777777" w:rsidR="008F221D" w:rsidRPr="00C4686F" w:rsidRDefault="008F221D" w:rsidP="008F221D">
      <w:pPr>
        <w:ind w:right="-270"/>
        <w:jc w:val="both"/>
        <w:rPr>
          <w:sz w:val="24"/>
          <w:szCs w:val="24"/>
        </w:rPr>
      </w:pPr>
      <w:r w:rsidRPr="00C4686F">
        <w:rPr>
          <w:sz w:val="24"/>
          <w:szCs w:val="24"/>
        </w:rPr>
        <w:t>1300 S. Evergreen Park Drive S. W.</w:t>
      </w:r>
    </w:p>
    <w:p w14:paraId="1AF92AFD" w14:textId="77777777" w:rsidR="008F221D" w:rsidRPr="00C4686F" w:rsidRDefault="008F221D" w:rsidP="008F221D">
      <w:pPr>
        <w:ind w:right="-270"/>
        <w:jc w:val="both"/>
        <w:rPr>
          <w:sz w:val="24"/>
          <w:szCs w:val="24"/>
        </w:rPr>
      </w:pPr>
      <w:r w:rsidRPr="00C4686F">
        <w:rPr>
          <w:sz w:val="24"/>
          <w:szCs w:val="24"/>
        </w:rPr>
        <w:t>P.O. Box 47250</w:t>
      </w:r>
    </w:p>
    <w:p w14:paraId="1AF92AFE" w14:textId="77777777" w:rsidR="008F221D" w:rsidRPr="004E6D17" w:rsidRDefault="008F221D" w:rsidP="008F221D">
      <w:pPr>
        <w:ind w:right="-270"/>
        <w:jc w:val="both"/>
        <w:rPr>
          <w:sz w:val="24"/>
          <w:szCs w:val="24"/>
        </w:rPr>
      </w:pPr>
      <w:r w:rsidRPr="004E6D17">
        <w:rPr>
          <w:sz w:val="24"/>
          <w:szCs w:val="24"/>
        </w:rPr>
        <w:t>Olympia, Washington  98504-7250</w:t>
      </w:r>
    </w:p>
    <w:p w14:paraId="1AF92AFF" w14:textId="77777777" w:rsidR="00EE3F03" w:rsidRDefault="00EE3F03">
      <w:pPr>
        <w:jc w:val="both"/>
        <w:rPr>
          <w:sz w:val="24"/>
        </w:rPr>
      </w:pPr>
    </w:p>
    <w:p w14:paraId="1AF92B00" w14:textId="77777777" w:rsidR="00EE3F03" w:rsidRDefault="00EE3F03">
      <w:pPr>
        <w:jc w:val="both"/>
        <w:rPr>
          <w:sz w:val="24"/>
        </w:rPr>
      </w:pPr>
    </w:p>
    <w:p w14:paraId="1AF92B01" w14:textId="77777777" w:rsidR="00040621" w:rsidRDefault="00134550" w:rsidP="00AD3271">
      <w:pPr>
        <w:ind w:right="360"/>
        <w:jc w:val="both"/>
        <w:rPr>
          <w:sz w:val="24"/>
        </w:rPr>
      </w:pPr>
      <w:r>
        <w:rPr>
          <w:sz w:val="24"/>
        </w:rPr>
        <w:t>Dear Mr</w:t>
      </w:r>
      <w:r w:rsidR="00040621">
        <w:rPr>
          <w:sz w:val="24"/>
        </w:rPr>
        <w:t xml:space="preserve">. </w:t>
      </w:r>
      <w:r w:rsidR="008F221D">
        <w:rPr>
          <w:sz w:val="24"/>
        </w:rPr>
        <w:t>King</w:t>
      </w:r>
      <w:r w:rsidR="00040621">
        <w:rPr>
          <w:sz w:val="24"/>
        </w:rPr>
        <w:t>:</w:t>
      </w:r>
    </w:p>
    <w:p w14:paraId="1AF92B02" w14:textId="77777777" w:rsidR="00040621" w:rsidRDefault="00040621" w:rsidP="00AD3271">
      <w:pPr>
        <w:ind w:right="360"/>
        <w:jc w:val="both"/>
        <w:rPr>
          <w:sz w:val="24"/>
        </w:rPr>
      </w:pPr>
    </w:p>
    <w:p w14:paraId="1AF92B03" w14:textId="77777777" w:rsidR="00040621" w:rsidRDefault="00040621" w:rsidP="00AD3271">
      <w:pPr>
        <w:pStyle w:val="BodyText2"/>
        <w:spacing w:line="360" w:lineRule="auto"/>
        <w:ind w:right="360" w:firstLine="720"/>
      </w:pPr>
      <w:r>
        <w:t xml:space="preserve">Attached for filing with the Commission is an electronic copy of </w:t>
      </w:r>
      <w:r w:rsidR="00D23FE7" w:rsidRPr="009653A2">
        <w:rPr>
          <w:szCs w:val="24"/>
        </w:rPr>
        <w:t>Avista Corporation</w:t>
      </w:r>
      <w:r w:rsidR="00D23FE7">
        <w:rPr>
          <w:szCs w:val="24"/>
        </w:rPr>
        <w:t>’s</w:t>
      </w:r>
      <w:r w:rsidR="00D23FE7" w:rsidRPr="009653A2">
        <w:rPr>
          <w:szCs w:val="24"/>
        </w:rPr>
        <w:t xml:space="preserve"> dba Avista Utilities (“Avista</w:t>
      </w:r>
      <w:r w:rsidR="00BC490D">
        <w:rPr>
          <w:szCs w:val="24"/>
        </w:rPr>
        <w:t>”</w:t>
      </w:r>
      <w:r w:rsidR="00D23FE7" w:rsidRPr="009653A2">
        <w:rPr>
          <w:szCs w:val="24"/>
        </w:rPr>
        <w:t xml:space="preserve"> or </w:t>
      </w:r>
      <w:r w:rsidR="00BC490D">
        <w:rPr>
          <w:szCs w:val="24"/>
        </w:rPr>
        <w:t>“</w:t>
      </w:r>
      <w:r w:rsidR="00D23FE7" w:rsidRPr="009653A2">
        <w:rPr>
          <w:szCs w:val="24"/>
        </w:rPr>
        <w:t>the Company”)</w:t>
      </w:r>
      <w:r>
        <w:t xml:space="preserve"> </w:t>
      </w:r>
      <w:r w:rsidR="00EE6695">
        <w:t>filing</w:t>
      </w:r>
      <w:r w:rsidR="003A3A22">
        <w:t xml:space="preserve"> of its </w:t>
      </w:r>
      <w:r>
        <w:t xml:space="preserve">proposed revisions to the </w:t>
      </w:r>
      <w:r w:rsidR="007E00A2">
        <w:t>following tariff sheet</w:t>
      </w:r>
      <w:r w:rsidR="00F021CF">
        <w:t>s</w:t>
      </w:r>
      <w:r w:rsidR="0061578F">
        <w:t>,</w:t>
      </w:r>
      <w:r w:rsidR="00E51832">
        <w:t xml:space="preserve"> </w:t>
      </w:r>
      <w:r w:rsidR="008F221D">
        <w:t>WN U-28</w:t>
      </w:r>
      <w:r w:rsidR="00F021CF">
        <w:t xml:space="preserve"> and WN U-29</w:t>
      </w:r>
      <w:r>
        <w:t>:</w:t>
      </w:r>
    </w:p>
    <w:p w14:paraId="1AF92B04" w14:textId="77777777" w:rsidR="009D79A8" w:rsidRDefault="009D79A8" w:rsidP="00AD3271">
      <w:pPr>
        <w:tabs>
          <w:tab w:val="left" w:pos="5760"/>
        </w:tabs>
        <w:ind w:left="720" w:right="360"/>
        <w:rPr>
          <w:sz w:val="24"/>
        </w:rPr>
      </w:pPr>
    </w:p>
    <w:p w14:paraId="1AF92B05" w14:textId="77777777" w:rsidR="00F021CF" w:rsidRPr="00F021CF" w:rsidRDefault="0025392C" w:rsidP="000E23E9">
      <w:pPr>
        <w:ind w:right="360"/>
        <w:jc w:val="center"/>
        <w:rPr>
          <w:b/>
          <w:sz w:val="24"/>
          <w:szCs w:val="24"/>
        </w:rPr>
      </w:pPr>
      <w:r>
        <w:rPr>
          <w:b/>
          <w:sz w:val="24"/>
          <w:szCs w:val="24"/>
        </w:rPr>
        <w:t>First</w:t>
      </w:r>
      <w:r w:rsidRPr="00F021CF">
        <w:rPr>
          <w:b/>
          <w:sz w:val="24"/>
          <w:szCs w:val="24"/>
        </w:rPr>
        <w:t xml:space="preserve"> </w:t>
      </w:r>
      <w:r w:rsidR="00F021CF" w:rsidRPr="00F021CF">
        <w:rPr>
          <w:b/>
          <w:sz w:val="24"/>
          <w:szCs w:val="24"/>
        </w:rPr>
        <w:t xml:space="preserve">Revision Sheet 92A </w:t>
      </w:r>
      <w:r w:rsidR="000E23E9">
        <w:rPr>
          <w:b/>
          <w:sz w:val="24"/>
          <w:szCs w:val="24"/>
        </w:rPr>
        <w:tab/>
      </w:r>
      <w:r w:rsidR="00F021CF" w:rsidRPr="00F021CF">
        <w:rPr>
          <w:b/>
          <w:sz w:val="24"/>
          <w:szCs w:val="24"/>
        </w:rPr>
        <w:t xml:space="preserve">Canceling </w:t>
      </w:r>
      <w:r w:rsidR="000E23E9">
        <w:rPr>
          <w:b/>
          <w:sz w:val="24"/>
          <w:szCs w:val="24"/>
        </w:rPr>
        <w:tab/>
      </w:r>
      <w:r>
        <w:rPr>
          <w:b/>
          <w:sz w:val="24"/>
          <w:szCs w:val="24"/>
        </w:rPr>
        <w:t>Original</w:t>
      </w:r>
      <w:r w:rsidR="00F021CF" w:rsidRPr="00F021CF">
        <w:rPr>
          <w:b/>
          <w:sz w:val="24"/>
          <w:szCs w:val="24"/>
        </w:rPr>
        <w:t xml:space="preserve"> Sheet 92A</w:t>
      </w:r>
    </w:p>
    <w:p w14:paraId="1AF92B06" w14:textId="77777777" w:rsidR="00F021CF" w:rsidRPr="00F021CF" w:rsidRDefault="0025392C" w:rsidP="000E23E9">
      <w:pPr>
        <w:ind w:right="360"/>
        <w:jc w:val="center"/>
        <w:rPr>
          <w:b/>
          <w:sz w:val="24"/>
          <w:szCs w:val="24"/>
        </w:rPr>
      </w:pPr>
      <w:r>
        <w:rPr>
          <w:b/>
          <w:sz w:val="24"/>
          <w:szCs w:val="24"/>
        </w:rPr>
        <w:t>First</w:t>
      </w:r>
      <w:r w:rsidRPr="00F021CF">
        <w:rPr>
          <w:b/>
          <w:sz w:val="24"/>
          <w:szCs w:val="24"/>
        </w:rPr>
        <w:t xml:space="preserve"> </w:t>
      </w:r>
      <w:r w:rsidR="00F021CF" w:rsidRPr="00F021CF">
        <w:rPr>
          <w:b/>
          <w:sz w:val="24"/>
          <w:szCs w:val="24"/>
        </w:rPr>
        <w:t xml:space="preserve">Revision Sheet 192A </w:t>
      </w:r>
      <w:r w:rsidR="000E23E9">
        <w:rPr>
          <w:b/>
          <w:sz w:val="24"/>
          <w:szCs w:val="24"/>
        </w:rPr>
        <w:tab/>
      </w:r>
      <w:r w:rsidR="00F021CF" w:rsidRPr="00F021CF">
        <w:rPr>
          <w:b/>
          <w:sz w:val="24"/>
          <w:szCs w:val="24"/>
        </w:rPr>
        <w:t xml:space="preserve">Canceling </w:t>
      </w:r>
      <w:r w:rsidR="000E23E9">
        <w:rPr>
          <w:b/>
          <w:sz w:val="24"/>
          <w:szCs w:val="24"/>
        </w:rPr>
        <w:tab/>
      </w:r>
      <w:r>
        <w:rPr>
          <w:b/>
          <w:sz w:val="24"/>
          <w:szCs w:val="24"/>
        </w:rPr>
        <w:t>Original</w:t>
      </w:r>
      <w:r w:rsidR="00F021CF" w:rsidRPr="00F021CF">
        <w:rPr>
          <w:b/>
          <w:sz w:val="24"/>
          <w:szCs w:val="24"/>
        </w:rPr>
        <w:t xml:space="preserve"> Sheet 192A</w:t>
      </w:r>
    </w:p>
    <w:p w14:paraId="1AF92B07" w14:textId="77777777" w:rsidR="00F021CF" w:rsidRDefault="00F021CF" w:rsidP="00AD3271">
      <w:pPr>
        <w:ind w:right="360"/>
        <w:jc w:val="both"/>
      </w:pPr>
    </w:p>
    <w:p w14:paraId="1AF92B08" w14:textId="77777777" w:rsidR="00D9441F" w:rsidRDefault="002B6B64" w:rsidP="00AD3271">
      <w:pPr>
        <w:pStyle w:val="Header"/>
        <w:tabs>
          <w:tab w:val="clear" w:pos="4320"/>
          <w:tab w:val="clear" w:pos="8640"/>
        </w:tabs>
        <w:spacing w:line="360" w:lineRule="auto"/>
        <w:ind w:right="360" w:firstLine="720"/>
        <w:jc w:val="both"/>
        <w:rPr>
          <w:rStyle w:val="LineNumber"/>
        </w:rPr>
      </w:pPr>
      <w:r>
        <w:rPr>
          <w:rStyle w:val="LineNumber"/>
        </w:rPr>
        <w:t>The Company</w:t>
      </w:r>
      <w:r w:rsidR="00D9441F" w:rsidRPr="00FB59FF">
        <w:rPr>
          <w:rStyle w:val="LineNumber"/>
        </w:rPr>
        <w:t xml:space="preserve"> respectfully proposes revisions to</w:t>
      </w:r>
      <w:r w:rsidR="00D9441F" w:rsidRPr="00FB59FF">
        <w:t xml:space="preserve"> </w:t>
      </w:r>
      <w:r w:rsidR="00D9441F" w:rsidRPr="00B42D03">
        <w:rPr>
          <w:sz w:val="24"/>
          <w:szCs w:val="24"/>
        </w:rPr>
        <w:t>Schedule</w:t>
      </w:r>
      <w:r>
        <w:rPr>
          <w:sz w:val="24"/>
          <w:szCs w:val="24"/>
        </w:rPr>
        <w:t>s</w:t>
      </w:r>
      <w:r w:rsidR="00D9441F" w:rsidRPr="00B42D03">
        <w:rPr>
          <w:sz w:val="24"/>
          <w:szCs w:val="24"/>
        </w:rPr>
        <w:t xml:space="preserve"> </w:t>
      </w:r>
      <w:r w:rsidR="00C93696" w:rsidRPr="00C93696">
        <w:rPr>
          <w:sz w:val="24"/>
          <w:szCs w:val="24"/>
        </w:rPr>
        <w:t>92 and 192</w:t>
      </w:r>
      <w:r w:rsidR="00D9441F" w:rsidRPr="00B42D03">
        <w:rPr>
          <w:sz w:val="24"/>
          <w:szCs w:val="24"/>
        </w:rPr>
        <w:t xml:space="preserve"> “</w:t>
      </w:r>
      <w:r w:rsidR="00C93696">
        <w:rPr>
          <w:sz w:val="24"/>
          <w:szCs w:val="24"/>
        </w:rPr>
        <w:t>Low Income Rate Assistance Rate Adjustment</w:t>
      </w:r>
      <w:r w:rsidR="00D9441F" w:rsidRPr="00B42D03">
        <w:rPr>
          <w:sz w:val="24"/>
          <w:szCs w:val="24"/>
        </w:rPr>
        <w:t>”</w:t>
      </w:r>
      <w:r w:rsidR="00C93696">
        <w:rPr>
          <w:sz w:val="24"/>
          <w:szCs w:val="24"/>
        </w:rPr>
        <w:t xml:space="preserve"> (LIRAP).</w:t>
      </w:r>
      <w:r w:rsidR="00D9441F" w:rsidRPr="00B42D03">
        <w:rPr>
          <w:sz w:val="24"/>
          <w:szCs w:val="24"/>
        </w:rPr>
        <w:t xml:space="preserve"> </w:t>
      </w:r>
      <w:r w:rsidR="00D9441F" w:rsidRPr="00B8277E">
        <w:rPr>
          <w:rStyle w:val="LineNumber"/>
        </w:rPr>
        <w:t xml:space="preserve">The purpose of this filing is to </w:t>
      </w:r>
      <w:r w:rsidR="00C93696">
        <w:rPr>
          <w:rStyle w:val="LineNumber"/>
        </w:rPr>
        <w:t xml:space="preserve">increase the amount of Emergency Share funding from $300 to $350 </w:t>
      </w:r>
      <w:r w:rsidR="00896629">
        <w:rPr>
          <w:rStyle w:val="LineNumber"/>
        </w:rPr>
        <w:t xml:space="preserve">per individual grant </w:t>
      </w:r>
      <w:r w:rsidR="00C93696">
        <w:rPr>
          <w:rStyle w:val="LineNumber"/>
        </w:rPr>
        <w:t xml:space="preserve">and to request that a temporary </w:t>
      </w:r>
      <w:r w:rsidR="00366E1B">
        <w:rPr>
          <w:rStyle w:val="LineNumber"/>
        </w:rPr>
        <w:t xml:space="preserve">bill assistance </w:t>
      </w:r>
      <w:r w:rsidR="00C93696">
        <w:rPr>
          <w:rStyle w:val="LineNumber"/>
        </w:rPr>
        <w:t>exemption be made available for qualifying customers who have an income at or below 200% Federal Poverty Level (FPL</w:t>
      </w:r>
      <w:r w:rsidR="00366E1B">
        <w:rPr>
          <w:rStyle w:val="LineNumber"/>
        </w:rPr>
        <w:t>)</w:t>
      </w:r>
      <w:r w:rsidR="00D9441F">
        <w:rPr>
          <w:rStyle w:val="LineNumber"/>
        </w:rPr>
        <w:t>.</w:t>
      </w:r>
    </w:p>
    <w:p w14:paraId="1AF92B09" w14:textId="77777777" w:rsidR="00D9441F" w:rsidRPr="00B42D03" w:rsidRDefault="00D9441F" w:rsidP="00AD3271">
      <w:pPr>
        <w:pStyle w:val="Header"/>
        <w:tabs>
          <w:tab w:val="clear" w:pos="4320"/>
          <w:tab w:val="clear" w:pos="8640"/>
        </w:tabs>
        <w:spacing w:line="360" w:lineRule="auto"/>
        <w:ind w:right="360" w:firstLine="720"/>
        <w:jc w:val="both"/>
        <w:rPr>
          <w:color w:val="000000" w:themeColor="text1"/>
          <w:sz w:val="24"/>
          <w:szCs w:val="24"/>
        </w:rPr>
      </w:pPr>
      <w:r w:rsidRPr="00D9441F">
        <w:rPr>
          <w:sz w:val="24"/>
          <w:szCs w:val="24"/>
        </w:rPr>
        <w:t xml:space="preserve">By way of background, </w:t>
      </w:r>
      <w:r w:rsidR="00045546">
        <w:rPr>
          <w:color w:val="000000" w:themeColor="text1"/>
          <w:sz w:val="24"/>
          <w:szCs w:val="24"/>
        </w:rPr>
        <w:t>LIRAP</w:t>
      </w:r>
      <w:r w:rsidRPr="00B42D03">
        <w:rPr>
          <w:color w:val="000000" w:themeColor="text1"/>
          <w:sz w:val="24"/>
          <w:szCs w:val="24"/>
        </w:rPr>
        <w:t xml:space="preserve"> collects funding through electric and natural gas tariff surcharges </w:t>
      </w:r>
      <w:r w:rsidR="00045546">
        <w:rPr>
          <w:color w:val="000000" w:themeColor="text1"/>
          <w:sz w:val="24"/>
          <w:szCs w:val="24"/>
        </w:rPr>
        <w:t>through</w:t>
      </w:r>
      <w:r w:rsidRPr="00B42D03">
        <w:rPr>
          <w:color w:val="000000" w:themeColor="text1"/>
          <w:sz w:val="24"/>
          <w:szCs w:val="24"/>
        </w:rPr>
        <w:t xml:space="preserve"> Schedules 92 and 192.  These funds are distributed by Community Action </w:t>
      </w:r>
      <w:r w:rsidRPr="00B42D03">
        <w:rPr>
          <w:color w:val="000000" w:themeColor="text1"/>
          <w:sz w:val="24"/>
          <w:szCs w:val="24"/>
        </w:rPr>
        <w:lastRenderedPageBreak/>
        <w:t>Agencies (CAA’s) in a manner similar to the Federal and State-sponsored Low Income Home Energy Assistance Program (LIHEAP)</w:t>
      </w:r>
      <w:r w:rsidRPr="00B42D03">
        <w:rPr>
          <w:rStyle w:val="FootnoteReference"/>
          <w:color w:val="000000" w:themeColor="text1"/>
          <w:sz w:val="24"/>
          <w:szCs w:val="24"/>
        </w:rPr>
        <w:footnoteReference w:id="1"/>
      </w:r>
      <w:r w:rsidRPr="00B42D03">
        <w:rPr>
          <w:color w:val="000000" w:themeColor="text1"/>
          <w:sz w:val="24"/>
          <w:szCs w:val="24"/>
        </w:rPr>
        <w:t xml:space="preserve">. </w:t>
      </w:r>
      <w:r w:rsidRPr="00B42D03">
        <w:rPr>
          <w:color w:val="2D261A"/>
          <w:sz w:val="24"/>
          <w:szCs w:val="24"/>
        </w:rPr>
        <w:t>LIRAP, like LIHEAP assistance</w:t>
      </w:r>
      <w:r w:rsidR="00045546">
        <w:rPr>
          <w:color w:val="2D261A"/>
          <w:sz w:val="24"/>
          <w:szCs w:val="24"/>
        </w:rPr>
        <w:t>,</w:t>
      </w:r>
      <w:r w:rsidRPr="00B42D03">
        <w:rPr>
          <w:color w:val="2D261A"/>
          <w:sz w:val="24"/>
          <w:szCs w:val="24"/>
        </w:rPr>
        <w:t xml:space="preserve"> can help a household avoid having its utilities shut off or help reestablish service after a disruption and can also help pay ongoing heating costs. </w:t>
      </w:r>
      <w:r w:rsidRPr="00B42D03">
        <w:rPr>
          <w:color w:val="000000" w:themeColor="text1"/>
          <w:sz w:val="24"/>
          <w:szCs w:val="24"/>
        </w:rPr>
        <w:t xml:space="preserve">The current LIRAP program is comprised of four components: </w:t>
      </w:r>
    </w:p>
    <w:p w14:paraId="1AF92B0A" w14:textId="77777777" w:rsidR="00D9441F" w:rsidRPr="00AD3271" w:rsidRDefault="00D9441F" w:rsidP="00AD3271">
      <w:pPr>
        <w:pStyle w:val="ListParagraph"/>
        <w:numPr>
          <w:ilvl w:val="0"/>
          <w:numId w:val="11"/>
        </w:numPr>
        <w:ind w:right="360"/>
        <w:jc w:val="both"/>
      </w:pPr>
      <w:r w:rsidRPr="00D9441F">
        <w:t xml:space="preserve">LIRAP Heat: </w:t>
      </w:r>
      <w:r w:rsidRPr="00D9441F">
        <w:rPr>
          <w:color w:val="000000" w:themeColor="text1"/>
        </w:rPr>
        <w:t>mimics the LIHEAP program in terms of income eligibility, intake</w:t>
      </w:r>
      <w:r w:rsidRPr="00D9441F">
        <w:rPr>
          <w:rStyle w:val="FootnoteReference"/>
          <w:color w:val="000000" w:themeColor="text1"/>
        </w:rPr>
        <w:footnoteReference w:id="2"/>
      </w:r>
      <w:r w:rsidRPr="00D9441F">
        <w:rPr>
          <w:color w:val="000000" w:themeColor="text1"/>
        </w:rPr>
        <w:t xml:space="preserve"> requirements, and benefit calculation.</w:t>
      </w:r>
    </w:p>
    <w:p w14:paraId="1AF92B0B" w14:textId="77777777" w:rsidR="00AD3271" w:rsidRPr="00D9441F" w:rsidRDefault="00AD3271" w:rsidP="00AD3271">
      <w:pPr>
        <w:pStyle w:val="ListParagraph"/>
        <w:ind w:right="360"/>
        <w:jc w:val="both"/>
      </w:pPr>
    </w:p>
    <w:p w14:paraId="1AF92B0C" w14:textId="77777777" w:rsidR="00D9441F" w:rsidRPr="00AD3271" w:rsidRDefault="00D9441F" w:rsidP="00AD3271">
      <w:pPr>
        <w:pStyle w:val="ListParagraph"/>
        <w:numPr>
          <w:ilvl w:val="0"/>
          <w:numId w:val="11"/>
        </w:numPr>
        <w:ind w:right="360"/>
        <w:jc w:val="both"/>
      </w:pPr>
      <w:r w:rsidRPr="00D9441F">
        <w:t>LIRAP Share Emergency</w:t>
      </w:r>
      <w:r w:rsidRPr="00D9441F">
        <w:rPr>
          <w:rStyle w:val="FootnoteReference"/>
        </w:rPr>
        <w:footnoteReference w:id="3"/>
      </w:r>
      <w:r w:rsidRPr="00D9441F">
        <w:t xml:space="preserve">: </w:t>
      </w:r>
      <w:r w:rsidRPr="00D9441F">
        <w:rPr>
          <w:color w:val="000000" w:themeColor="text1"/>
        </w:rPr>
        <w:t>LIRAP Share Emergency emulates the Project Share program</w:t>
      </w:r>
      <w:r w:rsidR="00045546">
        <w:rPr>
          <w:color w:val="000000" w:themeColor="text1"/>
        </w:rPr>
        <w:t>.  Project Share is</w:t>
      </w:r>
      <w:r w:rsidRPr="00D9441F">
        <w:rPr>
          <w:color w:val="000000" w:themeColor="text1"/>
        </w:rPr>
        <w:t xml:space="preserve"> funded through voluntary contributions that are used to help customers in emergency situations.  </w:t>
      </w:r>
    </w:p>
    <w:p w14:paraId="1AF92B0D" w14:textId="77777777" w:rsidR="00AD3271" w:rsidRPr="00366E1B" w:rsidRDefault="00AD3271" w:rsidP="00AD3271">
      <w:pPr>
        <w:ind w:right="360"/>
        <w:jc w:val="both"/>
      </w:pPr>
    </w:p>
    <w:p w14:paraId="1AF92B0E" w14:textId="77777777" w:rsidR="00B42D03" w:rsidRPr="00AD3271" w:rsidRDefault="00D9441F" w:rsidP="00AD3271">
      <w:pPr>
        <w:pStyle w:val="ListParagraph"/>
        <w:numPr>
          <w:ilvl w:val="0"/>
          <w:numId w:val="11"/>
        </w:numPr>
        <w:ind w:right="360"/>
        <w:jc w:val="both"/>
      </w:pPr>
      <w:r w:rsidRPr="00366E1B">
        <w:t xml:space="preserve">LIRAP Senior Energy Outreach: </w:t>
      </w:r>
      <w:r w:rsidRPr="00366E1B">
        <w:rPr>
          <w:color w:val="000000" w:themeColor="text1"/>
        </w:rPr>
        <w:t>targets a third distinct customer group by providing a one-time per program year benefit of $100 or $300 to seniors with incomes up to 200 percent of the federal poverty level (“FPL”).</w:t>
      </w:r>
    </w:p>
    <w:p w14:paraId="1AF92B0F" w14:textId="77777777" w:rsidR="00AD3271" w:rsidRPr="00B42D03" w:rsidRDefault="00AD3271" w:rsidP="00AD3271">
      <w:pPr>
        <w:ind w:right="360"/>
        <w:jc w:val="both"/>
      </w:pPr>
    </w:p>
    <w:p w14:paraId="1AF92B10" w14:textId="77777777" w:rsidR="00D9441F" w:rsidRPr="00B42D03" w:rsidRDefault="00D9441F" w:rsidP="00AD3271">
      <w:pPr>
        <w:pStyle w:val="ListParagraph"/>
        <w:numPr>
          <w:ilvl w:val="0"/>
          <w:numId w:val="11"/>
        </w:numPr>
        <w:ind w:right="360"/>
        <w:jc w:val="both"/>
      </w:pPr>
      <w:r w:rsidRPr="00B42D03">
        <w:t>Senior/Disabled Rate Discount Pilot: A rate discount program for senior and disabled households with fixed incomes between 126-200 percent FPL</w:t>
      </w:r>
      <w:r w:rsidRPr="00B42D03">
        <w:rPr>
          <w:rStyle w:val="FootnoteReference"/>
        </w:rPr>
        <w:footnoteReference w:id="4"/>
      </w:r>
      <w:r w:rsidRPr="00B42D03">
        <w:t>.</w:t>
      </w:r>
    </w:p>
    <w:p w14:paraId="1AF92B11" w14:textId="77777777" w:rsidR="00D9441F" w:rsidRPr="00D9441F" w:rsidRDefault="00D9441F" w:rsidP="00AD3271">
      <w:pPr>
        <w:spacing w:line="360" w:lineRule="auto"/>
        <w:ind w:right="360" w:firstLine="720"/>
        <w:jc w:val="both"/>
        <w:rPr>
          <w:sz w:val="24"/>
          <w:szCs w:val="24"/>
        </w:rPr>
      </w:pPr>
    </w:p>
    <w:p w14:paraId="1AF92B12" w14:textId="77777777" w:rsidR="00366E1B" w:rsidRPr="000E23E9" w:rsidRDefault="00366E1B" w:rsidP="000E23E9">
      <w:pPr>
        <w:spacing w:line="360" w:lineRule="auto"/>
        <w:ind w:right="360" w:firstLine="720"/>
        <w:jc w:val="both"/>
        <w:rPr>
          <w:color w:val="000000"/>
          <w:sz w:val="24"/>
          <w:szCs w:val="24"/>
        </w:rPr>
      </w:pPr>
      <w:r w:rsidRPr="00B42D03">
        <w:rPr>
          <w:color w:val="000000"/>
          <w:sz w:val="24"/>
          <w:szCs w:val="24"/>
        </w:rPr>
        <w:t xml:space="preserve">During the Spring 2016 LIRAP meeting with the CAAs, the group discussed that LIRAP </w:t>
      </w:r>
      <w:r>
        <w:rPr>
          <w:color w:val="000000"/>
          <w:sz w:val="24"/>
          <w:szCs w:val="24"/>
        </w:rPr>
        <w:t xml:space="preserve">funding </w:t>
      </w:r>
      <w:r w:rsidRPr="00B42D03">
        <w:rPr>
          <w:color w:val="000000"/>
          <w:sz w:val="24"/>
          <w:szCs w:val="24"/>
        </w:rPr>
        <w:t>allocations have increased over the past five years while number of customers served has remained constant at approximately 12,500</w:t>
      </w:r>
      <w:r>
        <w:rPr>
          <w:color w:val="000000"/>
          <w:sz w:val="24"/>
          <w:szCs w:val="24"/>
        </w:rPr>
        <w:t>,</w:t>
      </w:r>
      <w:r w:rsidRPr="00366E1B">
        <w:rPr>
          <w:color w:val="000000"/>
          <w:sz w:val="24"/>
          <w:szCs w:val="24"/>
        </w:rPr>
        <w:t xml:space="preserve"> </w:t>
      </w:r>
      <w:r w:rsidR="00045546">
        <w:rPr>
          <w:color w:val="000000"/>
          <w:sz w:val="24"/>
          <w:szCs w:val="24"/>
        </w:rPr>
        <w:t>and</w:t>
      </w:r>
      <w:r w:rsidRPr="00366E1B">
        <w:rPr>
          <w:color w:val="000000"/>
          <w:sz w:val="24"/>
          <w:szCs w:val="24"/>
        </w:rPr>
        <w:t xml:space="preserve"> as the average grant amount</w:t>
      </w:r>
      <w:r w:rsidR="00AD3271">
        <w:rPr>
          <w:color w:val="000000"/>
          <w:sz w:val="24"/>
          <w:szCs w:val="24"/>
        </w:rPr>
        <w:t xml:space="preserve"> continues to remain</w:t>
      </w:r>
      <w:r w:rsidRPr="00B42D03">
        <w:rPr>
          <w:color w:val="000000"/>
          <w:sz w:val="24"/>
          <w:szCs w:val="24"/>
        </w:rPr>
        <w:t xml:space="preserve"> the same. Additionally, </w:t>
      </w:r>
      <w:r w:rsidR="00045546">
        <w:rPr>
          <w:color w:val="000000"/>
          <w:sz w:val="24"/>
          <w:szCs w:val="24"/>
        </w:rPr>
        <w:t>per Docket No. UE-150204 and UG-15</w:t>
      </w:r>
      <w:r>
        <w:rPr>
          <w:color w:val="000000"/>
          <w:sz w:val="24"/>
          <w:szCs w:val="24"/>
        </w:rPr>
        <w:t xml:space="preserve">0205, </w:t>
      </w:r>
      <w:r w:rsidRPr="00B42D03">
        <w:rPr>
          <w:color w:val="000000"/>
          <w:sz w:val="24"/>
          <w:szCs w:val="24"/>
        </w:rPr>
        <w:t xml:space="preserve">LIRAP </w:t>
      </w:r>
      <w:r>
        <w:rPr>
          <w:color w:val="000000"/>
          <w:sz w:val="24"/>
          <w:szCs w:val="24"/>
        </w:rPr>
        <w:t xml:space="preserve">funding </w:t>
      </w:r>
      <w:r w:rsidRPr="00B42D03">
        <w:rPr>
          <w:color w:val="000000"/>
          <w:sz w:val="24"/>
          <w:szCs w:val="24"/>
        </w:rPr>
        <w:t xml:space="preserve">will increase 7% annually, over the next five years.   </w:t>
      </w:r>
    </w:p>
    <w:p w14:paraId="1AF92B13" w14:textId="77777777" w:rsidR="000D049A" w:rsidRDefault="00AD3271" w:rsidP="000D049A">
      <w:pPr>
        <w:spacing w:line="360" w:lineRule="auto"/>
        <w:ind w:right="360" w:firstLine="720"/>
        <w:jc w:val="both"/>
        <w:rPr>
          <w:sz w:val="24"/>
          <w:szCs w:val="24"/>
        </w:rPr>
      </w:pPr>
      <w:r w:rsidRPr="00896629">
        <w:rPr>
          <w:color w:val="000000"/>
          <w:sz w:val="24"/>
          <w:szCs w:val="24"/>
        </w:rPr>
        <w:t>Applying</w:t>
      </w:r>
      <w:r w:rsidR="00366E1B" w:rsidRPr="00896629">
        <w:rPr>
          <w:color w:val="000000"/>
          <w:sz w:val="24"/>
          <w:szCs w:val="24"/>
        </w:rPr>
        <w:t xml:space="preserve"> the LIRAP goals of serving more customers, keeping individuals connected to services</w:t>
      </w:r>
      <w:r w:rsidRPr="00896629">
        <w:rPr>
          <w:color w:val="000000"/>
          <w:sz w:val="24"/>
          <w:szCs w:val="24"/>
        </w:rPr>
        <w:t>,</w:t>
      </w:r>
      <w:r w:rsidR="00366E1B" w:rsidRPr="00896629">
        <w:rPr>
          <w:color w:val="000000"/>
          <w:sz w:val="24"/>
          <w:szCs w:val="24"/>
        </w:rPr>
        <w:t xml:space="preserve"> and reducing energy burden as a guide, the group considered </w:t>
      </w:r>
      <w:r w:rsidR="00EA00A6" w:rsidRPr="00896629">
        <w:rPr>
          <w:color w:val="000000"/>
          <w:sz w:val="24"/>
          <w:szCs w:val="24"/>
        </w:rPr>
        <w:t xml:space="preserve">the </w:t>
      </w:r>
      <w:r w:rsidR="00366E1B" w:rsidRPr="00896629">
        <w:rPr>
          <w:color w:val="000000"/>
          <w:sz w:val="24"/>
          <w:szCs w:val="24"/>
        </w:rPr>
        <w:t>following factors: (1) agency capacity; (2) customer awareness of the program; (3) eligibility standards, and; (4) benefit amounts.</w:t>
      </w:r>
      <w:r w:rsidR="00366E1B" w:rsidRPr="00896629">
        <w:rPr>
          <w:sz w:val="24"/>
          <w:szCs w:val="24"/>
        </w:rPr>
        <w:t xml:space="preserve"> </w:t>
      </w:r>
    </w:p>
    <w:p w14:paraId="1AF92B14" w14:textId="77777777" w:rsidR="00EA00A6" w:rsidRDefault="00EA00A6" w:rsidP="000D049A">
      <w:pPr>
        <w:spacing w:line="360" w:lineRule="auto"/>
        <w:ind w:right="360" w:firstLine="720"/>
        <w:jc w:val="both"/>
        <w:rPr>
          <w:sz w:val="24"/>
          <w:szCs w:val="24"/>
        </w:rPr>
      </w:pPr>
      <w:r>
        <w:rPr>
          <w:sz w:val="24"/>
          <w:szCs w:val="24"/>
        </w:rPr>
        <w:lastRenderedPageBreak/>
        <w:t xml:space="preserve">Through these discussions, the </w:t>
      </w:r>
      <w:r w:rsidR="002F79DD">
        <w:rPr>
          <w:sz w:val="24"/>
          <w:szCs w:val="24"/>
        </w:rPr>
        <w:t xml:space="preserve">Avista Energy Assistance </w:t>
      </w:r>
      <w:r w:rsidR="000E23E9">
        <w:rPr>
          <w:sz w:val="24"/>
          <w:szCs w:val="24"/>
        </w:rPr>
        <w:t>Advisory Group supported t</w:t>
      </w:r>
      <w:r>
        <w:rPr>
          <w:sz w:val="24"/>
          <w:szCs w:val="24"/>
        </w:rPr>
        <w:t>he following solutions to improve program reach and impact:</w:t>
      </w:r>
      <w:r w:rsidR="00AD3271" w:rsidRPr="00AD3271">
        <w:rPr>
          <w:rStyle w:val="FootnoteReference"/>
          <w:sz w:val="24"/>
          <w:szCs w:val="24"/>
        </w:rPr>
        <w:t xml:space="preserve"> </w:t>
      </w:r>
      <w:r w:rsidR="00AD3271">
        <w:rPr>
          <w:rStyle w:val="FootnoteReference"/>
          <w:sz w:val="24"/>
          <w:szCs w:val="24"/>
        </w:rPr>
        <w:footnoteReference w:id="5"/>
      </w:r>
    </w:p>
    <w:p w14:paraId="1AF92B15" w14:textId="77777777" w:rsidR="00AD3271" w:rsidRDefault="00AD3271" w:rsidP="000E23E9">
      <w:pPr>
        <w:spacing w:line="360" w:lineRule="auto"/>
        <w:ind w:right="360"/>
        <w:jc w:val="both"/>
        <w:rPr>
          <w:sz w:val="24"/>
          <w:szCs w:val="24"/>
        </w:rPr>
      </w:pPr>
    </w:p>
    <w:p w14:paraId="1AF92B16" w14:textId="77777777" w:rsidR="00EA00A6" w:rsidRPr="00B42D03" w:rsidRDefault="00EA00A6" w:rsidP="002F79DD">
      <w:pPr>
        <w:numPr>
          <w:ilvl w:val="0"/>
          <w:numId w:val="12"/>
        </w:numPr>
        <w:spacing w:line="360" w:lineRule="auto"/>
        <w:ind w:right="360"/>
        <w:jc w:val="both"/>
        <w:rPr>
          <w:color w:val="000000"/>
          <w:sz w:val="24"/>
          <w:szCs w:val="24"/>
        </w:rPr>
      </w:pPr>
      <w:r w:rsidRPr="00B42D03">
        <w:rPr>
          <w:color w:val="000000"/>
          <w:sz w:val="24"/>
          <w:szCs w:val="24"/>
        </w:rPr>
        <w:t xml:space="preserve">Increase LIRAP Emergency Share $300 up to $350. </w:t>
      </w:r>
    </w:p>
    <w:p w14:paraId="1AF92B17" w14:textId="77777777" w:rsidR="00EA00A6" w:rsidRPr="00B42D03" w:rsidRDefault="00D705B9" w:rsidP="002F79DD">
      <w:pPr>
        <w:numPr>
          <w:ilvl w:val="1"/>
          <w:numId w:val="12"/>
        </w:numPr>
        <w:spacing w:line="360" w:lineRule="auto"/>
        <w:ind w:right="360"/>
        <w:jc w:val="both"/>
        <w:rPr>
          <w:color w:val="000000"/>
          <w:sz w:val="24"/>
          <w:szCs w:val="24"/>
        </w:rPr>
      </w:pPr>
      <w:r w:rsidRPr="00D705B9">
        <w:rPr>
          <w:color w:val="000000"/>
          <w:sz w:val="24"/>
          <w:szCs w:val="24"/>
        </w:rPr>
        <w:t>This change may</w:t>
      </w:r>
      <w:r w:rsidR="00EA00A6" w:rsidRPr="00B42D03">
        <w:rPr>
          <w:color w:val="000000"/>
          <w:sz w:val="24"/>
          <w:szCs w:val="24"/>
        </w:rPr>
        <w:t xml:space="preserve"> help to alleviate the energy burden and keep services connected for qualifying customers with past due or final notices.  </w:t>
      </w:r>
    </w:p>
    <w:p w14:paraId="1AF92B18" w14:textId="77777777" w:rsidR="00EA00A6" w:rsidRDefault="000E23E9" w:rsidP="002F79DD">
      <w:pPr>
        <w:numPr>
          <w:ilvl w:val="1"/>
          <w:numId w:val="12"/>
        </w:numPr>
        <w:spacing w:line="360" w:lineRule="auto"/>
        <w:ind w:right="360"/>
        <w:jc w:val="both"/>
        <w:rPr>
          <w:color w:val="000000"/>
          <w:sz w:val="24"/>
          <w:szCs w:val="24"/>
        </w:rPr>
      </w:pPr>
      <w:r>
        <w:rPr>
          <w:color w:val="000000"/>
          <w:sz w:val="24"/>
          <w:szCs w:val="24"/>
        </w:rPr>
        <w:t>Effective August 8, 2016.</w:t>
      </w:r>
    </w:p>
    <w:p w14:paraId="1AF92B19" w14:textId="77777777" w:rsidR="002F79DD" w:rsidRPr="002F79DD" w:rsidRDefault="002F79DD" w:rsidP="00E5413D">
      <w:pPr>
        <w:spacing w:line="360" w:lineRule="auto"/>
        <w:ind w:right="360"/>
        <w:jc w:val="both"/>
        <w:rPr>
          <w:color w:val="000000"/>
          <w:sz w:val="24"/>
          <w:szCs w:val="24"/>
        </w:rPr>
      </w:pPr>
    </w:p>
    <w:p w14:paraId="1AF92B1A" w14:textId="77777777" w:rsidR="00EA00A6" w:rsidRPr="00B42D03" w:rsidRDefault="00EA00A6" w:rsidP="002F79DD">
      <w:pPr>
        <w:numPr>
          <w:ilvl w:val="0"/>
          <w:numId w:val="12"/>
        </w:numPr>
        <w:spacing w:line="360" w:lineRule="auto"/>
        <w:ind w:right="360"/>
        <w:jc w:val="both"/>
        <w:rPr>
          <w:color w:val="000000"/>
          <w:sz w:val="24"/>
          <w:szCs w:val="24"/>
        </w:rPr>
      </w:pPr>
      <w:r w:rsidRPr="00B42D03">
        <w:rPr>
          <w:color w:val="000000"/>
          <w:sz w:val="24"/>
          <w:szCs w:val="24"/>
        </w:rPr>
        <w:t xml:space="preserve">Implement a temporary, exception program for LIRAP Emergency for customers with extraordinarily high bills. </w:t>
      </w:r>
    </w:p>
    <w:p w14:paraId="1AF92B1B" w14:textId="77777777" w:rsidR="00EA00A6" w:rsidRPr="00B42D03" w:rsidRDefault="00D705B9" w:rsidP="002F79DD">
      <w:pPr>
        <w:numPr>
          <w:ilvl w:val="1"/>
          <w:numId w:val="12"/>
        </w:numPr>
        <w:spacing w:line="360" w:lineRule="auto"/>
        <w:ind w:right="360"/>
        <w:jc w:val="both"/>
        <w:rPr>
          <w:color w:val="000000"/>
          <w:sz w:val="24"/>
          <w:szCs w:val="24"/>
        </w:rPr>
      </w:pPr>
      <w:r w:rsidRPr="00D705B9">
        <w:rPr>
          <w:color w:val="000000"/>
          <w:sz w:val="24"/>
          <w:szCs w:val="24"/>
        </w:rPr>
        <w:t>This change may</w:t>
      </w:r>
      <w:r w:rsidR="00EA00A6" w:rsidRPr="00B42D03">
        <w:rPr>
          <w:color w:val="000000"/>
          <w:sz w:val="24"/>
          <w:szCs w:val="24"/>
        </w:rPr>
        <w:t xml:space="preserve"> provide a solution for the CAA</w:t>
      </w:r>
      <w:r>
        <w:rPr>
          <w:color w:val="000000"/>
          <w:sz w:val="24"/>
          <w:szCs w:val="24"/>
        </w:rPr>
        <w:t>s</w:t>
      </w:r>
      <w:r w:rsidR="00EA00A6" w:rsidRPr="00B42D03">
        <w:rPr>
          <w:color w:val="000000"/>
          <w:sz w:val="24"/>
          <w:szCs w:val="24"/>
        </w:rPr>
        <w:t xml:space="preserve"> </w:t>
      </w:r>
      <w:r w:rsidRPr="00D705B9">
        <w:rPr>
          <w:color w:val="000000"/>
          <w:sz w:val="24"/>
          <w:szCs w:val="24"/>
        </w:rPr>
        <w:t>when encountering customers where the</w:t>
      </w:r>
      <w:r w:rsidR="00EA00A6" w:rsidRPr="00B42D03">
        <w:rPr>
          <w:color w:val="000000"/>
          <w:sz w:val="24"/>
          <w:szCs w:val="24"/>
        </w:rPr>
        <w:t xml:space="preserve"> current benefit design </w:t>
      </w:r>
      <w:r>
        <w:rPr>
          <w:color w:val="000000"/>
          <w:sz w:val="24"/>
          <w:szCs w:val="24"/>
        </w:rPr>
        <w:t>may</w:t>
      </w:r>
      <w:r w:rsidR="00EA00A6" w:rsidRPr="00B42D03">
        <w:rPr>
          <w:color w:val="000000"/>
          <w:sz w:val="24"/>
          <w:szCs w:val="24"/>
        </w:rPr>
        <w:t xml:space="preserve"> not </w:t>
      </w:r>
      <w:r>
        <w:rPr>
          <w:color w:val="000000"/>
          <w:sz w:val="24"/>
          <w:szCs w:val="24"/>
        </w:rPr>
        <w:t xml:space="preserve">be </w:t>
      </w:r>
      <w:r w:rsidR="00EA00A6" w:rsidRPr="00B42D03">
        <w:rPr>
          <w:color w:val="000000"/>
          <w:sz w:val="24"/>
          <w:szCs w:val="24"/>
        </w:rPr>
        <w:t xml:space="preserve">helping; therefore more customers will be helped and remain connected to services. </w:t>
      </w:r>
    </w:p>
    <w:p w14:paraId="1AF92B1C" w14:textId="77777777" w:rsidR="00EA00A6" w:rsidRPr="00B42D03" w:rsidRDefault="00EA00A6" w:rsidP="002F79DD">
      <w:pPr>
        <w:numPr>
          <w:ilvl w:val="1"/>
          <w:numId w:val="12"/>
        </w:numPr>
        <w:spacing w:line="360" w:lineRule="auto"/>
        <w:ind w:right="360"/>
        <w:jc w:val="both"/>
        <w:rPr>
          <w:color w:val="000000"/>
          <w:sz w:val="24"/>
          <w:szCs w:val="24"/>
        </w:rPr>
      </w:pPr>
      <w:r w:rsidRPr="00B42D03">
        <w:rPr>
          <w:color w:val="000000"/>
          <w:sz w:val="24"/>
          <w:szCs w:val="24"/>
        </w:rPr>
        <w:t xml:space="preserve">This program would be implemented immediately and conclude </w:t>
      </w:r>
      <w:r w:rsidR="000E23E9">
        <w:rPr>
          <w:color w:val="000000"/>
          <w:sz w:val="24"/>
          <w:szCs w:val="24"/>
        </w:rPr>
        <w:t>May 31, 2017.</w:t>
      </w:r>
    </w:p>
    <w:p w14:paraId="1AF92B1D" w14:textId="77777777" w:rsidR="00EA00A6" w:rsidRPr="00B42D03" w:rsidRDefault="00EA00A6" w:rsidP="002F79DD">
      <w:pPr>
        <w:numPr>
          <w:ilvl w:val="1"/>
          <w:numId w:val="12"/>
        </w:numPr>
        <w:spacing w:line="360" w:lineRule="auto"/>
        <w:ind w:right="360"/>
        <w:jc w:val="both"/>
        <w:rPr>
          <w:color w:val="000000"/>
          <w:sz w:val="24"/>
          <w:szCs w:val="24"/>
        </w:rPr>
      </w:pPr>
      <w:r w:rsidRPr="00B42D03">
        <w:rPr>
          <w:color w:val="000000"/>
          <w:sz w:val="24"/>
          <w:szCs w:val="24"/>
        </w:rPr>
        <w:t>The parameters for qualifying for this program are:</w:t>
      </w:r>
    </w:p>
    <w:p w14:paraId="1AF92B1E" w14:textId="77777777" w:rsidR="00EA00A6" w:rsidRPr="00B42D03" w:rsidRDefault="00EA00A6" w:rsidP="002F79DD">
      <w:pPr>
        <w:numPr>
          <w:ilvl w:val="2"/>
          <w:numId w:val="12"/>
        </w:numPr>
        <w:spacing w:line="360" w:lineRule="auto"/>
        <w:ind w:right="360"/>
        <w:jc w:val="both"/>
        <w:rPr>
          <w:color w:val="000000"/>
          <w:sz w:val="24"/>
          <w:szCs w:val="24"/>
        </w:rPr>
      </w:pPr>
      <w:r w:rsidRPr="00B42D03">
        <w:rPr>
          <w:color w:val="000000"/>
          <w:sz w:val="24"/>
          <w:szCs w:val="24"/>
        </w:rPr>
        <w:t>Available to customers up to 200% FPL.</w:t>
      </w:r>
    </w:p>
    <w:p w14:paraId="1AF92B1F" w14:textId="77777777" w:rsidR="00EA00A6" w:rsidRPr="00B42D03" w:rsidRDefault="00EA00A6" w:rsidP="002F79DD">
      <w:pPr>
        <w:numPr>
          <w:ilvl w:val="2"/>
          <w:numId w:val="12"/>
        </w:numPr>
        <w:spacing w:line="360" w:lineRule="auto"/>
        <w:ind w:right="360"/>
        <w:jc w:val="both"/>
        <w:rPr>
          <w:color w:val="000000"/>
          <w:sz w:val="24"/>
          <w:szCs w:val="24"/>
        </w:rPr>
      </w:pPr>
      <w:r w:rsidRPr="00B42D03">
        <w:rPr>
          <w:color w:val="000000"/>
          <w:sz w:val="24"/>
          <w:szCs w:val="24"/>
        </w:rPr>
        <w:t>Must have made good faith payments and/or been in communication with Avista regarding their situation (e.g.</w:t>
      </w:r>
      <w:r w:rsidR="000E23E9">
        <w:rPr>
          <w:color w:val="000000"/>
          <w:sz w:val="24"/>
          <w:szCs w:val="24"/>
        </w:rPr>
        <w:t>,</w:t>
      </w:r>
      <w:r w:rsidRPr="00B42D03">
        <w:rPr>
          <w:color w:val="000000"/>
          <w:sz w:val="24"/>
          <w:szCs w:val="24"/>
        </w:rPr>
        <w:t xml:space="preserve"> set up payment arrangements).</w:t>
      </w:r>
    </w:p>
    <w:p w14:paraId="1AF92B20" w14:textId="77777777" w:rsidR="00EA00A6" w:rsidRPr="00B42D03" w:rsidRDefault="00EA00A6" w:rsidP="002F79DD">
      <w:pPr>
        <w:numPr>
          <w:ilvl w:val="2"/>
          <w:numId w:val="12"/>
        </w:numPr>
        <w:spacing w:line="360" w:lineRule="auto"/>
        <w:ind w:right="360"/>
        <w:jc w:val="both"/>
        <w:rPr>
          <w:color w:val="000000"/>
          <w:sz w:val="24"/>
          <w:szCs w:val="24"/>
        </w:rPr>
      </w:pPr>
      <w:r w:rsidRPr="00B42D03">
        <w:rPr>
          <w:color w:val="000000"/>
          <w:sz w:val="24"/>
          <w:szCs w:val="24"/>
        </w:rPr>
        <w:t>Must be approved by a CAA manager (i.e.</w:t>
      </w:r>
      <w:r w:rsidR="000E23E9">
        <w:rPr>
          <w:color w:val="000000"/>
          <w:sz w:val="24"/>
          <w:szCs w:val="24"/>
        </w:rPr>
        <w:t>,</w:t>
      </w:r>
      <w:r w:rsidRPr="00B42D03">
        <w:rPr>
          <w:color w:val="000000"/>
          <w:sz w:val="24"/>
          <w:szCs w:val="24"/>
        </w:rPr>
        <w:t xml:space="preserve"> intake worker cannot approve) in collaboration with Avista C</w:t>
      </w:r>
      <w:r w:rsidR="00D705B9">
        <w:rPr>
          <w:color w:val="000000"/>
          <w:sz w:val="24"/>
          <w:szCs w:val="24"/>
        </w:rPr>
        <w:t>ustomer Assistance Referral and Evaluation Services (CARES)</w:t>
      </w:r>
      <w:r w:rsidRPr="00B42D03">
        <w:rPr>
          <w:color w:val="000000"/>
          <w:sz w:val="24"/>
          <w:szCs w:val="24"/>
        </w:rPr>
        <w:t xml:space="preserve"> representative. The CARES representative can provide specific information regarding the account, that is necessary for making eligibility determination (e.g.</w:t>
      </w:r>
      <w:r w:rsidR="000E23E9">
        <w:rPr>
          <w:color w:val="000000"/>
          <w:sz w:val="24"/>
          <w:szCs w:val="24"/>
        </w:rPr>
        <w:t>,</w:t>
      </w:r>
      <w:r w:rsidRPr="00B42D03">
        <w:rPr>
          <w:color w:val="000000"/>
          <w:sz w:val="24"/>
          <w:szCs w:val="24"/>
        </w:rPr>
        <w:t xml:space="preserve"> item ii).</w:t>
      </w:r>
    </w:p>
    <w:p w14:paraId="1AF92B21" w14:textId="77777777" w:rsidR="00EA00A6" w:rsidRPr="00B42D03" w:rsidRDefault="00EA00A6" w:rsidP="002F79DD">
      <w:pPr>
        <w:numPr>
          <w:ilvl w:val="2"/>
          <w:numId w:val="12"/>
        </w:numPr>
        <w:spacing w:line="360" w:lineRule="auto"/>
        <w:ind w:right="360"/>
        <w:jc w:val="both"/>
        <w:rPr>
          <w:color w:val="000000"/>
          <w:sz w:val="24"/>
          <w:szCs w:val="24"/>
        </w:rPr>
      </w:pPr>
      <w:r w:rsidRPr="00B42D03">
        <w:rPr>
          <w:color w:val="000000"/>
          <w:sz w:val="24"/>
          <w:szCs w:val="24"/>
        </w:rPr>
        <w:t>Calculated as 90% of the collection amount less what the customer can pay.</w:t>
      </w:r>
    </w:p>
    <w:p w14:paraId="1AF92B22" w14:textId="77777777" w:rsidR="00EA00A6" w:rsidRPr="00B42D03" w:rsidRDefault="00EA00A6" w:rsidP="002F79DD">
      <w:pPr>
        <w:numPr>
          <w:ilvl w:val="2"/>
          <w:numId w:val="12"/>
        </w:numPr>
        <w:spacing w:line="360" w:lineRule="auto"/>
        <w:ind w:right="360"/>
        <w:jc w:val="both"/>
        <w:rPr>
          <w:color w:val="000000"/>
          <w:sz w:val="24"/>
          <w:szCs w:val="24"/>
        </w:rPr>
      </w:pPr>
      <w:r w:rsidRPr="00B42D03">
        <w:rPr>
          <w:color w:val="000000"/>
          <w:sz w:val="24"/>
          <w:szCs w:val="24"/>
        </w:rPr>
        <w:t xml:space="preserve">The maximum grant amount for each individual customer will not exceed 90% of the average annual energy bill (Electric and Gas).  That maximum has been determined to be $1,550. </w:t>
      </w:r>
    </w:p>
    <w:p w14:paraId="1AF92B23" w14:textId="77777777" w:rsidR="00EA00A6" w:rsidRPr="00B42D03" w:rsidRDefault="00EA00A6" w:rsidP="00AD3271">
      <w:pPr>
        <w:spacing w:line="360" w:lineRule="auto"/>
        <w:ind w:right="360" w:firstLine="720"/>
        <w:jc w:val="both"/>
        <w:rPr>
          <w:color w:val="000000"/>
          <w:sz w:val="24"/>
          <w:szCs w:val="24"/>
        </w:rPr>
      </w:pPr>
    </w:p>
    <w:p w14:paraId="1AF92B24" w14:textId="77777777" w:rsidR="000E23E9" w:rsidRDefault="00D705B9" w:rsidP="002F79DD">
      <w:pPr>
        <w:spacing w:line="360" w:lineRule="auto"/>
        <w:ind w:right="360" w:firstLine="720"/>
        <w:jc w:val="both"/>
        <w:rPr>
          <w:sz w:val="24"/>
          <w:szCs w:val="24"/>
        </w:rPr>
      </w:pPr>
      <w:r w:rsidRPr="00D705B9">
        <w:rPr>
          <w:color w:val="000000"/>
          <w:sz w:val="24"/>
          <w:szCs w:val="24"/>
        </w:rPr>
        <w:lastRenderedPageBreak/>
        <w:t>Funding for the temporary</w:t>
      </w:r>
      <w:r w:rsidR="00EA00A6" w:rsidRPr="00B42D03">
        <w:rPr>
          <w:color w:val="000000"/>
          <w:sz w:val="24"/>
          <w:szCs w:val="24"/>
        </w:rPr>
        <w:t xml:space="preserve"> exception program </w:t>
      </w:r>
      <w:r>
        <w:rPr>
          <w:color w:val="000000"/>
          <w:sz w:val="24"/>
          <w:szCs w:val="24"/>
        </w:rPr>
        <w:t xml:space="preserve">defined in No. 2 above </w:t>
      </w:r>
      <w:r w:rsidR="00EA00A6" w:rsidRPr="00B42D03">
        <w:rPr>
          <w:color w:val="000000"/>
          <w:sz w:val="24"/>
          <w:szCs w:val="24"/>
        </w:rPr>
        <w:t>will come from unspent direct service funding</w:t>
      </w:r>
      <w:r w:rsidR="000E23E9">
        <w:rPr>
          <w:color w:val="000000"/>
          <w:sz w:val="24"/>
          <w:szCs w:val="24"/>
        </w:rPr>
        <w:t>, and therefore no</w:t>
      </w:r>
      <w:r w:rsidR="00F021CF" w:rsidRPr="00F021CF">
        <w:rPr>
          <w:sz w:val="24"/>
          <w:szCs w:val="24"/>
        </w:rPr>
        <w:t xml:space="preserve"> request has been made to change rates applicable to Schedules 92 or 192.  </w:t>
      </w:r>
    </w:p>
    <w:p w14:paraId="1AF92B25" w14:textId="77777777" w:rsidR="000E23E9" w:rsidRDefault="00CE5024" w:rsidP="000E23E9">
      <w:pPr>
        <w:spacing w:line="360" w:lineRule="auto"/>
        <w:ind w:right="360" w:firstLine="720"/>
        <w:jc w:val="both"/>
        <w:rPr>
          <w:sz w:val="24"/>
          <w:szCs w:val="24"/>
        </w:rPr>
      </w:pPr>
      <w:r w:rsidRPr="00CE5024">
        <w:rPr>
          <w:sz w:val="24"/>
          <w:szCs w:val="24"/>
        </w:rPr>
        <w:t>In conclusion, the Company</w:t>
      </w:r>
      <w:r w:rsidRPr="00B42D03">
        <w:rPr>
          <w:sz w:val="24"/>
          <w:szCs w:val="24"/>
        </w:rPr>
        <w:t xml:space="preserve"> </w:t>
      </w:r>
      <w:r w:rsidRPr="00CE5024">
        <w:rPr>
          <w:rStyle w:val="LineNumber"/>
        </w:rPr>
        <w:t>requests the Commission approve the pr</w:t>
      </w:r>
      <w:r>
        <w:rPr>
          <w:rStyle w:val="LineNumber"/>
        </w:rPr>
        <w:t xml:space="preserve">oposed revisions </w:t>
      </w:r>
      <w:r w:rsidR="000E23E9">
        <w:rPr>
          <w:rStyle w:val="LineNumber"/>
        </w:rPr>
        <w:t>contained in</w:t>
      </w:r>
      <w:r>
        <w:rPr>
          <w:rStyle w:val="LineNumber"/>
        </w:rPr>
        <w:t xml:space="preserve"> Schedules 92</w:t>
      </w:r>
      <w:r w:rsidR="00896629">
        <w:rPr>
          <w:rStyle w:val="LineNumber"/>
        </w:rPr>
        <w:t>A</w:t>
      </w:r>
      <w:r>
        <w:rPr>
          <w:rStyle w:val="LineNumber"/>
        </w:rPr>
        <w:t xml:space="preserve"> and 192</w:t>
      </w:r>
      <w:r w:rsidR="00896629">
        <w:rPr>
          <w:rStyle w:val="LineNumber"/>
        </w:rPr>
        <w:t>A</w:t>
      </w:r>
      <w:r w:rsidRPr="00CE5024">
        <w:rPr>
          <w:rStyle w:val="LineNumber"/>
        </w:rPr>
        <w:t xml:space="preserve"> with an effective date of </w:t>
      </w:r>
      <w:r>
        <w:rPr>
          <w:rStyle w:val="LineNumber"/>
        </w:rPr>
        <w:t xml:space="preserve">August </w:t>
      </w:r>
      <w:r w:rsidR="0025392C">
        <w:rPr>
          <w:rStyle w:val="LineNumber"/>
        </w:rPr>
        <w:t>8</w:t>
      </w:r>
      <w:r w:rsidRPr="00CE5024">
        <w:rPr>
          <w:rStyle w:val="LineNumber"/>
        </w:rPr>
        <w:t>, 2016</w:t>
      </w:r>
      <w:r w:rsidRPr="00B42D03">
        <w:rPr>
          <w:sz w:val="24"/>
          <w:szCs w:val="24"/>
        </w:rPr>
        <w:t>.</w:t>
      </w:r>
    </w:p>
    <w:p w14:paraId="1AF92B26" w14:textId="77777777" w:rsidR="00F021CF" w:rsidRPr="00F021CF" w:rsidRDefault="00F021CF" w:rsidP="00AD3271">
      <w:pPr>
        <w:spacing w:line="360" w:lineRule="auto"/>
        <w:ind w:right="360" w:firstLine="720"/>
        <w:jc w:val="both"/>
        <w:rPr>
          <w:sz w:val="24"/>
          <w:szCs w:val="24"/>
        </w:rPr>
      </w:pPr>
      <w:r w:rsidRPr="00F021CF">
        <w:rPr>
          <w:sz w:val="24"/>
          <w:szCs w:val="24"/>
        </w:rPr>
        <w:t>Please direct any questions regarding this filing to Ryan Finesilver at (509) 495-4873</w:t>
      </w:r>
      <w:r w:rsidR="00CE5024">
        <w:rPr>
          <w:sz w:val="24"/>
          <w:szCs w:val="24"/>
        </w:rPr>
        <w:t>, or myself at (509) 495-4975</w:t>
      </w:r>
      <w:r w:rsidRPr="00F021CF">
        <w:rPr>
          <w:sz w:val="24"/>
          <w:szCs w:val="24"/>
        </w:rPr>
        <w:t>.</w:t>
      </w:r>
    </w:p>
    <w:p w14:paraId="1AF92B27" w14:textId="77777777" w:rsidR="000E23E9" w:rsidRDefault="000E23E9">
      <w:pPr>
        <w:jc w:val="both"/>
        <w:rPr>
          <w:sz w:val="24"/>
          <w:szCs w:val="24"/>
        </w:rPr>
      </w:pPr>
    </w:p>
    <w:p w14:paraId="1AF92B28" w14:textId="77777777" w:rsidR="00040621" w:rsidRPr="002E4C90" w:rsidRDefault="00040621">
      <w:pPr>
        <w:jc w:val="both"/>
        <w:rPr>
          <w:sz w:val="24"/>
          <w:szCs w:val="24"/>
        </w:rPr>
      </w:pPr>
      <w:r w:rsidRPr="002E4C90">
        <w:rPr>
          <w:sz w:val="24"/>
          <w:szCs w:val="24"/>
        </w:rPr>
        <w:t>Sincerely,</w:t>
      </w:r>
    </w:p>
    <w:p w14:paraId="1AF92B29" w14:textId="77777777" w:rsidR="00040621" w:rsidRPr="002E4C90" w:rsidRDefault="00040621">
      <w:pPr>
        <w:jc w:val="both"/>
        <w:rPr>
          <w:sz w:val="24"/>
          <w:szCs w:val="24"/>
        </w:rPr>
      </w:pPr>
    </w:p>
    <w:p w14:paraId="1AF92B2A" w14:textId="77777777" w:rsidR="00040621" w:rsidRPr="00427F5F" w:rsidRDefault="00427F5F">
      <w:pPr>
        <w:jc w:val="both"/>
        <w:rPr>
          <w:rFonts w:ascii="Lucida Handwriting" w:hAnsi="Lucida Handwriting"/>
          <w:sz w:val="24"/>
          <w:szCs w:val="24"/>
        </w:rPr>
      </w:pPr>
      <w:r w:rsidRPr="00427F5F">
        <w:rPr>
          <w:rFonts w:ascii="Lucida Handwriting" w:hAnsi="Lucida Handwriting"/>
          <w:sz w:val="24"/>
          <w:szCs w:val="24"/>
        </w:rPr>
        <w:t>/</w:t>
      </w:r>
      <w:r>
        <w:rPr>
          <w:rFonts w:ascii="Lucida Handwriting" w:hAnsi="Lucida Handwriting"/>
          <w:sz w:val="24"/>
          <w:szCs w:val="24"/>
        </w:rPr>
        <w:t>s</w:t>
      </w:r>
      <w:r w:rsidR="006D39A8">
        <w:rPr>
          <w:rFonts w:ascii="Lucida Handwriting" w:hAnsi="Lucida Handwriting"/>
          <w:sz w:val="24"/>
          <w:szCs w:val="24"/>
        </w:rPr>
        <w:t>/Linda Gervais</w:t>
      </w:r>
    </w:p>
    <w:p w14:paraId="1AF92B2B" w14:textId="77777777" w:rsidR="00040621" w:rsidRPr="002E4C90" w:rsidRDefault="00040621">
      <w:pPr>
        <w:jc w:val="both"/>
        <w:rPr>
          <w:sz w:val="24"/>
          <w:szCs w:val="24"/>
        </w:rPr>
      </w:pPr>
    </w:p>
    <w:p w14:paraId="1AF92B2C" w14:textId="77777777" w:rsidR="007A17FF" w:rsidRPr="002E4C90" w:rsidRDefault="0088729D">
      <w:pPr>
        <w:jc w:val="both"/>
        <w:rPr>
          <w:sz w:val="24"/>
          <w:szCs w:val="24"/>
        </w:rPr>
      </w:pPr>
      <w:r>
        <w:rPr>
          <w:sz w:val="24"/>
          <w:szCs w:val="24"/>
        </w:rPr>
        <w:t>Linda Gervais</w:t>
      </w:r>
    </w:p>
    <w:p w14:paraId="1AF92B2D" w14:textId="77777777" w:rsidR="00040621" w:rsidRPr="002E4C90" w:rsidRDefault="00310B79">
      <w:pPr>
        <w:jc w:val="both"/>
        <w:rPr>
          <w:sz w:val="24"/>
          <w:szCs w:val="24"/>
        </w:rPr>
      </w:pPr>
      <w:r>
        <w:rPr>
          <w:sz w:val="24"/>
          <w:szCs w:val="24"/>
        </w:rPr>
        <w:t xml:space="preserve">Senior </w:t>
      </w:r>
      <w:r w:rsidR="002C67B6" w:rsidRPr="002E4C90">
        <w:rPr>
          <w:sz w:val="24"/>
          <w:szCs w:val="24"/>
        </w:rPr>
        <w:t>Manager,</w:t>
      </w:r>
      <w:r w:rsidR="0088729D">
        <w:rPr>
          <w:sz w:val="24"/>
          <w:szCs w:val="24"/>
        </w:rPr>
        <w:t xml:space="preserve"> Regulatory </w:t>
      </w:r>
      <w:smartTag w:uri="urn:schemas-microsoft-com:office:smarttags" w:element="place">
        <w:r w:rsidR="0088729D">
          <w:rPr>
            <w:sz w:val="24"/>
            <w:szCs w:val="24"/>
          </w:rPr>
          <w:t>Po</w:t>
        </w:r>
      </w:smartTag>
      <w:r w:rsidR="0088729D">
        <w:rPr>
          <w:sz w:val="24"/>
          <w:szCs w:val="24"/>
        </w:rPr>
        <w:t>licy</w:t>
      </w:r>
    </w:p>
    <w:p w14:paraId="1AF92B2E" w14:textId="77777777" w:rsidR="0088729D" w:rsidRPr="00427F5F" w:rsidRDefault="002C67B6">
      <w:pPr>
        <w:jc w:val="both"/>
        <w:rPr>
          <w:sz w:val="24"/>
          <w:szCs w:val="24"/>
        </w:rPr>
      </w:pPr>
      <w:r w:rsidRPr="00427F5F">
        <w:rPr>
          <w:sz w:val="24"/>
          <w:szCs w:val="24"/>
        </w:rPr>
        <w:t>Avista Utilities</w:t>
      </w:r>
    </w:p>
    <w:p w14:paraId="1AF92B2F" w14:textId="77777777" w:rsidR="0088729D" w:rsidRPr="00427F5F" w:rsidRDefault="0088729D">
      <w:pPr>
        <w:jc w:val="both"/>
        <w:rPr>
          <w:sz w:val="24"/>
          <w:szCs w:val="24"/>
        </w:rPr>
      </w:pPr>
      <w:r w:rsidRPr="00427F5F">
        <w:rPr>
          <w:sz w:val="24"/>
          <w:szCs w:val="24"/>
        </w:rPr>
        <w:t>linda.gervais@avistacorp.com</w:t>
      </w:r>
    </w:p>
    <w:p w14:paraId="1AF92B30" w14:textId="77777777" w:rsidR="00040621" w:rsidRPr="00427F5F" w:rsidRDefault="00040621">
      <w:pPr>
        <w:jc w:val="both"/>
        <w:rPr>
          <w:sz w:val="24"/>
          <w:szCs w:val="24"/>
        </w:rPr>
      </w:pPr>
    </w:p>
    <w:p w14:paraId="1AF92B31" w14:textId="77777777" w:rsidR="00040621" w:rsidRPr="002E4C90" w:rsidRDefault="00040621">
      <w:pPr>
        <w:jc w:val="both"/>
        <w:rPr>
          <w:sz w:val="24"/>
          <w:szCs w:val="24"/>
        </w:rPr>
      </w:pPr>
      <w:r w:rsidRPr="002E4C90">
        <w:rPr>
          <w:sz w:val="24"/>
          <w:szCs w:val="24"/>
        </w:rPr>
        <w:t>Enclosures</w:t>
      </w:r>
    </w:p>
    <w:p w14:paraId="1AF92B32" w14:textId="77777777" w:rsidR="00040621" w:rsidRDefault="00040621">
      <w:pPr>
        <w:jc w:val="both"/>
        <w:rPr>
          <w:sz w:val="24"/>
          <w:szCs w:val="24"/>
        </w:rPr>
      </w:pPr>
    </w:p>
    <w:p w14:paraId="1AF92B33" w14:textId="77777777" w:rsidR="00B232C8" w:rsidRDefault="00B232C8" w:rsidP="00B14584">
      <w:pPr>
        <w:tabs>
          <w:tab w:val="left" w:pos="360"/>
        </w:tabs>
        <w:jc w:val="both"/>
        <w:rPr>
          <w:sz w:val="24"/>
          <w:szCs w:val="24"/>
        </w:rPr>
      </w:pPr>
      <w:r>
        <w:rPr>
          <w:sz w:val="24"/>
          <w:szCs w:val="24"/>
        </w:rPr>
        <w:t xml:space="preserve">cc: </w:t>
      </w:r>
      <w:r w:rsidR="00B14584">
        <w:rPr>
          <w:sz w:val="24"/>
          <w:szCs w:val="24"/>
        </w:rPr>
        <w:tab/>
      </w:r>
      <w:r w:rsidR="002F79DD">
        <w:rPr>
          <w:sz w:val="24"/>
          <w:szCs w:val="24"/>
        </w:rPr>
        <w:t xml:space="preserve">Avista Energy Assistance </w:t>
      </w:r>
      <w:r w:rsidR="00FC23BC">
        <w:rPr>
          <w:sz w:val="24"/>
          <w:szCs w:val="24"/>
        </w:rPr>
        <w:t>Advisory Group</w:t>
      </w:r>
    </w:p>
    <w:p w14:paraId="1AF92B34" w14:textId="77777777" w:rsidR="00F31B46" w:rsidRPr="00DD4751" w:rsidRDefault="00B14584" w:rsidP="002331C4">
      <w:pPr>
        <w:tabs>
          <w:tab w:val="left" w:pos="360"/>
        </w:tabs>
        <w:jc w:val="both"/>
        <w:rPr>
          <w:sz w:val="24"/>
          <w:szCs w:val="24"/>
        </w:rPr>
      </w:pPr>
      <w:r>
        <w:rPr>
          <w:sz w:val="24"/>
          <w:szCs w:val="24"/>
        </w:rPr>
        <w:tab/>
      </w:r>
    </w:p>
    <w:p w14:paraId="1AF92B35" w14:textId="77777777" w:rsidR="00F31B46" w:rsidRDefault="00F31B46" w:rsidP="00F31B46">
      <w:pPr>
        <w:rPr>
          <w:sz w:val="24"/>
          <w:szCs w:val="24"/>
        </w:rPr>
      </w:pPr>
    </w:p>
    <w:sectPr w:rsidR="00F31B46" w:rsidSect="00BB23E3">
      <w:headerReference w:type="default" r:id="rId12"/>
      <w:pgSz w:w="12240" w:h="15840"/>
      <w:pgMar w:top="1080" w:right="108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92B3A" w14:textId="77777777" w:rsidR="00C76CFB" w:rsidRDefault="00C76CFB">
      <w:r>
        <w:separator/>
      </w:r>
    </w:p>
  </w:endnote>
  <w:endnote w:type="continuationSeparator" w:id="0">
    <w:p w14:paraId="1AF92B3B" w14:textId="77777777" w:rsidR="00C76CFB" w:rsidRDefault="00C7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92B38" w14:textId="77777777" w:rsidR="00C76CFB" w:rsidRDefault="00C76CFB">
      <w:r>
        <w:separator/>
      </w:r>
    </w:p>
  </w:footnote>
  <w:footnote w:type="continuationSeparator" w:id="0">
    <w:p w14:paraId="1AF92B39" w14:textId="77777777" w:rsidR="00C76CFB" w:rsidRDefault="00C76CFB">
      <w:r>
        <w:continuationSeparator/>
      </w:r>
    </w:p>
  </w:footnote>
  <w:footnote w:id="1">
    <w:p w14:paraId="1AF92B40" w14:textId="77777777" w:rsidR="00D9441F" w:rsidRDefault="00D9441F" w:rsidP="00AD3271">
      <w:pPr>
        <w:pStyle w:val="FootnoteText"/>
        <w:ind w:right="360"/>
        <w:jc w:val="both"/>
      </w:pPr>
      <w:r w:rsidRPr="00AA551E">
        <w:rPr>
          <w:rStyle w:val="FootnoteReference"/>
        </w:rPr>
        <w:footnoteRef/>
      </w:r>
      <w:r w:rsidRPr="00AA551E">
        <w:t xml:space="preserve"> </w:t>
      </w:r>
      <w:r w:rsidRPr="00AA551E">
        <w:rPr>
          <w:bCs/>
          <w:color w:val="2D261A"/>
        </w:rPr>
        <w:t xml:space="preserve">The Low Income Home Energy Assistance Program </w:t>
      </w:r>
      <w:r w:rsidRPr="00AA551E">
        <w:rPr>
          <w:color w:val="2D261A"/>
        </w:rPr>
        <w:t>(</w:t>
      </w:r>
      <w:r w:rsidRPr="00AA551E">
        <w:rPr>
          <w:bCs/>
          <w:color w:val="2D261A"/>
        </w:rPr>
        <w:t>LIHEAP</w:t>
      </w:r>
      <w:r w:rsidRPr="00AA551E">
        <w:rPr>
          <w:color w:val="2D261A"/>
        </w:rPr>
        <w:t>) is a federal program established in 1981 and funded annually by Congress. These federal dollars are released directly to states, territories, tribes and the District of Columbia who use the funds to provide energy assistance to low-income households. LIHEAP offers financial assistance to qualifying low-income households to help them pay their home heating or cooling bills. Under federal law, a household must have income below either 150 percent of the federal poverty level or 60 percent of state median income level, whichever is higher. However, states can set lower income thresholds if they choose to. Some states use non-federal funds to expand their programs to include more households or to provide higher benefits.</w:t>
      </w:r>
    </w:p>
  </w:footnote>
  <w:footnote w:id="2">
    <w:p w14:paraId="1AF92B41" w14:textId="77777777" w:rsidR="00D9441F" w:rsidRPr="0033339F" w:rsidRDefault="00D9441F" w:rsidP="00AD3271">
      <w:pPr>
        <w:pStyle w:val="FootnoteText"/>
        <w:ind w:right="360"/>
        <w:jc w:val="both"/>
      </w:pPr>
      <w:r w:rsidRPr="0033339F">
        <w:rPr>
          <w:rStyle w:val="FootnoteReference"/>
        </w:rPr>
        <w:footnoteRef/>
      </w:r>
      <w:r w:rsidRPr="0033339F">
        <w:t xml:space="preserve"> LIRAP intake is a process established to screen, acquire and record all mandatory household documentation to determine qualifications for heating assistance.</w:t>
      </w:r>
    </w:p>
  </w:footnote>
  <w:footnote w:id="3">
    <w:p w14:paraId="1AF92B42" w14:textId="77777777" w:rsidR="00D9441F" w:rsidRDefault="00D9441F" w:rsidP="00AD3271">
      <w:pPr>
        <w:pStyle w:val="FootnoteText"/>
        <w:ind w:right="360"/>
        <w:jc w:val="both"/>
      </w:pPr>
      <w:r>
        <w:rPr>
          <w:rStyle w:val="FootnoteReference"/>
        </w:rPr>
        <w:footnoteRef/>
      </w:r>
      <w:r>
        <w:t xml:space="preserve"> </w:t>
      </w:r>
      <w:r w:rsidRPr="00483535">
        <w:t xml:space="preserve">Emergency Assistance </w:t>
      </w:r>
      <w:r>
        <w:t xml:space="preserve">funded by LIRAP </w:t>
      </w:r>
      <w:r w:rsidRPr="00483535">
        <w:t>that replicates Project Share, customer</w:t>
      </w:r>
      <w:r>
        <w:t>s</w:t>
      </w:r>
      <w:r w:rsidRPr="00483535">
        <w:t xml:space="preserve"> cannot receive both but can receive other form</w:t>
      </w:r>
      <w:r>
        <w:t>s</w:t>
      </w:r>
      <w:r w:rsidRPr="00483535">
        <w:t xml:space="preserve"> of energy assistance. </w:t>
      </w:r>
      <w:r>
        <w:t xml:space="preserve"> </w:t>
      </w:r>
      <w:r w:rsidRPr="00483535">
        <w:t>Maximum payment guideline: $300</w:t>
      </w:r>
      <w:r>
        <w:t>.</w:t>
      </w:r>
    </w:p>
  </w:footnote>
  <w:footnote w:id="4">
    <w:p w14:paraId="1AF92B43" w14:textId="77777777" w:rsidR="00D9441F" w:rsidRDefault="00D9441F" w:rsidP="00AD3271">
      <w:pPr>
        <w:pStyle w:val="FootnoteText"/>
        <w:ind w:right="360"/>
      </w:pPr>
      <w:r>
        <w:rPr>
          <w:rStyle w:val="FootnoteReference"/>
        </w:rPr>
        <w:footnoteRef/>
      </w:r>
      <w:r>
        <w:t xml:space="preserve"> Beginning in the 2015-2016 heating season.</w:t>
      </w:r>
    </w:p>
  </w:footnote>
  <w:footnote w:id="5">
    <w:p w14:paraId="1AF92B44" w14:textId="77777777" w:rsidR="00AD3271" w:rsidRDefault="00AD3271" w:rsidP="00AD3271">
      <w:pPr>
        <w:pStyle w:val="FootnoteText"/>
      </w:pPr>
      <w:r>
        <w:rPr>
          <w:rStyle w:val="FootnoteReference"/>
        </w:rPr>
        <w:footnoteRef/>
      </w:r>
      <w:r>
        <w:t xml:space="preserve"> The Avista </w:t>
      </w:r>
      <w:r w:rsidR="002F79DD">
        <w:t>Energy Assistance</w:t>
      </w:r>
      <w:r>
        <w:t xml:space="preserve"> Advisory Group members include representatives from the WUTC Staff, Community Action Agencies, </w:t>
      </w:r>
      <w:r w:rsidR="000E23E9">
        <w:t>T</w:t>
      </w:r>
      <w:r>
        <w:t>he Energy Project and Public Counsel.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92B3C" w14:textId="77777777" w:rsidR="006470FE" w:rsidRDefault="006470FE">
    <w:pPr>
      <w:pStyle w:val="Header"/>
      <w:rPr>
        <w:sz w:val="24"/>
      </w:rPr>
    </w:pPr>
    <w:r>
      <w:rPr>
        <w:sz w:val="24"/>
      </w:rPr>
      <w:t>Schedule</w:t>
    </w:r>
    <w:r w:rsidR="00F021CF">
      <w:rPr>
        <w:sz w:val="24"/>
      </w:rPr>
      <w:t>s 92</w:t>
    </w:r>
    <w:r w:rsidR="00C93696">
      <w:rPr>
        <w:sz w:val="24"/>
      </w:rPr>
      <w:t>A</w:t>
    </w:r>
    <w:r w:rsidR="00F021CF">
      <w:rPr>
        <w:sz w:val="24"/>
      </w:rPr>
      <w:t xml:space="preserve"> and 192</w:t>
    </w:r>
    <w:r w:rsidR="00C93696">
      <w:rPr>
        <w:sz w:val="24"/>
      </w:rPr>
      <w:t>A</w:t>
    </w:r>
    <w:r>
      <w:rPr>
        <w:sz w:val="24"/>
      </w:rPr>
      <w:t xml:space="preserve"> Revisions</w:t>
    </w:r>
  </w:p>
  <w:p w14:paraId="1AF92B3D" w14:textId="77777777" w:rsidR="006470FE" w:rsidRDefault="00F021CF">
    <w:pPr>
      <w:pStyle w:val="Header"/>
      <w:rPr>
        <w:sz w:val="24"/>
      </w:rPr>
    </w:pPr>
    <w:r>
      <w:rPr>
        <w:sz w:val="24"/>
      </w:rPr>
      <w:t>July 8</w:t>
    </w:r>
    <w:r w:rsidR="00E3421E">
      <w:rPr>
        <w:sz w:val="24"/>
      </w:rPr>
      <w:t>, 2016</w:t>
    </w:r>
  </w:p>
  <w:p w14:paraId="1AF92B3E" w14:textId="77777777" w:rsidR="006470FE" w:rsidRDefault="006470FE">
    <w:pPr>
      <w:pStyle w:val="Header"/>
      <w:rPr>
        <w:rStyle w:val="PageNumber"/>
        <w:sz w:val="24"/>
      </w:rPr>
    </w:pPr>
    <w:r>
      <w:rPr>
        <w:sz w:val="24"/>
      </w:rPr>
      <w:t xml:space="preserve">Page </w:t>
    </w:r>
    <w:r w:rsidR="00B92B1D">
      <w:rPr>
        <w:rStyle w:val="PageNumber"/>
        <w:sz w:val="24"/>
      </w:rPr>
      <w:fldChar w:fldCharType="begin"/>
    </w:r>
    <w:r>
      <w:rPr>
        <w:rStyle w:val="PageNumber"/>
        <w:sz w:val="24"/>
      </w:rPr>
      <w:instrText xml:space="preserve"> PAGE </w:instrText>
    </w:r>
    <w:r w:rsidR="00B92B1D">
      <w:rPr>
        <w:rStyle w:val="PageNumber"/>
        <w:sz w:val="24"/>
      </w:rPr>
      <w:fldChar w:fldCharType="separate"/>
    </w:r>
    <w:r w:rsidR="005A7D33">
      <w:rPr>
        <w:rStyle w:val="PageNumber"/>
        <w:noProof/>
        <w:sz w:val="24"/>
      </w:rPr>
      <w:t>2</w:t>
    </w:r>
    <w:r w:rsidR="00B92B1D">
      <w:rPr>
        <w:rStyle w:val="PageNumber"/>
        <w:sz w:val="24"/>
      </w:rPr>
      <w:fldChar w:fldCharType="end"/>
    </w:r>
  </w:p>
  <w:p w14:paraId="1AF92B3F" w14:textId="77777777" w:rsidR="006470FE" w:rsidRDefault="006470FE">
    <w:pPr>
      <w:pStyle w:val="Header"/>
      <w:rPr>
        <w:rStyle w:val="PageNumb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232709A"/>
    <w:multiLevelType w:val="hybridMultilevel"/>
    <w:tmpl w:val="0254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6" w15:restartNumberingAfterBreak="0">
    <w:nsid w:val="64B36F0F"/>
    <w:multiLevelType w:val="hybridMultilevel"/>
    <w:tmpl w:val="D160EE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8" w15:restartNumberingAfterBreak="0">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10" w15:restartNumberingAfterBreak="0">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9"/>
  </w:num>
  <w:num w:numId="3">
    <w:abstractNumId w:val="5"/>
  </w:num>
  <w:num w:numId="4">
    <w:abstractNumId w:val="4"/>
  </w:num>
  <w:num w:numId="5">
    <w:abstractNumId w:val="3"/>
  </w:num>
  <w:num w:numId="6">
    <w:abstractNumId w:val="8"/>
  </w:num>
  <w:num w:numId="7">
    <w:abstractNumId w:val="11"/>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EE"/>
    <w:rsid w:val="000065A6"/>
    <w:rsid w:val="0002071B"/>
    <w:rsid w:val="0003355A"/>
    <w:rsid w:val="000336DD"/>
    <w:rsid w:val="000401B8"/>
    <w:rsid w:val="00040621"/>
    <w:rsid w:val="00045546"/>
    <w:rsid w:val="0005174E"/>
    <w:rsid w:val="00052E25"/>
    <w:rsid w:val="00063617"/>
    <w:rsid w:val="00063C7A"/>
    <w:rsid w:val="00073F75"/>
    <w:rsid w:val="000836F9"/>
    <w:rsid w:val="000B7F79"/>
    <w:rsid w:val="000D049A"/>
    <w:rsid w:val="000D0B83"/>
    <w:rsid w:val="000D5787"/>
    <w:rsid w:val="000D6898"/>
    <w:rsid w:val="000E23E9"/>
    <w:rsid w:val="000E3A67"/>
    <w:rsid w:val="000E5DE2"/>
    <w:rsid w:val="00110C55"/>
    <w:rsid w:val="00116E4E"/>
    <w:rsid w:val="0011729D"/>
    <w:rsid w:val="001241B9"/>
    <w:rsid w:val="001262DF"/>
    <w:rsid w:val="00127713"/>
    <w:rsid w:val="00134021"/>
    <w:rsid w:val="00134550"/>
    <w:rsid w:val="00142974"/>
    <w:rsid w:val="001618EE"/>
    <w:rsid w:val="00190B82"/>
    <w:rsid w:val="00196E09"/>
    <w:rsid w:val="001970F9"/>
    <w:rsid w:val="001975F3"/>
    <w:rsid w:val="001B0F41"/>
    <w:rsid w:val="001B4920"/>
    <w:rsid w:val="001C19BD"/>
    <w:rsid w:val="001C6991"/>
    <w:rsid w:val="001F178D"/>
    <w:rsid w:val="001F2CC9"/>
    <w:rsid w:val="00205A61"/>
    <w:rsid w:val="00212D64"/>
    <w:rsid w:val="00230EF0"/>
    <w:rsid w:val="002331C4"/>
    <w:rsid w:val="00236524"/>
    <w:rsid w:val="00240561"/>
    <w:rsid w:val="00243DB1"/>
    <w:rsid w:val="0025392C"/>
    <w:rsid w:val="002862F8"/>
    <w:rsid w:val="002908DF"/>
    <w:rsid w:val="00295620"/>
    <w:rsid w:val="002B39ED"/>
    <w:rsid w:val="002B6B64"/>
    <w:rsid w:val="002B7DD0"/>
    <w:rsid w:val="002C67B6"/>
    <w:rsid w:val="002E141A"/>
    <w:rsid w:val="002E4C90"/>
    <w:rsid w:val="002F033B"/>
    <w:rsid w:val="002F79DD"/>
    <w:rsid w:val="00310B79"/>
    <w:rsid w:val="00316FDE"/>
    <w:rsid w:val="003201B2"/>
    <w:rsid w:val="00323DF0"/>
    <w:rsid w:val="00325FD5"/>
    <w:rsid w:val="00343AFB"/>
    <w:rsid w:val="003458F3"/>
    <w:rsid w:val="00346E10"/>
    <w:rsid w:val="003512CA"/>
    <w:rsid w:val="00351550"/>
    <w:rsid w:val="00356DBD"/>
    <w:rsid w:val="0036547E"/>
    <w:rsid w:val="003662AE"/>
    <w:rsid w:val="00366E1B"/>
    <w:rsid w:val="003709CC"/>
    <w:rsid w:val="00377742"/>
    <w:rsid w:val="00377FD1"/>
    <w:rsid w:val="003846FB"/>
    <w:rsid w:val="003902FF"/>
    <w:rsid w:val="00394EE6"/>
    <w:rsid w:val="003A3A22"/>
    <w:rsid w:val="003A42E1"/>
    <w:rsid w:val="003B0826"/>
    <w:rsid w:val="003B424A"/>
    <w:rsid w:val="003C2809"/>
    <w:rsid w:val="003C461A"/>
    <w:rsid w:val="003E58EA"/>
    <w:rsid w:val="003E5D5C"/>
    <w:rsid w:val="003F1C8C"/>
    <w:rsid w:val="003F22B9"/>
    <w:rsid w:val="003F44D5"/>
    <w:rsid w:val="00427F5F"/>
    <w:rsid w:val="00435BF4"/>
    <w:rsid w:val="00443E2E"/>
    <w:rsid w:val="00450756"/>
    <w:rsid w:val="00452092"/>
    <w:rsid w:val="004538E0"/>
    <w:rsid w:val="00471A91"/>
    <w:rsid w:val="00485113"/>
    <w:rsid w:val="00497379"/>
    <w:rsid w:val="004A0D38"/>
    <w:rsid w:val="004A2184"/>
    <w:rsid w:val="004A4359"/>
    <w:rsid w:val="004B014C"/>
    <w:rsid w:val="004B39F6"/>
    <w:rsid w:val="004B4CE7"/>
    <w:rsid w:val="004C3C45"/>
    <w:rsid w:val="004D376E"/>
    <w:rsid w:val="004D7755"/>
    <w:rsid w:val="004E5F73"/>
    <w:rsid w:val="004F058C"/>
    <w:rsid w:val="004F1F1E"/>
    <w:rsid w:val="005040E7"/>
    <w:rsid w:val="00505AF6"/>
    <w:rsid w:val="005123F8"/>
    <w:rsid w:val="00523072"/>
    <w:rsid w:val="00550D10"/>
    <w:rsid w:val="005519C3"/>
    <w:rsid w:val="0056190B"/>
    <w:rsid w:val="0056501D"/>
    <w:rsid w:val="00565FBA"/>
    <w:rsid w:val="00571611"/>
    <w:rsid w:val="00575936"/>
    <w:rsid w:val="00584C9E"/>
    <w:rsid w:val="00590008"/>
    <w:rsid w:val="0059415F"/>
    <w:rsid w:val="005A2EF9"/>
    <w:rsid w:val="005A338C"/>
    <w:rsid w:val="005A47D6"/>
    <w:rsid w:val="005A7A08"/>
    <w:rsid w:val="005A7D33"/>
    <w:rsid w:val="005B086C"/>
    <w:rsid w:val="005C2F04"/>
    <w:rsid w:val="005C3A92"/>
    <w:rsid w:val="005D630F"/>
    <w:rsid w:val="005E12C6"/>
    <w:rsid w:val="005F206B"/>
    <w:rsid w:val="005F40FB"/>
    <w:rsid w:val="005F4179"/>
    <w:rsid w:val="005F754A"/>
    <w:rsid w:val="006100B1"/>
    <w:rsid w:val="0061578F"/>
    <w:rsid w:val="00622D0B"/>
    <w:rsid w:val="00634275"/>
    <w:rsid w:val="00641E37"/>
    <w:rsid w:val="006470FE"/>
    <w:rsid w:val="006529E4"/>
    <w:rsid w:val="00655B6B"/>
    <w:rsid w:val="00660C63"/>
    <w:rsid w:val="00666D7C"/>
    <w:rsid w:val="00672C44"/>
    <w:rsid w:val="00676FA4"/>
    <w:rsid w:val="006918B9"/>
    <w:rsid w:val="00697DC6"/>
    <w:rsid w:val="006B5C81"/>
    <w:rsid w:val="006D39A8"/>
    <w:rsid w:val="006E11A7"/>
    <w:rsid w:val="006F2A24"/>
    <w:rsid w:val="00705C95"/>
    <w:rsid w:val="00714294"/>
    <w:rsid w:val="007200DD"/>
    <w:rsid w:val="0072508A"/>
    <w:rsid w:val="0073219B"/>
    <w:rsid w:val="007356C1"/>
    <w:rsid w:val="00741902"/>
    <w:rsid w:val="00742560"/>
    <w:rsid w:val="007437E9"/>
    <w:rsid w:val="007479E3"/>
    <w:rsid w:val="00755E3F"/>
    <w:rsid w:val="00772C70"/>
    <w:rsid w:val="007801F3"/>
    <w:rsid w:val="007A17FF"/>
    <w:rsid w:val="007A3F9B"/>
    <w:rsid w:val="007A6656"/>
    <w:rsid w:val="007B5571"/>
    <w:rsid w:val="007B5D91"/>
    <w:rsid w:val="007C4DFB"/>
    <w:rsid w:val="007E00A2"/>
    <w:rsid w:val="007F176C"/>
    <w:rsid w:val="00801F7D"/>
    <w:rsid w:val="00827194"/>
    <w:rsid w:val="0083065F"/>
    <w:rsid w:val="00847903"/>
    <w:rsid w:val="008614DF"/>
    <w:rsid w:val="008621D3"/>
    <w:rsid w:val="008842EC"/>
    <w:rsid w:val="00884A50"/>
    <w:rsid w:val="0088729D"/>
    <w:rsid w:val="00887D04"/>
    <w:rsid w:val="0089647E"/>
    <w:rsid w:val="00896629"/>
    <w:rsid w:val="008A3326"/>
    <w:rsid w:val="008C1672"/>
    <w:rsid w:val="008D7D48"/>
    <w:rsid w:val="008E0338"/>
    <w:rsid w:val="008E336C"/>
    <w:rsid w:val="008F221D"/>
    <w:rsid w:val="00906027"/>
    <w:rsid w:val="00907955"/>
    <w:rsid w:val="00920E8A"/>
    <w:rsid w:val="0092371B"/>
    <w:rsid w:val="00930807"/>
    <w:rsid w:val="00931669"/>
    <w:rsid w:val="00936303"/>
    <w:rsid w:val="00944BE5"/>
    <w:rsid w:val="00946679"/>
    <w:rsid w:val="00982C4F"/>
    <w:rsid w:val="00994CAA"/>
    <w:rsid w:val="00996800"/>
    <w:rsid w:val="009B04F7"/>
    <w:rsid w:val="009C1D50"/>
    <w:rsid w:val="009C4B4F"/>
    <w:rsid w:val="009D79A8"/>
    <w:rsid w:val="009E0305"/>
    <w:rsid w:val="009E5B7D"/>
    <w:rsid w:val="009F3585"/>
    <w:rsid w:val="00A010CF"/>
    <w:rsid w:val="00A03E67"/>
    <w:rsid w:val="00A058C4"/>
    <w:rsid w:val="00A11561"/>
    <w:rsid w:val="00A14BAA"/>
    <w:rsid w:val="00A252DB"/>
    <w:rsid w:val="00A42EC5"/>
    <w:rsid w:val="00A4498A"/>
    <w:rsid w:val="00A46111"/>
    <w:rsid w:val="00A47591"/>
    <w:rsid w:val="00A62952"/>
    <w:rsid w:val="00A77B12"/>
    <w:rsid w:val="00A8189A"/>
    <w:rsid w:val="00A840FB"/>
    <w:rsid w:val="00A85BF3"/>
    <w:rsid w:val="00A90350"/>
    <w:rsid w:val="00AA10B4"/>
    <w:rsid w:val="00AA3519"/>
    <w:rsid w:val="00AC187E"/>
    <w:rsid w:val="00AD3271"/>
    <w:rsid w:val="00AD4048"/>
    <w:rsid w:val="00AE00CF"/>
    <w:rsid w:val="00AF20EE"/>
    <w:rsid w:val="00B012CB"/>
    <w:rsid w:val="00B03A47"/>
    <w:rsid w:val="00B04325"/>
    <w:rsid w:val="00B07028"/>
    <w:rsid w:val="00B14584"/>
    <w:rsid w:val="00B15816"/>
    <w:rsid w:val="00B213D0"/>
    <w:rsid w:val="00B232C8"/>
    <w:rsid w:val="00B24035"/>
    <w:rsid w:val="00B30BD7"/>
    <w:rsid w:val="00B42D03"/>
    <w:rsid w:val="00B50F66"/>
    <w:rsid w:val="00B5756B"/>
    <w:rsid w:val="00B6299C"/>
    <w:rsid w:val="00B65BF5"/>
    <w:rsid w:val="00B67EDE"/>
    <w:rsid w:val="00B73275"/>
    <w:rsid w:val="00B92B1D"/>
    <w:rsid w:val="00B92B26"/>
    <w:rsid w:val="00BA5429"/>
    <w:rsid w:val="00BB23E3"/>
    <w:rsid w:val="00BB5649"/>
    <w:rsid w:val="00BB6262"/>
    <w:rsid w:val="00BB66AE"/>
    <w:rsid w:val="00BC490D"/>
    <w:rsid w:val="00BD0AD0"/>
    <w:rsid w:val="00BD64FB"/>
    <w:rsid w:val="00BE65D5"/>
    <w:rsid w:val="00BF090D"/>
    <w:rsid w:val="00BF1BC5"/>
    <w:rsid w:val="00BF1E48"/>
    <w:rsid w:val="00BF6B7E"/>
    <w:rsid w:val="00C0555C"/>
    <w:rsid w:val="00C129F8"/>
    <w:rsid w:val="00C2174A"/>
    <w:rsid w:val="00C2456C"/>
    <w:rsid w:val="00C34953"/>
    <w:rsid w:val="00C35B1B"/>
    <w:rsid w:val="00C41B9A"/>
    <w:rsid w:val="00C436D9"/>
    <w:rsid w:val="00C76CFB"/>
    <w:rsid w:val="00C83322"/>
    <w:rsid w:val="00C87E5A"/>
    <w:rsid w:val="00C93696"/>
    <w:rsid w:val="00C96877"/>
    <w:rsid w:val="00CA0D34"/>
    <w:rsid w:val="00CB374C"/>
    <w:rsid w:val="00CC0249"/>
    <w:rsid w:val="00CC1BAA"/>
    <w:rsid w:val="00CD346B"/>
    <w:rsid w:val="00CD60DE"/>
    <w:rsid w:val="00CD78C3"/>
    <w:rsid w:val="00CE0039"/>
    <w:rsid w:val="00CE5024"/>
    <w:rsid w:val="00CF657D"/>
    <w:rsid w:val="00D01DA5"/>
    <w:rsid w:val="00D04A56"/>
    <w:rsid w:val="00D15DFC"/>
    <w:rsid w:val="00D22CB3"/>
    <w:rsid w:val="00D23FE7"/>
    <w:rsid w:val="00D2493D"/>
    <w:rsid w:val="00D26572"/>
    <w:rsid w:val="00D37B30"/>
    <w:rsid w:val="00D44DF6"/>
    <w:rsid w:val="00D50B07"/>
    <w:rsid w:val="00D54F74"/>
    <w:rsid w:val="00D558EE"/>
    <w:rsid w:val="00D55F36"/>
    <w:rsid w:val="00D705B9"/>
    <w:rsid w:val="00D72C3C"/>
    <w:rsid w:val="00D9441F"/>
    <w:rsid w:val="00DA1D28"/>
    <w:rsid w:val="00DA633A"/>
    <w:rsid w:val="00DA6481"/>
    <w:rsid w:val="00DC380B"/>
    <w:rsid w:val="00DD4751"/>
    <w:rsid w:val="00DE0C75"/>
    <w:rsid w:val="00DE4DE1"/>
    <w:rsid w:val="00DE77A0"/>
    <w:rsid w:val="00DF7E76"/>
    <w:rsid w:val="00E04D16"/>
    <w:rsid w:val="00E06BAC"/>
    <w:rsid w:val="00E1037B"/>
    <w:rsid w:val="00E17377"/>
    <w:rsid w:val="00E25458"/>
    <w:rsid w:val="00E31C7B"/>
    <w:rsid w:val="00E3421E"/>
    <w:rsid w:val="00E40917"/>
    <w:rsid w:val="00E51832"/>
    <w:rsid w:val="00E5413D"/>
    <w:rsid w:val="00E65250"/>
    <w:rsid w:val="00E67087"/>
    <w:rsid w:val="00E745FD"/>
    <w:rsid w:val="00E811F1"/>
    <w:rsid w:val="00E97DC2"/>
    <w:rsid w:val="00EA00A6"/>
    <w:rsid w:val="00EB5DE7"/>
    <w:rsid w:val="00EE08D9"/>
    <w:rsid w:val="00EE3F03"/>
    <w:rsid w:val="00EE6695"/>
    <w:rsid w:val="00F021CF"/>
    <w:rsid w:val="00F31B46"/>
    <w:rsid w:val="00F33CF2"/>
    <w:rsid w:val="00F33E5E"/>
    <w:rsid w:val="00F40A80"/>
    <w:rsid w:val="00F423F3"/>
    <w:rsid w:val="00F43FC2"/>
    <w:rsid w:val="00F46E04"/>
    <w:rsid w:val="00F52D82"/>
    <w:rsid w:val="00F53CDD"/>
    <w:rsid w:val="00F604AF"/>
    <w:rsid w:val="00F623F2"/>
    <w:rsid w:val="00F66FE5"/>
    <w:rsid w:val="00F67B3A"/>
    <w:rsid w:val="00F743D8"/>
    <w:rsid w:val="00F830C7"/>
    <w:rsid w:val="00F91CD4"/>
    <w:rsid w:val="00FA3020"/>
    <w:rsid w:val="00FA5C30"/>
    <w:rsid w:val="00FB41D2"/>
    <w:rsid w:val="00FB73F1"/>
    <w:rsid w:val="00FC23BC"/>
    <w:rsid w:val="00FC4767"/>
    <w:rsid w:val="00FC621D"/>
    <w:rsid w:val="00FD6FD4"/>
    <w:rsid w:val="00FD7B2A"/>
    <w:rsid w:val="00FE220A"/>
    <w:rsid w:val="00FE393C"/>
    <w:rsid w:val="00FE72AB"/>
    <w:rsid w:val="00FF0471"/>
    <w:rsid w:val="00FF0EC6"/>
    <w:rsid w:val="00FF39B8"/>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AF92AE5"/>
  <w15:docId w15:val="{D4200260-A6E5-40C4-9847-59172C32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351550"/>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351550"/>
  </w:style>
  <w:style w:type="character" w:styleId="FootnoteReference">
    <w:name w:val="footnote reference"/>
    <w:basedOn w:val="DefaultParagraphFont"/>
    <w:uiPriority w:val="99"/>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paragraph" w:customStyle="1" w:styleId="Default">
    <w:name w:val="Default"/>
    <w:rsid w:val="000836F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EE3F03"/>
    <w:rPr>
      <w:sz w:val="24"/>
    </w:rPr>
  </w:style>
  <w:style w:type="character" w:customStyle="1" w:styleId="HeaderChar">
    <w:name w:val="Header Char"/>
    <w:basedOn w:val="DefaultParagraphFont"/>
    <w:link w:val="Header"/>
    <w:uiPriority w:val="99"/>
    <w:rsid w:val="00D9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18586">
      <w:bodyDiv w:val="1"/>
      <w:marLeft w:val="0"/>
      <w:marRight w:val="0"/>
      <w:marTop w:val="0"/>
      <w:marBottom w:val="0"/>
      <w:divBdr>
        <w:top w:val="none" w:sz="0" w:space="0" w:color="auto"/>
        <w:left w:val="none" w:sz="0" w:space="0" w:color="auto"/>
        <w:bottom w:val="none" w:sz="0" w:space="0" w:color="auto"/>
        <w:right w:val="none" w:sz="0" w:space="0" w:color="auto"/>
      </w:divBdr>
    </w:div>
    <w:div w:id="1826310707">
      <w:bodyDiv w:val="1"/>
      <w:marLeft w:val="0"/>
      <w:marRight w:val="0"/>
      <w:marTop w:val="0"/>
      <w:marBottom w:val="0"/>
      <w:divBdr>
        <w:top w:val="none" w:sz="0" w:space="0" w:color="auto"/>
        <w:left w:val="none" w:sz="0" w:space="0" w:color="auto"/>
        <w:bottom w:val="none" w:sz="0" w:space="0" w:color="auto"/>
        <w:right w:val="none" w:sz="0" w:space="0" w:color="auto"/>
      </w:divBdr>
    </w:div>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2016-07-08T07:00:00+00:00</OpenedDate>
    <Date1 xmlns="dc463f71-b30c-4ab2-9473-d307f9d35888">2016-07-08T07:00:00+00:00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160887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28534B1C7FCF4BA03CD241C1A998F7" ma:contentTypeVersion="104" ma:contentTypeDescription="" ma:contentTypeScope="" ma:versionID="4e3fe7f55d061c9b843ccea51a331c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51F95-3E98-4CAF-8C7D-B32C88FA6CFD}"/>
</file>

<file path=customXml/itemProps2.xml><?xml version="1.0" encoding="utf-8"?>
<ds:datastoreItem xmlns:ds="http://schemas.openxmlformats.org/officeDocument/2006/customXml" ds:itemID="{D9D5FCA6-7F3E-4682-9104-412E7764158B}"/>
</file>

<file path=customXml/itemProps3.xml><?xml version="1.0" encoding="utf-8"?>
<ds:datastoreItem xmlns:ds="http://schemas.openxmlformats.org/officeDocument/2006/customXml" ds:itemID="{FEA28280-9459-473A-9B04-A35E3C7DE8B0}"/>
</file>

<file path=customXml/itemProps4.xml><?xml version="1.0" encoding="utf-8"?>
<ds:datastoreItem xmlns:ds="http://schemas.openxmlformats.org/officeDocument/2006/customXml" ds:itemID="{148BC4BE-7B29-47F0-8AE1-49B7A0DA9228}"/>
</file>

<file path=customXml/itemProps5.xml><?xml version="1.0" encoding="utf-8"?>
<ds:datastoreItem xmlns:ds="http://schemas.openxmlformats.org/officeDocument/2006/customXml" ds:itemID="{545050FB-7C53-4173-A593-48A0CC52F112}"/>
</file>

<file path=docProps/app.xml><?xml version="1.0" encoding="utf-8"?>
<Properties xmlns="http://schemas.openxmlformats.org/officeDocument/2006/extended-properties" xmlns:vt="http://schemas.openxmlformats.org/officeDocument/2006/docPropsVTypes">
  <Template>Normal</Template>
  <TotalTime>0</TotalTime>
  <Pages>4</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Kredel, Ashley (UTC)</cp:lastModifiedBy>
  <cp:revision>2</cp:revision>
  <cp:lastPrinted>2016-07-07T22:02:00Z</cp:lastPrinted>
  <dcterms:created xsi:type="dcterms:W3CDTF">2016-07-08T15:57:00Z</dcterms:created>
  <dcterms:modified xsi:type="dcterms:W3CDTF">2016-07-08T15:57:00Z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0x0101006E56B4D1795A2E4DB2F0B01679ED314A00AD28534B1C7FCF4BA03CD241C1A998F7</vt:lpwstr>
  </property>
  <property fmtid="{D5CDD505-2E9C-101B-9397-08002B2CF9AE}" pid="3" name="_docset_NoMedatataSyncRequired">
    <vt:lpwstr>False</vt:lpwstr>
  </property>
</Properties>
</file>