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3E393" w14:textId="77777777" w:rsidR="00647DAC" w:rsidRPr="00702FDF" w:rsidRDefault="00647DAC" w:rsidP="00B07F8E">
      <w:pPr>
        <w:pStyle w:val="BodyText"/>
        <w:spacing w:line="276" w:lineRule="auto"/>
        <w:rPr>
          <w:rFonts w:ascii="Times New Roman" w:hAnsi="Times New Roman" w:cs="Times New Roman"/>
          <w:b/>
          <w:bCs/>
        </w:rPr>
      </w:pPr>
      <w:bookmarkStart w:id="0" w:name="_GoBack"/>
      <w:bookmarkEnd w:id="0"/>
      <w:r w:rsidRPr="00702FDF">
        <w:rPr>
          <w:rFonts w:ascii="Times New Roman" w:hAnsi="Times New Roman" w:cs="Times New Roman"/>
          <w:b/>
          <w:bCs/>
        </w:rPr>
        <w:t>BEFORE THE WASHINGTON</w:t>
      </w:r>
    </w:p>
    <w:p w14:paraId="4F13E394" w14:textId="77777777" w:rsidR="00647DAC" w:rsidRPr="00702FDF" w:rsidRDefault="00647DAC" w:rsidP="00B07F8E">
      <w:pPr>
        <w:pStyle w:val="BodyText"/>
        <w:spacing w:line="276" w:lineRule="auto"/>
        <w:rPr>
          <w:rFonts w:ascii="Times New Roman" w:hAnsi="Times New Roman" w:cs="Times New Roman"/>
        </w:rPr>
      </w:pPr>
      <w:r w:rsidRPr="00702FDF">
        <w:rPr>
          <w:rFonts w:ascii="Times New Roman" w:hAnsi="Times New Roman" w:cs="Times New Roman"/>
          <w:b/>
          <w:bCs/>
        </w:rPr>
        <w:t>UTILITIES AND TRANSPORTATION COMMISSION</w:t>
      </w:r>
    </w:p>
    <w:p w14:paraId="4F13E395" w14:textId="77777777" w:rsidR="00647DAC" w:rsidRPr="00702FDF" w:rsidRDefault="00647DAC" w:rsidP="00B07F8E">
      <w:pPr>
        <w:spacing w:line="276" w:lineRule="auto"/>
      </w:pPr>
    </w:p>
    <w:p w14:paraId="4F13E396" w14:textId="77777777" w:rsidR="00552BF8" w:rsidRPr="00702FDF" w:rsidRDefault="00552BF8" w:rsidP="00B07F8E">
      <w:pPr>
        <w:spacing w:line="276" w:lineRule="auto"/>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33413B" w:rsidRPr="00702FDF" w14:paraId="4F13E3A1" w14:textId="77777777" w:rsidTr="00396151">
        <w:tc>
          <w:tcPr>
            <w:tcW w:w="4410" w:type="dxa"/>
            <w:tcBorders>
              <w:top w:val="single" w:sz="6" w:space="0" w:color="FFFFFF"/>
              <w:left w:val="single" w:sz="6" w:space="0" w:color="FFFFFF"/>
              <w:bottom w:val="single" w:sz="6" w:space="0" w:color="000000"/>
              <w:right w:val="single" w:sz="6" w:space="0" w:color="FFFFFF"/>
            </w:tcBorders>
          </w:tcPr>
          <w:p w14:paraId="4F13E397" w14:textId="77777777" w:rsidR="005B2C01" w:rsidRPr="00702FDF" w:rsidRDefault="0033413B" w:rsidP="00B07F8E">
            <w:pPr>
              <w:widowControl w:val="0"/>
              <w:autoSpaceDE w:val="0"/>
              <w:autoSpaceDN w:val="0"/>
              <w:adjustRightInd w:val="0"/>
              <w:spacing w:line="276" w:lineRule="auto"/>
            </w:pPr>
            <w:r w:rsidRPr="00702FDF">
              <w:t>In the Matter of</w:t>
            </w:r>
          </w:p>
          <w:p w14:paraId="4F13E398" w14:textId="77777777" w:rsidR="005B2C01" w:rsidRPr="00702FDF" w:rsidRDefault="005B2C01" w:rsidP="00B07F8E">
            <w:pPr>
              <w:widowControl w:val="0"/>
              <w:autoSpaceDE w:val="0"/>
              <w:autoSpaceDN w:val="0"/>
              <w:adjustRightInd w:val="0"/>
              <w:spacing w:line="276" w:lineRule="auto"/>
            </w:pPr>
          </w:p>
          <w:p w14:paraId="4F13E399" w14:textId="107F091B" w:rsidR="005B2C01" w:rsidRPr="00702FDF" w:rsidRDefault="002B3799" w:rsidP="00B07F8E">
            <w:pPr>
              <w:widowControl w:val="0"/>
              <w:autoSpaceDE w:val="0"/>
              <w:autoSpaceDN w:val="0"/>
              <w:adjustRightInd w:val="0"/>
              <w:spacing w:line="276" w:lineRule="auto"/>
            </w:pPr>
            <w:r>
              <w:t>PUGET SOUND ENERGY</w:t>
            </w:r>
            <w:r w:rsidR="00E36054" w:rsidRPr="00702FDF">
              <w:t>’S</w:t>
            </w:r>
          </w:p>
          <w:p w14:paraId="4F13E39A" w14:textId="77777777" w:rsidR="005B2C01" w:rsidRPr="00702FDF" w:rsidRDefault="005B2C01" w:rsidP="00B07F8E">
            <w:pPr>
              <w:widowControl w:val="0"/>
              <w:autoSpaceDE w:val="0"/>
              <w:autoSpaceDN w:val="0"/>
              <w:adjustRightInd w:val="0"/>
              <w:spacing w:line="276" w:lineRule="auto"/>
            </w:pPr>
          </w:p>
          <w:p w14:paraId="4F13E39B" w14:textId="77777777" w:rsidR="0033413B" w:rsidRPr="00702FDF" w:rsidRDefault="00735A08" w:rsidP="00B07F8E">
            <w:pPr>
              <w:widowControl w:val="0"/>
              <w:autoSpaceDE w:val="0"/>
              <w:autoSpaceDN w:val="0"/>
              <w:adjustRightInd w:val="0"/>
              <w:spacing w:line="276" w:lineRule="auto"/>
            </w:pPr>
            <w:r w:rsidRPr="00702FDF">
              <w:t>Pipe Replacement Program Plan</w:t>
            </w:r>
          </w:p>
        </w:tc>
        <w:tc>
          <w:tcPr>
            <w:tcW w:w="4770" w:type="dxa"/>
            <w:tcBorders>
              <w:top w:val="single" w:sz="6" w:space="0" w:color="FFFFFF"/>
              <w:left w:val="single" w:sz="6" w:space="0" w:color="000000"/>
              <w:bottom w:val="single" w:sz="6" w:space="0" w:color="FFFFFF"/>
              <w:right w:val="single" w:sz="6" w:space="0" w:color="FFFFFF"/>
            </w:tcBorders>
          </w:tcPr>
          <w:p w14:paraId="4F13E39C" w14:textId="77777777" w:rsidR="0033413B" w:rsidRPr="00702FDF" w:rsidRDefault="0033413B" w:rsidP="00B07F8E">
            <w:pPr>
              <w:widowControl w:val="0"/>
              <w:autoSpaceDE w:val="0"/>
              <w:autoSpaceDN w:val="0"/>
              <w:adjustRightInd w:val="0"/>
              <w:spacing w:line="276" w:lineRule="auto"/>
              <w:ind w:firstLine="416"/>
            </w:pPr>
            <w:r w:rsidRPr="00702FDF">
              <w:t xml:space="preserve">DOCKET </w:t>
            </w:r>
            <w:r w:rsidR="00AE6A02" w:rsidRPr="00702FDF">
              <w:t>P</w:t>
            </w:r>
            <w:r w:rsidR="00735A08" w:rsidRPr="00702FDF">
              <w:t>G</w:t>
            </w:r>
            <w:r w:rsidR="005B2C01" w:rsidRPr="00702FDF">
              <w:noBreakHyphen/>
              <w:t>1</w:t>
            </w:r>
            <w:r w:rsidR="00B07F8E" w:rsidRPr="00702FDF">
              <w:t>60294</w:t>
            </w:r>
          </w:p>
          <w:p w14:paraId="4F13E39D" w14:textId="77777777" w:rsidR="0033413B" w:rsidRPr="00702FDF" w:rsidRDefault="0033413B" w:rsidP="00B07F8E">
            <w:pPr>
              <w:widowControl w:val="0"/>
              <w:autoSpaceDE w:val="0"/>
              <w:autoSpaceDN w:val="0"/>
              <w:adjustRightInd w:val="0"/>
              <w:spacing w:line="276" w:lineRule="auto"/>
            </w:pPr>
          </w:p>
          <w:p w14:paraId="4F13E39E" w14:textId="77777777" w:rsidR="0033413B" w:rsidRPr="00702FDF" w:rsidRDefault="0033413B" w:rsidP="00B07F8E">
            <w:pPr>
              <w:widowControl w:val="0"/>
              <w:autoSpaceDE w:val="0"/>
              <w:autoSpaceDN w:val="0"/>
              <w:adjustRightInd w:val="0"/>
              <w:spacing w:line="276" w:lineRule="auto"/>
              <w:ind w:firstLine="418"/>
            </w:pPr>
            <w:r w:rsidRPr="00702FDF">
              <w:t>ORDER 01</w:t>
            </w:r>
          </w:p>
          <w:p w14:paraId="4F13E39F" w14:textId="77777777" w:rsidR="0033413B" w:rsidRPr="00702FDF" w:rsidRDefault="0033413B" w:rsidP="00B07F8E">
            <w:pPr>
              <w:widowControl w:val="0"/>
              <w:autoSpaceDE w:val="0"/>
              <w:autoSpaceDN w:val="0"/>
              <w:adjustRightInd w:val="0"/>
              <w:spacing w:line="276" w:lineRule="auto"/>
              <w:ind w:firstLine="418"/>
            </w:pPr>
          </w:p>
          <w:p w14:paraId="4F13E3A0" w14:textId="47165649" w:rsidR="0033413B" w:rsidRPr="00702FDF" w:rsidRDefault="009577A8" w:rsidP="002B3799">
            <w:pPr>
              <w:widowControl w:val="0"/>
              <w:autoSpaceDE w:val="0"/>
              <w:autoSpaceDN w:val="0"/>
              <w:adjustRightInd w:val="0"/>
              <w:spacing w:line="276" w:lineRule="auto"/>
              <w:ind w:left="418"/>
            </w:pPr>
            <w:r w:rsidRPr="00702FDF">
              <w:t xml:space="preserve">ORDER </w:t>
            </w:r>
            <w:r w:rsidR="00BB27E3" w:rsidRPr="00702FDF">
              <w:t xml:space="preserve">APPROVING </w:t>
            </w:r>
            <w:r w:rsidR="002B3799">
              <w:t>PUGET SOUND ENERGY</w:t>
            </w:r>
            <w:r w:rsidR="00E36054" w:rsidRPr="00702FDF">
              <w:t>’S</w:t>
            </w:r>
            <w:r w:rsidR="00AE6A02" w:rsidRPr="00702FDF">
              <w:t xml:space="preserve"> </w:t>
            </w:r>
            <w:r w:rsidR="00B07F8E" w:rsidRPr="00702FDF">
              <w:t xml:space="preserve">2015-2017 </w:t>
            </w:r>
            <w:r w:rsidR="00735A08" w:rsidRPr="00702FDF">
              <w:t>PIPE REPLACEMENT</w:t>
            </w:r>
            <w:r w:rsidR="00E36054" w:rsidRPr="00702FDF">
              <w:t xml:space="preserve"> PROGRAM</w:t>
            </w:r>
            <w:r w:rsidR="00735A08" w:rsidRPr="00702FDF">
              <w:t xml:space="preserve"> PLAN</w:t>
            </w:r>
          </w:p>
        </w:tc>
      </w:tr>
    </w:tbl>
    <w:p w14:paraId="4F13E3A2" w14:textId="77777777" w:rsidR="00700CDE" w:rsidRPr="00702FDF" w:rsidRDefault="00700CDE" w:rsidP="00B07F8E">
      <w:pPr>
        <w:spacing w:line="276" w:lineRule="auto"/>
      </w:pPr>
    </w:p>
    <w:p w14:paraId="4F13E3A3" w14:textId="77777777" w:rsidR="00762E42" w:rsidRPr="00702FDF" w:rsidRDefault="00762E42" w:rsidP="00B07F8E">
      <w:pPr>
        <w:spacing w:line="276" w:lineRule="auto"/>
      </w:pPr>
    </w:p>
    <w:p w14:paraId="4F13E3A4" w14:textId="77777777" w:rsidR="0064510C" w:rsidRPr="00702FDF" w:rsidRDefault="0064510C" w:rsidP="00B07F8E">
      <w:pPr>
        <w:spacing w:after="240" w:line="276" w:lineRule="auto"/>
        <w:jc w:val="center"/>
        <w:rPr>
          <w:b/>
        </w:rPr>
      </w:pPr>
      <w:r w:rsidRPr="00702FDF">
        <w:rPr>
          <w:b/>
        </w:rPr>
        <w:t>BACKGROUND</w:t>
      </w:r>
    </w:p>
    <w:p w14:paraId="4F13E3A5" w14:textId="77777777" w:rsidR="00B07F8E" w:rsidRPr="00702FDF" w:rsidRDefault="00B07F8E" w:rsidP="00B07F8E">
      <w:pPr>
        <w:numPr>
          <w:ilvl w:val="0"/>
          <w:numId w:val="8"/>
        </w:numPr>
        <w:spacing w:after="240" w:line="276" w:lineRule="auto"/>
        <w:ind w:hanging="720"/>
      </w:pPr>
      <w:r w:rsidRPr="00702FDF">
        <w:t>On December 31, 2012, the Utilities and Transportation Commission (Commission) issued its Policy on Accelerated Replacement of Pipeline Facilities with Elevated Risk (Policy Statement).</w:t>
      </w:r>
      <w:r w:rsidRPr="00702FDF">
        <w:rPr>
          <w:vertAlign w:val="superscript"/>
        </w:rPr>
        <w:footnoteReference w:id="1"/>
      </w:r>
      <w:r w:rsidRPr="00702FDF">
        <w:t xml:space="preserve"> As required by the Policy Statement, each investor-owned gas pipeline utility company filed a Master Plan for replacing pipe that represents an elevated risk of failure in 2013. </w:t>
      </w:r>
    </w:p>
    <w:p w14:paraId="4F13E3A6" w14:textId="77777777" w:rsidR="00B07F8E" w:rsidRPr="00702FDF" w:rsidRDefault="00B07F8E" w:rsidP="00B07F8E">
      <w:pPr>
        <w:numPr>
          <w:ilvl w:val="0"/>
          <w:numId w:val="8"/>
        </w:numPr>
        <w:spacing w:after="240" w:line="276" w:lineRule="auto"/>
        <w:ind w:hanging="720"/>
      </w:pPr>
      <w:r w:rsidRPr="00702FDF">
        <w:t>The Policy Statement also requires each investor-owned gas pipeline utility company to file a plan every two years for replacing pipe that represents an elevated risk of failure, beginning June 1, 2013.</w:t>
      </w:r>
      <w:r w:rsidRPr="00702FDF">
        <w:rPr>
          <w:rStyle w:val="FootnoteReference"/>
        </w:rPr>
        <w:footnoteReference w:id="2"/>
      </w:r>
      <w:r w:rsidRPr="00702FDF">
        <w:t xml:space="preserve"> Each company’s plan must include:</w:t>
      </w:r>
      <w:r w:rsidRPr="00702FDF">
        <w:rPr>
          <w:rStyle w:val="FootnoteReference"/>
        </w:rPr>
        <w:footnoteReference w:id="3"/>
      </w:r>
    </w:p>
    <w:p w14:paraId="4F13E3A7" w14:textId="77777777" w:rsidR="00B07F8E" w:rsidRPr="00702FDF" w:rsidRDefault="00B07F8E" w:rsidP="00B07F8E">
      <w:pPr>
        <w:numPr>
          <w:ilvl w:val="0"/>
          <w:numId w:val="33"/>
        </w:numPr>
        <w:spacing w:after="240" w:line="276" w:lineRule="auto"/>
      </w:pPr>
      <w:r w:rsidRPr="00702FDF">
        <w:t>a Master Plan for replacing all facilities with an elevated risk of failure;</w:t>
      </w:r>
    </w:p>
    <w:p w14:paraId="4F13E3A8" w14:textId="77777777" w:rsidR="00B07F8E" w:rsidRPr="00702FDF" w:rsidRDefault="00B07F8E" w:rsidP="00B07F8E">
      <w:pPr>
        <w:numPr>
          <w:ilvl w:val="0"/>
          <w:numId w:val="33"/>
        </w:numPr>
        <w:spacing w:after="240" w:line="276" w:lineRule="auto"/>
      </w:pPr>
      <w:r w:rsidRPr="00702FDF">
        <w:t>a Two-Year Plan that specifically identifies the pipe replacement program goals for the upcoming two year period; and, if applicable,</w:t>
      </w:r>
    </w:p>
    <w:p w14:paraId="4F13E3A9" w14:textId="77777777" w:rsidR="00B07F8E" w:rsidRDefault="00B07F8E" w:rsidP="00B07F8E">
      <w:pPr>
        <w:numPr>
          <w:ilvl w:val="0"/>
          <w:numId w:val="33"/>
        </w:numPr>
        <w:spacing w:after="240" w:line="276" w:lineRule="auto"/>
      </w:pPr>
      <w:r w:rsidRPr="00702FDF">
        <w:t>a Pipe Location Plan for identifying the location of pipe or facilities that present an elevated risk of failure.</w:t>
      </w:r>
    </w:p>
    <w:p w14:paraId="3818993E" w14:textId="77777777" w:rsidR="002B3799" w:rsidRPr="00702FDF" w:rsidRDefault="002B3799" w:rsidP="002B3799">
      <w:pPr>
        <w:spacing w:after="240" w:line="276" w:lineRule="auto"/>
        <w:ind w:left="720"/>
      </w:pPr>
    </w:p>
    <w:p w14:paraId="09FEE13A" w14:textId="5E656E5F" w:rsidR="00FE7841" w:rsidRPr="00FE7841" w:rsidRDefault="00B07F8E" w:rsidP="00FE7841">
      <w:pPr>
        <w:spacing w:after="240" w:line="288" w:lineRule="auto"/>
      </w:pPr>
      <w:r w:rsidRPr="00702FDF">
        <w:lastRenderedPageBreak/>
        <w:t>Each Plan must also: (1) t</w:t>
      </w:r>
      <w:r w:rsidRPr="00702FDF">
        <w:rPr>
          <w:bCs/>
        </w:rPr>
        <w:t>arget pipe or facilities that pose an elevated risk of failure; (2) be a measured and reasonable response in relation to the elevated risk without unduly burdening ratepayers, and (3) b</w:t>
      </w:r>
      <w:r w:rsidRPr="00702FDF">
        <w:t>e in the public interest.</w:t>
      </w:r>
      <w:r w:rsidRPr="00702FDF">
        <w:rPr>
          <w:rStyle w:val="FootnoteReference"/>
        </w:rPr>
        <w:footnoteReference w:id="4"/>
      </w:r>
      <w:r w:rsidRPr="00702FDF">
        <w:t xml:space="preserve"> </w:t>
      </w:r>
      <w:r w:rsidR="00FE7841" w:rsidRPr="00FE7841">
        <w:t xml:space="preserve">Finally, each </w:t>
      </w:r>
      <w:r w:rsidR="00FE7841">
        <w:t>P</w:t>
      </w:r>
      <w:r w:rsidR="00FE7841" w:rsidRPr="00FE7841">
        <w:t>lan should contain a section analyzing its impact on rates.</w:t>
      </w:r>
      <w:r w:rsidR="00FE7841" w:rsidRPr="00FE7841">
        <w:rPr>
          <w:rStyle w:val="FootnoteReference"/>
        </w:rPr>
        <w:footnoteReference w:id="5"/>
      </w:r>
    </w:p>
    <w:p w14:paraId="4F13E3AA" w14:textId="0E75A32F" w:rsidR="00B07F8E" w:rsidRPr="00FE7841" w:rsidRDefault="00FE7841" w:rsidP="00FE7841">
      <w:pPr>
        <w:numPr>
          <w:ilvl w:val="0"/>
          <w:numId w:val="8"/>
        </w:numPr>
        <w:spacing w:after="240" w:line="288" w:lineRule="auto"/>
        <w:ind w:hanging="720"/>
      </w:pPr>
      <w:r w:rsidRPr="00FE7841">
        <w:t xml:space="preserve">Companies seeking to recover costs must simultaneously file a proposed CRM with their </w:t>
      </w:r>
      <w:r>
        <w:t>P</w:t>
      </w:r>
      <w:r w:rsidRPr="00FE7841">
        <w:t>lan. The CRM must document costs invested to replace elevated-risk pipe, use a normalized accounting treatment, and include an operations and maintenance offset.</w:t>
      </w:r>
      <w:r w:rsidRPr="00FE7841">
        <w:rPr>
          <w:rStyle w:val="FootnoteReference"/>
        </w:rPr>
        <w:footnoteReference w:id="6"/>
      </w:r>
    </w:p>
    <w:p w14:paraId="4F13E3AB" w14:textId="3EF8F866" w:rsidR="00540B7E" w:rsidRPr="00702FDF" w:rsidRDefault="00702FDF" w:rsidP="00CF640C">
      <w:pPr>
        <w:numPr>
          <w:ilvl w:val="0"/>
          <w:numId w:val="8"/>
        </w:numPr>
        <w:spacing w:after="240" w:line="276" w:lineRule="auto"/>
        <w:ind w:hanging="720"/>
      </w:pPr>
      <w:r w:rsidRPr="00702FDF">
        <w:t>O</w:t>
      </w:r>
      <w:r w:rsidR="00BB27E3" w:rsidRPr="00702FDF">
        <w:t xml:space="preserve">n </w:t>
      </w:r>
      <w:r w:rsidR="00B07F8E" w:rsidRPr="00702FDF">
        <w:t>June 1, 2015</w:t>
      </w:r>
      <w:r w:rsidR="00BB27E3" w:rsidRPr="00702FDF">
        <w:t xml:space="preserve">, </w:t>
      </w:r>
      <w:r w:rsidR="003E5CC2" w:rsidRPr="00702FDF">
        <w:t>Puget Sound Energy</w:t>
      </w:r>
      <w:r w:rsidR="00945871" w:rsidRPr="00702FDF">
        <w:t xml:space="preserve"> (</w:t>
      </w:r>
      <w:r w:rsidR="003E5CC2" w:rsidRPr="00702FDF">
        <w:t>PSE</w:t>
      </w:r>
      <w:r w:rsidR="00945871" w:rsidRPr="00702FDF">
        <w:t xml:space="preserve"> or Company)</w:t>
      </w:r>
      <w:r w:rsidR="00EB535E" w:rsidRPr="00702FDF">
        <w:t xml:space="preserve"> </w:t>
      </w:r>
      <w:r w:rsidR="00BB27E3" w:rsidRPr="00702FDF">
        <w:t xml:space="preserve">filed with the Commission </w:t>
      </w:r>
      <w:r w:rsidR="008F2AEB" w:rsidRPr="00702FDF">
        <w:t xml:space="preserve">its </w:t>
      </w:r>
      <w:r w:rsidR="008351BD" w:rsidRPr="00702FDF">
        <w:t>“</w:t>
      </w:r>
      <w:r w:rsidR="003E5CC2" w:rsidRPr="00702FDF">
        <w:t>Pipeline</w:t>
      </w:r>
      <w:r w:rsidR="00974061" w:rsidRPr="00702FDF">
        <w:t xml:space="preserve"> Replacement </w:t>
      </w:r>
      <w:r w:rsidR="003E5CC2" w:rsidRPr="00702FDF">
        <w:t>Program Plan</w:t>
      </w:r>
      <w:r w:rsidR="00B07F8E" w:rsidRPr="00702FDF">
        <w:t>” for 2015 (2015</w:t>
      </w:r>
      <w:r w:rsidR="00974061" w:rsidRPr="00702FDF">
        <w:t xml:space="preserve"> </w:t>
      </w:r>
      <w:r w:rsidR="00B07F8E" w:rsidRPr="00702FDF">
        <w:t>Two-Year</w:t>
      </w:r>
      <w:r w:rsidR="00945871" w:rsidRPr="00702FDF">
        <w:t xml:space="preserve"> Plan)</w:t>
      </w:r>
      <w:r w:rsidR="008351BD" w:rsidRPr="00702FDF">
        <w:t xml:space="preserve">, which </w:t>
      </w:r>
      <w:r w:rsidR="00E742D6">
        <w:t>contains</w:t>
      </w:r>
      <w:r w:rsidR="00980A70" w:rsidRPr="00702FDF">
        <w:t xml:space="preserve"> a Master Plan, a Two-Year Plan, and a Pipe Identification (Location) Plan for each of the components in the replacement program.</w:t>
      </w:r>
      <w:r w:rsidR="00FE7841">
        <w:t xml:space="preserve"> </w:t>
      </w:r>
      <w:r w:rsidR="00FC3DC9">
        <w:t xml:space="preserve">Consistent with </w:t>
      </w:r>
      <w:r w:rsidR="00FE7841" w:rsidRPr="00FE7841">
        <w:t xml:space="preserve">the </w:t>
      </w:r>
      <w:r w:rsidR="00FE7841">
        <w:t>C</w:t>
      </w:r>
      <w:r w:rsidR="00FE7841" w:rsidRPr="00FE7841">
        <w:t xml:space="preserve">ommission’s policy statement, PSE </w:t>
      </w:r>
      <w:r w:rsidR="00FE7841">
        <w:t xml:space="preserve">also </w:t>
      </w:r>
      <w:r w:rsidR="00FE7841" w:rsidRPr="00FE7841">
        <w:t xml:space="preserve">submitted information for </w:t>
      </w:r>
      <w:r w:rsidR="00FE7841">
        <w:t>CRM</w:t>
      </w:r>
      <w:r w:rsidR="00FE7841" w:rsidRPr="00FE7841">
        <w:t xml:space="preserve"> with its plan. </w:t>
      </w:r>
      <w:r w:rsidR="00FB34ED">
        <w:t>Commission staff (Staff)</w:t>
      </w:r>
      <w:r w:rsidR="00FE7841" w:rsidRPr="00FE7841">
        <w:t xml:space="preserve"> will present the CRM in a separate filing in Docket UG-151159.</w:t>
      </w:r>
      <w:r w:rsidR="00FE7841">
        <w:t xml:space="preserve"> </w:t>
      </w:r>
      <w:r w:rsidR="00FE7841" w:rsidRPr="00FE7841">
        <w:t>The effect of the CRM is an increase of $5,331,376</w:t>
      </w:r>
      <w:r w:rsidR="00FE7841">
        <w:t>,</w:t>
      </w:r>
      <w:r w:rsidR="00FE7841" w:rsidRPr="00FE7841">
        <w:t xml:space="preserve"> or an average increase of 0.49</w:t>
      </w:r>
      <w:r w:rsidR="00FE7841">
        <w:t xml:space="preserve"> percent</w:t>
      </w:r>
      <w:r w:rsidR="00FE7841" w:rsidRPr="00FE7841">
        <w:t xml:space="preserve"> for all of PSE’s approximately 793,924 natural gas customers</w:t>
      </w:r>
      <w:r w:rsidR="00FB34ED">
        <w:t>. </w:t>
      </w:r>
      <w:r w:rsidR="00FE7841" w:rsidRPr="00FE7841">
        <w:t>The impact of this filing on the typical residential customer using 68 therms per month will be an increase of $0.39 on the current monthly bill of $81.25.</w:t>
      </w:r>
    </w:p>
    <w:p w14:paraId="4F13E3AC" w14:textId="77777777" w:rsidR="00980A70" w:rsidRDefault="00980A70" w:rsidP="00A425E0">
      <w:pPr>
        <w:numPr>
          <w:ilvl w:val="0"/>
          <w:numId w:val="8"/>
        </w:numPr>
        <w:spacing w:line="264" w:lineRule="auto"/>
        <w:ind w:hanging="720"/>
        <w:rPr>
          <w:bCs/>
        </w:rPr>
      </w:pPr>
      <w:r w:rsidRPr="00702FDF">
        <w:rPr>
          <w:bCs/>
        </w:rPr>
        <w:t>PSE operates the largest natural gas distribution system in Washington</w:t>
      </w:r>
      <w:r w:rsidR="00771354">
        <w:rPr>
          <w:bCs/>
        </w:rPr>
        <w:t xml:space="preserve"> with a</w:t>
      </w:r>
      <w:r w:rsidRPr="00702FDF">
        <w:rPr>
          <w:bCs/>
        </w:rPr>
        <w:t xml:space="preserve"> large and varied service territory and a variety of different pipeline materials. PSE’s </w:t>
      </w:r>
      <w:r w:rsidR="00771354" w:rsidRPr="00702FDF">
        <w:t>2015 Two-Year</w:t>
      </w:r>
      <w:r w:rsidR="00771354">
        <w:t xml:space="preserve"> Plan</w:t>
      </w:r>
      <w:r w:rsidRPr="00702FDF" w:rsidDel="00A86CDF">
        <w:rPr>
          <w:bCs/>
        </w:rPr>
        <w:t xml:space="preserve"> </w:t>
      </w:r>
      <w:r w:rsidRPr="00702FDF">
        <w:rPr>
          <w:bCs/>
        </w:rPr>
        <w:t>indicates that</w:t>
      </w:r>
      <w:r w:rsidR="00771354">
        <w:rPr>
          <w:bCs/>
        </w:rPr>
        <w:t xml:space="preserve"> it owns s</w:t>
      </w:r>
      <w:r w:rsidRPr="00702FDF">
        <w:rPr>
          <w:bCs/>
        </w:rPr>
        <w:t xml:space="preserve">everal types of facilities </w:t>
      </w:r>
      <w:r w:rsidR="00771354">
        <w:rPr>
          <w:bCs/>
        </w:rPr>
        <w:t xml:space="preserve">that have an elevated risk of failure, which the Company </w:t>
      </w:r>
      <w:r w:rsidRPr="00702FDF">
        <w:rPr>
          <w:bCs/>
        </w:rPr>
        <w:t xml:space="preserve">is addressing through various replacement plans. Some of these replacement plans are the result of settlement agreements between PSE and the </w:t>
      </w:r>
      <w:r w:rsidR="00771354">
        <w:rPr>
          <w:bCs/>
        </w:rPr>
        <w:t>C</w:t>
      </w:r>
      <w:r w:rsidRPr="00702FDF">
        <w:rPr>
          <w:bCs/>
        </w:rPr>
        <w:t>ommission</w:t>
      </w:r>
      <w:r w:rsidR="00771354">
        <w:rPr>
          <w:bCs/>
        </w:rPr>
        <w:t>,</w:t>
      </w:r>
      <w:r w:rsidRPr="00702FDF">
        <w:rPr>
          <w:bCs/>
        </w:rPr>
        <w:t xml:space="preserve"> and some are voluntary. In 2011</w:t>
      </w:r>
      <w:r w:rsidR="00771354">
        <w:rPr>
          <w:bCs/>
        </w:rPr>
        <w:t xml:space="preserve">, PSE identified cross </w:t>
      </w:r>
      <w:r w:rsidRPr="00702FDF">
        <w:rPr>
          <w:bCs/>
        </w:rPr>
        <w:t xml:space="preserve">bores as a top risk in the Distribution Integrity Management Program </w:t>
      </w:r>
      <w:r w:rsidR="00771354">
        <w:rPr>
          <w:bCs/>
        </w:rPr>
        <w:t xml:space="preserve">(DIMP) due to their quantity, </w:t>
      </w:r>
      <w:r w:rsidRPr="00702FDF">
        <w:rPr>
          <w:bCs/>
        </w:rPr>
        <w:t xml:space="preserve">the risk of failure, and </w:t>
      </w:r>
      <w:r w:rsidR="00771354">
        <w:rPr>
          <w:bCs/>
        </w:rPr>
        <w:t xml:space="preserve">the potential </w:t>
      </w:r>
      <w:r w:rsidRPr="00702FDF">
        <w:rPr>
          <w:bCs/>
        </w:rPr>
        <w:t>magnitude of consequence</w:t>
      </w:r>
      <w:r w:rsidR="00771354">
        <w:rPr>
          <w:bCs/>
        </w:rPr>
        <w:t>s</w:t>
      </w:r>
      <w:r w:rsidRPr="00702FDF">
        <w:rPr>
          <w:bCs/>
        </w:rPr>
        <w:t>.</w:t>
      </w:r>
      <w:r w:rsidR="00771354">
        <w:rPr>
          <w:rStyle w:val="FootnoteReference"/>
          <w:bCs/>
        </w:rPr>
        <w:footnoteReference w:id="7"/>
      </w:r>
      <w:r w:rsidRPr="00702FDF">
        <w:rPr>
          <w:bCs/>
        </w:rPr>
        <w:t xml:space="preserve"> </w:t>
      </w:r>
      <w:r w:rsidRPr="00702FDF">
        <w:rPr>
          <w:bCs/>
        </w:rPr>
        <w:br/>
      </w:r>
    </w:p>
    <w:p w14:paraId="59BCCEAB" w14:textId="77777777" w:rsidR="002B3799" w:rsidRDefault="002B3799" w:rsidP="002B3799">
      <w:pPr>
        <w:spacing w:line="264" w:lineRule="auto"/>
        <w:rPr>
          <w:bCs/>
        </w:rPr>
      </w:pPr>
    </w:p>
    <w:p w14:paraId="05E0C6DA" w14:textId="77777777" w:rsidR="002B3799" w:rsidRDefault="002B3799" w:rsidP="002B3799">
      <w:pPr>
        <w:spacing w:line="264" w:lineRule="auto"/>
        <w:rPr>
          <w:bCs/>
        </w:rPr>
      </w:pPr>
    </w:p>
    <w:p w14:paraId="1B39457B" w14:textId="77777777" w:rsidR="002B3799" w:rsidRPr="00702FDF" w:rsidRDefault="002B3799" w:rsidP="002B3799">
      <w:pPr>
        <w:spacing w:line="264" w:lineRule="auto"/>
        <w:rPr>
          <w:bCs/>
        </w:rPr>
      </w:pPr>
    </w:p>
    <w:p w14:paraId="4F13E3AD" w14:textId="77777777" w:rsidR="00980A70" w:rsidRPr="00702FDF" w:rsidRDefault="00980A70" w:rsidP="00A425E0">
      <w:pPr>
        <w:numPr>
          <w:ilvl w:val="0"/>
          <w:numId w:val="8"/>
        </w:numPr>
        <w:spacing w:line="264" w:lineRule="auto"/>
        <w:ind w:hanging="720"/>
        <w:rPr>
          <w:bCs/>
        </w:rPr>
      </w:pPr>
      <w:r w:rsidRPr="00702FDF">
        <w:rPr>
          <w:bCs/>
        </w:rPr>
        <w:lastRenderedPageBreak/>
        <w:t>PSE’s plan addresses the following types of facilities that have an elevated risk of failure in Washington:</w:t>
      </w:r>
    </w:p>
    <w:p w14:paraId="4F13E3AE" w14:textId="77777777" w:rsidR="00980A70" w:rsidRPr="00702FDF" w:rsidRDefault="00980A70" w:rsidP="00980A70">
      <w:pPr>
        <w:spacing w:line="264" w:lineRule="auto"/>
        <w:rPr>
          <w:bCs/>
        </w:rPr>
      </w:pPr>
    </w:p>
    <w:p w14:paraId="4F13E3AF" w14:textId="77777777" w:rsidR="00980A70" w:rsidRPr="00702FDF" w:rsidRDefault="00980A70" w:rsidP="00980A70">
      <w:pPr>
        <w:pStyle w:val="ListParagraph"/>
        <w:numPr>
          <w:ilvl w:val="0"/>
          <w:numId w:val="34"/>
        </w:numPr>
        <w:spacing w:line="264" w:lineRule="auto"/>
        <w:rPr>
          <w:rFonts w:ascii="Times New Roman" w:eastAsia="Times New Roman" w:hAnsi="Times New Roman"/>
          <w:bCs/>
          <w:sz w:val="24"/>
          <w:szCs w:val="24"/>
        </w:rPr>
      </w:pPr>
      <w:r w:rsidRPr="00702FDF">
        <w:rPr>
          <w:rFonts w:ascii="Times New Roman" w:eastAsia="Times New Roman" w:hAnsi="Times New Roman"/>
          <w:bCs/>
          <w:sz w:val="24"/>
          <w:szCs w:val="24"/>
        </w:rPr>
        <w:t xml:space="preserve">Larger diameter ( </w:t>
      </w:r>
      <w:r w:rsidRPr="00702FDF">
        <w:rPr>
          <w:rFonts w:ascii="Times New Roman" w:eastAsia="Times New Roman" w:hAnsi="Times New Roman"/>
          <w:bCs/>
          <w:sz w:val="24"/>
          <w:szCs w:val="24"/>
          <w:u w:val="single"/>
        </w:rPr>
        <w:t xml:space="preserve">&gt; </w:t>
      </w:r>
      <w:r w:rsidRPr="00702FDF">
        <w:rPr>
          <w:rFonts w:ascii="Times New Roman" w:eastAsia="Times New Roman" w:hAnsi="Times New Roman"/>
          <w:bCs/>
          <w:sz w:val="24"/>
          <w:szCs w:val="24"/>
        </w:rPr>
        <w:t>1-1/4”) Aldyl “HD” polyethylene pipe.</w:t>
      </w:r>
      <w:r w:rsidRPr="00702FDF">
        <w:rPr>
          <w:rStyle w:val="FootnoteReference"/>
          <w:rFonts w:ascii="Times New Roman" w:eastAsia="Times New Roman" w:hAnsi="Times New Roman"/>
          <w:bCs/>
          <w:sz w:val="24"/>
          <w:szCs w:val="24"/>
        </w:rPr>
        <w:footnoteReference w:id="8"/>
      </w:r>
    </w:p>
    <w:p w14:paraId="4F13E3B0" w14:textId="77777777" w:rsidR="00980A70" w:rsidRPr="00702FDF" w:rsidRDefault="00980A70" w:rsidP="00980A70">
      <w:pPr>
        <w:pStyle w:val="ListParagraph"/>
        <w:numPr>
          <w:ilvl w:val="0"/>
          <w:numId w:val="34"/>
        </w:numPr>
        <w:spacing w:line="264" w:lineRule="auto"/>
        <w:rPr>
          <w:rFonts w:ascii="Times New Roman" w:eastAsia="Times New Roman" w:hAnsi="Times New Roman"/>
          <w:bCs/>
          <w:sz w:val="24"/>
          <w:szCs w:val="24"/>
        </w:rPr>
      </w:pPr>
      <w:r w:rsidRPr="00702FDF">
        <w:rPr>
          <w:rFonts w:ascii="Times New Roman" w:eastAsia="Times New Roman" w:hAnsi="Times New Roman"/>
          <w:bCs/>
          <w:sz w:val="24"/>
          <w:szCs w:val="24"/>
        </w:rPr>
        <w:t>Older vintage Steel Wrapped Mains</w:t>
      </w:r>
      <w:r w:rsidRPr="00702FDF">
        <w:rPr>
          <w:rStyle w:val="FootnoteReference"/>
          <w:rFonts w:ascii="Times New Roman" w:eastAsia="Times New Roman" w:hAnsi="Times New Roman"/>
          <w:bCs/>
          <w:sz w:val="24"/>
          <w:szCs w:val="24"/>
        </w:rPr>
        <w:footnoteReference w:id="9"/>
      </w:r>
    </w:p>
    <w:p w14:paraId="4F13E3B1" w14:textId="77777777" w:rsidR="00980A70" w:rsidRPr="00702FDF" w:rsidRDefault="00980A70" w:rsidP="00980A70">
      <w:pPr>
        <w:pStyle w:val="ListParagraph"/>
        <w:numPr>
          <w:ilvl w:val="0"/>
          <w:numId w:val="34"/>
        </w:numPr>
        <w:spacing w:line="264" w:lineRule="auto"/>
        <w:rPr>
          <w:rFonts w:ascii="Times New Roman" w:eastAsia="Times New Roman" w:hAnsi="Times New Roman"/>
          <w:bCs/>
          <w:sz w:val="24"/>
          <w:szCs w:val="24"/>
        </w:rPr>
      </w:pPr>
      <w:r w:rsidRPr="00702FDF">
        <w:rPr>
          <w:rFonts w:ascii="Times New Roman" w:eastAsia="Times New Roman" w:hAnsi="Times New Roman"/>
          <w:bCs/>
          <w:sz w:val="24"/>
          <w:szCs w:val="24"/>
        </w:rPr>
        <w:t>Older vintage Steel Wrapped Services</w:t>
      </w:r>
      <w:r w:rsidRPr="00702FDF">
        <w:rPr>
          <w:rStyle w:val="FootnoteReference"/>
          <w:rFonts w:ascii="Times New Roman" w:eastAsia="Times New Roman" w:hAnsi="Times New Roman"/>
          <w:bCs/>
          <w:sz w:val="24"/>
          <w:szCs w:val="24"/>
        </w:rPr>
        <w:footnoteReference w:id="10"/>
      </w:r>
    </w:p>
    <w:p w14:paraId="4F13E3B2" w14:textId="77777777" w:rsidR="00980A70" w:rsidRPr="00702FDF" w:rsidRDefault="00980A70" w:rsidP="00980A70">
      <w:pPr>
        <w:pStyle w:val="ListParagraph"/>
        <w:numPr>
          <w:ilvl w:val="0"/>
          <w:numId w:val="34"/>
        </w:numPr>
        <w:spacing w:line="264" w:lineRule="auto"/>
        <w:rPr>
          <w:rFonts w:ascii="Times New Roman" w:eastAsia="Times New Roman" w:hAnsi="Times New Roman"/>
          <w:bCs/>
          <w:sz w:val="24"/>
          <w:szCs w:val="24"/>
        </w:rPr>
      </w:pPr>
      <w:r w:rsidRPr="00702FDF">
        <w:rPr>
          <w:rFonts w:ascii="Times New Roman" w:eastAsia="Times New Roman" w:hAnsi="Times New Roman"/>
          <w:bCs/>
          <w:sz w:val="24"/>
          <w:szCs w:val="24"/>
        </w:rPr>
        <w:t>Sewer Cross Bore Replacement Plan</w:t>
      </w:r>
      <w:r w:rsidRPr="00702FDF">
        <w:rPr>
          <w:rFonts w:ascii="Times New Roman" w:eastAsia="Times New Roman" w:hAnsi="Times New Roman"/>
          <w:bCs/>
          <w:sz w:val="24"/>
          <w:szCs w:val="24"/>
          <w:vertAlign w:val="superscript"/>
        </w:rPr>
        <w:footnoteReference w:id="11"/>
      </w:r>
    </w:p>
    <w:p w14:paraId="4F13E3B3" w14:textId="77777777" w:rsidR="00980A70" w:rsidRPr="00702FDF" w:rsidRDefault="00980A70" w:rsidP="00980A70">
      <w:pPr>
        <w:spacing w:line="264" w:lineRule="auto"/>
        <w:rPr>
          <w:b/>
          <w:bCs/>
        </w:rPr>
      </w:pPr>
    </w:p>
    <w:p w14:paraId="4F13E3B4" w14:textId="77777777" w:rsidR="00980A70" w:rsidRPr="00702FDF" w:rsidRDefault="00980A70" w:rsidP="00980A70">
      <w:pPr>
        <w:spacing w:line="264" w:lineRule="auto"/>
        <w:rPr>
          <w:bCs/>
        </w:rPr>
      </w:pPr>
      <w:r w:rsidRPr="00702FDF">
        <w:rPr>
          <w:bCs/>
        </w:rPr>
        <w:t>PSE implemented a Pipe Identification Plan in 2013 designed to locate older Aldyl “HD” (Aldyl) polyethylene</w:t>
      </w:r>
      <w:r w:rsidR="00771354">
        <w:rPr>
          <w:bCs/>
        </w:rPr>
        <w:t xml:space="preserve"> (PE)</w:t>
      </w:r>
      <w:r w:rsidRPr="00702FDF">
        <w:rPr>
          <w:bCs/>
        </w:rPr>
        <w:t xml:space="preserve"> pipe. </w:t>
      </w:r>
      <w:r w:rsidR="00771354">
        <w:rPr>
          <w:bCs/>
        </w:rPr>
        <w:t>PE</w:t>
      </w:r>
      <w:r w:rsidRPr="00702FDF">
        <w:rPr>
          <w:bCs/>
        </w:rPr>
        <w:t xml:space="preserve"> pipe is prone to what is called “brittle-like cracking” </w:t>
      </w:r>
      <w:r w:rsidR="00771354">
        <w:rPr>
          <w:bCs/>
        </w:rPr>
        <w:t>due to slow crack growth</w:t>
      </w:r>
      <w:r w:rsidRPr="00702FDF">
        <w:rPr>
          <w:bCs/>
        </w:rPr>
        <w:t xml:space="preserve"> and failure resulting from secondary loads such as rock impingement or squeeze-off.</w:t>
      </w:r>
      <w:r w:rsidRPr="00702FDF">
        <w:rPr>
          <w:bCs/>
          <w:vertAlign w:val="superscript"/>
        </w:rPr>
        <w:footnoteReference w:id="12"/>
      </w:r>
      <w:r w:rsidRPr="00702FDF">
        <w:rPr>
          <w:bCs/>
        </w:rPr>
        <w:t xml:space="preserve"> The 2013 PRP Plan calls for PSE to identify PE pipe during routine operations and maintenance activities and through approximately 5,000 targeted excavations</w:t>
      </w:r>
      <w:r w:rsidR="00771354">
        <w:rPr>
          <w:bCs/>
        </w:rPr>
        <w:t>,</w:t>
      </w:r>
      <w:r w:rsidRPr="00702FDF">
        <w:rPr>
          <w:bCs/>
        </w:rPr>
        <w:t xml:space="preserve"> which PSE plans to complete by the end of 2016.</w:t>
      </w:r>
      <w:r w:rsidRPr="00702FDF">
        <w:rPr>
          <w:bCs/>
          <w:vertAlign w:val="superscript"/>
        </w:rPr>
        <w:footnoteReference w:id="13"/>
      </w:r>
      <w:r w:rsidRPr="00702FDF">
        <w:rPr>
          <w:bCs/>
        </w:rPr>
        <w:t xml:space="preserve"> </w:t>
      </w:r>
      <w:r w:rsidR="00771354">
        <w:rPr>
          <w:bCs/>
        </w:rPr>
        <w:t>In PSE’s 2015 Two-Year</w:t>
      </w:r>
      <w:r w:rsidRPr="00702FDF">
        <w:rPr>
          <w:bCs/>
        </w:rPr>
        <w:t xml:space="preserve"> </w:t>
      </w:r>
      <w:r w:rsidR="00771354">
        <w:rPr>
          <w:bCs/>
        </w:rPr>
        <w:t>Plan, PSE indicates that it</w:t>
      </w:r>
      <w:r w:rsidRPr="00702FDF">
        <w:rPr>
          <w:bCs/>
        </w:rPr>
        <w:t xml:space="preserve"> prioritize</w:t>
      </w:r>
      <w:r w:rsidR="00771354">
        <w:rPr>
          <w:bCs/>
        </w:rPr>
        <w:t>s</w:t>
      </w:r>
      <w:r w:rsidRPr="00702FDF">
        <w:rPr>
          <w:bCs/>
        </w:rPr>
        <w:t xml:space="preserve"> performing targeted excavations in areas where pa</w:t>
      </w:r>
      <w:r w:rsidR="00E742D6">
        <w:rPr>
          <w:bCs/>
        </w:rPr>
        <w:t xml:space="preserve">ving improvements are </w:t>
      </w:r>
      <w:r w:rsidRPr="00702FDF">
        <w:rPr>
          <w:bCs/>
        </w:rPr>
        <w:t xml:space="preserve">occurring, but paving moratoriums and changes in the number of targeted excavations required could </w:t>
      </w:r>
      <w:r w:rsidR="00E742D6">
        <w:rPr>
          <w:bCs/>
        </w:rPr>
        <w:t>affect</w:t>
      </w:r>
      <w:r w:rsidRPr="00702FDF">
        <w:rPr>
          <w:bCs/>
        </w:rPr>
        <w:t xml:space="preserve"> the schedule. For the older vintage wrapped steel mains and services, PSE is utilizing data integration through the use of Geographic Information Systems (GIS) for identification and tracking of these assets.</w:t>
      </w:r>
    </w:p>
    <w:p w14:paraId="4F13E3B5" w14:textId="77777777" w:rsidR="00980A70" w:rsidRPr="00702FDF" w:rsidRDefault="00980A70" w:rsidP="00980A70">
      <w:pPr>
        <w:spacing w:line="264" w:lineRule="auto"/>
        <w:rPr>
          <w:bCs/>
        </w:rPr>
      </w:pPr>
    </w:p>
    <w:p w14:paraId="4F13E3B6" w14:textId="4494B630" w:rsidR="00771354" w:rsidRPr="00702FDF" w:rsidRDefault="00866D4D" w:rsidP="00A425E0">
      <w:pPr>
        <w:numPr>
          <w:ilvl w:val="0"/>
          <w:numId w:val="8"/>
        </w:numPr>
        <w:spacing w:after="240" w:line="276" w:lineRule="auto"/>
        <w:ind w:hanging="720"/>
      </w:pPr>
      <w:r>
        <w:t>Staff</w:t>
      </w:r>
      <w:r w:rsidR="000A3298" w:rsidRPr="00702FDF">
        <w:t xml:space="preserve"> reviewed the Company’s </w:t>
      </w:r>
      <w:r w:rsidR="00AC6B5C" w:rsidRPr="00702FDF">
        <w:t>filing</w:t>
      </w:r>
      <w:r w:rsidR="000A3298" w:rsidRPr="00702FDF">
        <w:t xml:space="preserve"> and concluded </w:t>
      </w:r>
      <w:r w:rsidR="00771354">
        <w:t xml:space="preserve">that </w:t>
      </w:r>
      <w:r w:rsidR="00771354" w:rsidRPr="00702FDF">
        <w:t xml:space="preserve">PSE’s </w:t>
      </w:r>
      <w:r w:rsidR="00771354">
        <w:t>2015 Two-Year P</w:t>
      </w:r>
      <w:r w:rsidR="00771354" w:rsidRPr="00702FDF">
        <w:t xml:space="preserve">lan, analyzed in conjunction with PSE’s DIMP, is a measured and reasonable response in relation to the elevated risks </w:t>
      </w:r>
      <w:r w:rsidR="00771354">
        <w:t xml:space="preserve">it </w:t>
      </w:r>
      <w:r w:rsidR="00771354" w:rsidRPr="00702FDF">
        <w:t xml:space="preserve">identified. PSE’s </w:t>
      </w:r>
      <w:r w:rsidR="00771354">
        <w:t>Two-Year P</w:t>
      </w:r>
      <w:r w:rsidR="00771354" w:rsidRPr="00702FDF">
        <w:t xml:space="preserve">lan adequately addresses facilities with an elevated risk of failure. Staff </w:t>
      </w:r>
      <w:r w:rsidR="00771354">
        <w:t xml:space="preserve">previos audit of PSE’s DIMP  </w:t>
      </w:r>
      <w:r w:rsidR="00771354" w:rsidRPr="00702FDF">
        <w:t xml:space="preserve">found that it addresses all known threats and implements accelerated actions </w:t>
      </w:r>
      <w:r w:rsidR="00771354">
        <w:t>to address them.</w:t>
      </w:r>
    </w:p>
    <w:p w14:paraId="4F13E3B7" w14:textId="77777777" w:rsidR="00D55A78" w:rsidRPr="00702FDF" w:rsidRDefault="00980A70" w:rsidP="00F74F32">
      <w:pPr>
        <w:numPr>
          <w:ilvl w:val="0"/>
          <w:numId w:val="8"/>
        </w:numPr>
        <w:spacing w:after="240" w:line="276" w:lineRule="auto"/>
        <w:ind w:hanging="720"/>
      </w:pPr>
      <w:r w:rsidRPr="00771354">
        <w:rPr>
          <w:bCs/>
        </w:rPr>
        <w:lastRenderedPageBreak/>
        <w:t>Staff is satisfied that the analysis presented by PSE is consistent with the Commission Policy, and adequately addresses all known elevated risk pipeline facilities in Washington.</w:t>
      </w:r>
      <w:r w:rsidRPr="00702FDF">
        <w:t xml:space="preserve"> </w:t>
      </w:r>
      <w:r w:rsidRPr="00771354">
        <w:rPr>
          <w:bCs/>
        </w:rPr>
        <w:t>The current 2015-2017 Two-Year Plan is updated to reflect newly added projects and completed projects since the initial 2013-2015 Two-Year Plan.</w:t>
      </w:r>
      <w:r w:rsidRPr="00702FDF">
        <w:t xml:space="preserve"> </w:t>
      </w:r>
      <w:r w:rsidR="00D55A78" w:rsidRPr="00702FDF">
        <w:t xml:space="preserve">Staff </w:t>
      </w:r>
      <w:r w:rsidR="00A754BB" w:rsidRPr="00702FDF">
        <w:t xml:space="preserve">recommends that the Commission approve </w:t>
      </w:r>
      <w:r w:rsidR="003E5CC2" w:rsidRPr="00702FDF">
        <w:t>PSE</w:t>
      </w:r>
      <w:r w:rsidR="00A754BB" w:rsidRPr="00702FDF">
        <w:t xml:space="preserve">’s </w:t>
      </w:r>
      <w:r w:rsidR="00771354">
        <w:t>2015 Two-year</w:t>
      </w:r>
      <w:r w:rsidR="0023636F" w:rsidRPr="00702FDF">
        <w:t xml:space="preserve"> Plan</w:t>
      </w:r>
      <w:r w:rsidR="00AC6B5C" w:rsidRPr="00702FDF">
        <w:t>.</w:t>
      </w:r>
    </w:p>
    <w:p w14:paraId="4F13E3B8" w14:textId="77777777" w:rsidR="00B46CA6" w:rsidRPr="00702FDF" w:rsidRDefault="00B46CA6" w:rsidP="00B07F8E">
      <w:pPr>
        <w:spacing w:after="240" w:line="276" w:lineRule="auto"/>
        <w:jc w:val="center"/>
        <w:rPr>
          <w:b/>
        </w:rPr>
      </w:pPr>
      <w:r w:rsidRPr="00702FDF">
        <w:rPr>
          <w:b/>
        </w:rPr>
        <w:t>DISCUSSION</w:t>
      </w:r>
    </w:p>
    <w:p w14:paraId="4F13E3B9" w14:textId="77777777" w:rsidR="00771354" w:rsidRDefault="00771354" w:rsidP="00771354">
      <w:pPr>
        <w:numPr>
          <w:ilvl w:val="0"/>
          <w:numId w:val="8"/>
        </w:numPr>
        <w:spacing w:after="240" w:line="288" w:lineRule="auto"/>
        <w:ind w:hanging="720"/>
      </w:pPr>
      <w:r>
        <w:t xml:space="preserve">The Commission approves PSE’s 2015 Two-Year Plan. The Company is taking measured and reasonable action to remediate elevated risk pipeline facilities according to its Master Plan. The Company’s 2015 Two-Year Plan has been updated to reflect newly added projects and completed projects since the replacement program was initiated. </w:t>
      </w:r>
    </w:p>
    <w:p w14:paraId="4F13E3BA" w14:textId="77777777" w:rsidR="001372A6" w:rsidRPr="00702FDF" w:rsidRDefault="00E45127" w:rsidP="00BC2273">
      <w:pPr>
        <w:numPr>
          <w:ilvl w:val="0"/>
          <w:numId w:val="8"/>
        </w:numPr>
        <w:spacing w:after="240" w:line="276" w:lineRule="auto"/>
        <w:ind w:hanging="720"/>
      </w:pPr>
      <w:r w:rsidRPr="00702FDF">
        <w:t xml:space="preserve">We agree with Staff that the Company’s </w:t>
      </w:r>
      <w:r w:rsidR="00980A70" w:rsidRPr="00702FDF">
        <w:t>2015</w:t>
      </w:r>
      <w:r w:rsidR="00AC6B5C" w:rsidRPr="00702FDF">
        <w:t xml:space="preserve"> </w:t>
      </w:r>
      <w:r w:rsidR="00980A70" w:rsidRPr="00702FDF">
        <w:t>Two-Year</w:t>
      </w:r>
      <w:r w:rsidR="00AC6B5C" w:rsidRPr="00702FDF">
        <w:t xml:space="preserve"> Plan </w:t>
      </w:r>
      <w:r w:rsidR="00447519" w:rsidRPr="00702FDF">
        <w:t>is</w:t>
      </w:r>
      <w:r w:rsidR="00AC6B5C" w:rsidRPr="00702FDF">
        <w:t xml:space="preserve"> </w:t>
      </w:r>
      <w:r w:rsidRPr="00702FDF">
        <w:t>consist</w:t>
      </w:r>
      <w:r w:rsidR="00980A70" w:rsidRPr="00702FDF">
        <w:t xml:space="preserve">ent with our Policy Statement. </w:t>
      </w:r>
      <w:r w:rsidRPr="00702FDF">
        <w:t xml:space="preserve">The Commission commends </w:t>
      </w:r>
      <w:r w:rsidR="003E5CC2" w:rsidRPr="00702FDF">
        <w:t>PSE</w:t>
      </w:r>
      <w:r w:rsidRPr="00702FDF">
        <w:t xml:space="preserve"> for </w:t>
      </w:r>
      <w:r w:rsidR="005A4BE8" w:rsidRPr="00702FDF">
        <w:t>continuing its</w:t>
      </w:r>
      <w:r w:rsidRPr="00702FDF">
        <w:t xml:space="preserve"> proactive approach to identifying elevated risk facilities and implementing a</w:t>
      </w:r>
      <w:r w:rsidR="00447519" w:rsidRPr="00702FDF">
        <w:t>n effective but economical</w:t>
      </w:r>
      <w:r w:rsidRPr="00702FDF">
        <w:t xml:space="preserve"> </w:t>
      </w:r>
      <w:r w:rsidR="00447519" w:rsidRPr="00702FDF">
        <w:t>replacement program.</w:t>
      </w:r>
    </w:p>
    <w:p w14:paraId="4F13E3BB" w14:textId="77777777" w:rsidR="00B53F59" w:rsidRPr="00702FDF" w:rsidRDefault="009D1834" w:rsidP="00B07F8E">
      <w:pPr>
        <w:spacing w:after="240" w:line="276" w:lineRule="auto"/>
        <w:jc w:val="center"/>
        <w:rPr>
          <w:b/>
        </w:rPr>
      </w:pPr>
      <w:r w:rsidRPr="00702FDF">
        <w:rPr>
          <w:b/>
        </w:rPr>
        <w:t>FINDINGS AND CONCLUSIONS</w:t>
      </w:r>
    </w:p>
    <w:p w14:paraId="4F13E3BC" w14:textId="77777777" w:rsidR="004601D2" w:rsidRPr="00702FDF" w:rsidRDefault="004601D2" w:rsidP="00B07F8E">
      <w:pPr>
        <w:numPr>
          <w:ilvl w:val="0"/>
          <w:numId w:val="8"/>
        </w:numPr>
        <w:spacing w:after="240" w:line="276" w:lineRule="auto"/>
        <w:ind w:left="720" w:hanging="1440"/>
      </w:pPr>
      <w:r w:rsidRPr="00702FDF">
        <w:t>(1)</w:t>
      </w:r>
      <w:r w:rsidRPr="00702FDF">
        <w:tab/>
        <w:t xml:space="preserve">The Washington Utilities and Transportation Commission is an agency of the state of Washington vested by statute with the authority to regulate the rates, rules, regulations, </w:t>
      </w:r>
      <w:r w:rsidR="00A61699" w:rsidRPr="00702FDF">
        <w:t xml:space="preserve">and </w:t>
      </w:r>
      <w:r w:rsidRPr="00702FDF">
        <w:t xml:space="preserve">practices of public service companies, including </w:t>
      </w:r>
      <w:r w:rsidR="00C5295C" w:rsidRPr="00702FDF">
        <w:t>natural gas companies</w:t>
      </w:r>
      <w:r w:rsidR="00D577EA" w:rsidRPr="00702FDF">
        <w:t>.</w:t>
      </w:r>
    </w:p>
    <w:p w14:paraId="4F13E3BD" w14:textId="77777777" w:rsidR="00A634F2" w:rsidRPr="00702FDF" w:rsidRDefault="00D577EA" w:rsidP="00B07F8E">
      <w:pPr>
        <w:numPr>
          <w:ilvl w:val="0"/>
          <w:numId w:val="8"/>
        </w:numPr>
        <w:spacing w:after="240" w:line="276" w:lineRule="auto"/>
        <w:ind w:left="720" w:hanging="1440"/>
      </w:pPr>
      <w:r w:rsidRPr="00702FDF">
        <w:t>(2)</w:t>
      </w:r>
      <w:r w:rsidRPr="00702FDF">
        <w:tab/>
      </w:r>
      <w:r w:rsidR="00980A70" w:rsidRPr="00702FDF">
        <w:t>PSE</w:t>
      </w:r>
      <w:r w:rsidR="00A61699" w:rsidRPr="00702FDF">
        <w:t xml:space="preserve"> </w:t>
      </w:r>
      <w:r w:rsidR="001372A6" w:rsidRPr="00702FDF">
        <w:t>is a natural gas</w:t>
      </w:r>
      <w:r w:rsidRPr="00702FDF">
        <w:t xml:space="preserve"> company and a public service company subject to Commission jurisdiction.</w:t>
      </w:r>
    </w:p>
    <w:p w14:paraId="4F13E3BE" w14:textId="77777777" w:rsidR="00D577EA" w:rsidRPr="00702FDF" w:rsidRDefault="00A634F2" w:rsidP="00B07F8E">
      <w:pPr>
        <w:numPr>
          <w:ilvl w:val="0"/>
          <w:numId w:val="8"/>
        </w:numPr>
        <w:spacing w:after="240" w:line="276" w:lineRule="auto"/>
        <w:ind w:left="720" w:hanging="1440"/>
      </w:pPr>
      <w:r w:rsidRPr="00702FDF">
        <w:t>(3)</w:t>
      </w:r>
      <w:r w:rsidRPr="00702FDF">
        <w:tab/>
      </w:r>
      <w:r w:rsidR="00980A70" w:rsidRPr="00702FDF">
        <w:t>PSE</w:t>
      </w:r>
      <w:r w:rsidR="00A61699" w:rsidRPr="00702FDF">
        <w:t xml:space="preserve"> </w:t>
      </w:r>
      <w:r w:rsidR="00C5295C" w:rsidRPr="00702FDF">
        <w:t xml:space="preserve">filed its </w:t>
      </w:r>
      <w:r w:rsidR="00980A70" w:rsidRPr="00702FDF">
        <w:t>2015</w:t>
      </w:r>
      <w:r w:rsidR="007B4513" w:rsidRPr="00702FDF">
        <w:t xml:space="preserve"> </w:t>
      </w:r>
      <w:r w:rsidR="00980A70" w:rsidRPr="00702FDF">
        <w:t>Two-Year</w:t>
      </w:r>
      <w:r w:rsidR="003472AF" w:rsidRPr="00702FDF">
        <w:t xml:space="preserve"> </w:t>
      </w:r>
      <w:r w:rsidR="00C5295C" w:rsidRPr="00702FDF">
        <w:t>Plan with the Commission</w:t>
      </w:r>
      <w:r w:rsidR="00A61699" w:rsidRPr="00702FDF">
        <w:t xml:space="preserve"> on</w:t>
      </w:r>
      <w:r w:rsidR="00980A70" w:rsidRPr="00702FDF">
        <w:t xml:space="preserve"> June 1, 2015</w:t>
      </w:r>
      <w:r w:rsidR="00A61699" w:rsidRPr="00702FDF">
        <w:t>.</w:t>
      </w:r>
    </w:p>
    <w:p w14:paraId="4F13E3BF" w14:textId="77777777" w:rsidR="00E45127" w:rsidRPr="00702FDF" w:rsidRDefault="00D577EA" w:rsidP="00625775">
      <w:pPr>
        <w:numPr>
          <w:ilvl w:val="0"/>
          <w:numId w:val="8"/>
        </w:numPr>
        <w:spacing w:after="240" w:line="276" w:lineRule="auto"/>
        <w:ind w:left="720" w:hanging="1440"/>
      </w:pPr>
      <w:r w:rsidRPr="00702FDF">
        <w:t>(</w:t>
      </w:r>
      <w:r w:rsidR="007B7C89" w:rsidRPr="00702FDF">
        <w:t>4</w:t>
      </w:r>
      <w:r w:rsidR="008026CC" w:rsidRPr="00702FDF">
        <w:t>)</w:t>
      </w:r>
      <w:r w:rsidR="008026CC" w:rsidRPr="00702FDF">
        <w:tab/>
      </w:r>
      <w:r w:rsidR="00980A70" w:rsidRPr="00702FDF">
        <w:t>PSE</w:t>
      </w:r>
      <w:r w:rsidR="00A61699" w:rsidRPr="00702FDF">
        <w:t xml:space="preserve">’s </w:t>
      </w:r>
      <w:r w:rsidR="00980A70" w:rsidRPr="00702FDF">
        <w:t>2015 Two-Year Plan is a</w:t>
      </w:r>
      <w:r w:rsidR="00E45127" w:rsidRPr="00702FDF">
        <w:t xml:space="preserve"> reasonable and measured approach to replace pipeline facilities with an elevated risk of failure.</w:t>
      </w:r>
    </w:p>
    <w:p w14:paraId="4F13E3C0" w14:textId="7F2B4091" w:rsidR="00CD3DDA" w:rsidRPr="00702FDF" w:rsidRDefault="002B3799" w:rsidP="00B07F8E">
      <w:pPr>
        <w:spacing w:after="240" w:line="276" w:lineRule="auto"/>
        <w:jc w:val="center"/>
        <w:rPr>
          <w:b/>
        </w:rPr>
      </w:pPr>
      <w:r>
        <w:rPr>
          <w:b/>
        </w:rPr>
        <w:br w:type="page"/>
      </w:r>
      <w:r w:rsidR="00980A70" w:rsidRPr="00702FDF">
        <w:rPr>
          <w:b/>
        </w:rPr>
        <w:lastRenderedPageBreak/>
        <w:t>O</w:t>
      </w:r>
      <w:r w:rsidR="00CD3DDA" w:rsidRPr="00702FDF">
        <w:rPr>
          <w:b/>
        </w:rPr>
        <w:t>RDER</w:t>
      </w:r>
    </w:p>
    <w:p w14:paraId="4F13E3C1" w14:textId="77777777" w:rsidR="00CD3DDA" w:rsidRPr="00702FDF" w:rsidRDefault="00CD3DDA" w:rsidP="00B07F8E">
      <w:pPr>
        <w:spacing w:after="240" w:line="276" w:lineRule="auto"/>
        <w:rPr>
          <w:b/>
        </w:rPr>
      </w:pPr>
      <w:r w:rsidRPr="00702FDF">
        <w:rPr>
          <w:b/>
        </w:rPr>
        <w:t>THE COMMISSION ORDERS:</w:t>
      </w:r>
    </w:p>
    <w:p w14:paraId="4F13E3C2" w14:textId="705E3EA3" w:rsidR="00F32818" w:rsidRPr="00702FDF" w:rsidRDefault="00F32818" w:rsidP="00B07F8E">
      <w:pPr>
        <w:numPr>
          <w:ilvl w:val="0"/>
          <w:numId w:val="8"/>
        </w:numPr>
        <w:spacing w:after="240" w:line="276" w:lineRule="auto"/>
        <w:ind w:left="720" w:hanging="1440"/>
      </w:pPr>
      <w:r w:rsidRPr="00702FDF">
        <w:t>(1)</w:t>
      </w:r>
      <w:r w:rsidRPr="00702FDF">
        <w:tab/>
      </w:r>
      <w:r w:rsidR="00980A70" w:rsidRPr="00702FDF">
        <w:t>Puget Sound Energy’s 2015 Two-Year Plan</w:t>
      </w:r>
      <w:r w:rsidR="005A4BE8" w:rsidRPr="00702FDF">
        <w:t xml:space="preserve"> </w:t>
      </w:r>
      <w:r w:rsidR="00447519" w:rsidRPr="00702FDF">
        <w:t>is</w:t>
      </w:r>
      <w:r w:rsidR="00AE52DD" w:rsidRPr="00702FDF">
        <w:t xml:space="preserve"> approved.</w:t>
      </w:r>
    </w:p>
    <w:p w14:paraId="4F13E3C3" w14:textId="11ADF437" w:rsidR="00D15F0C" w:rsidRPr="00702FDF" w:rsidRDefault="00E45127" w:rsidP="00B07F8E">
      <w:pPr>
        <w:numPr>
          <w:ilvl w:val="0"/>
          <w:numId w:val="8"/>
        </w:numPr>
        <w:spacing w:after="240" w:line="276" w:lineRule="auto"/>
        <w:ind w:left="720" w:hanging="1440"/>
      </w:pPr>
      <w:r w:rsidRPr="00702FDF">
        <w:t>(2</w:t>
      </w:r>
      <w:r w:rsidR="004E1C5A" w:rsidRPr="00702FDF">
        <w:t>)</w:t>
      </w:r>
      <w:r w:rsidR="004E1C5A" w:rsidRPr="00702FDF">
        <w:tab/>
      </w:r>
      <w:r w:rsidR="00A61699" w:rsidRPr="00702FDF">
        <w:t xml:space="preserve">Puget Sound Energy </w:t>
      </w:r>
      <w:r w:rsidR="00FB7F37" w:rsidRPr="00702FDF">
        <w:t xml:space="preserve">should file an updated </w:t>
      </w:r>
      <w:r w:rsidR="007B4513" w:rsidRPr="00702FDF">
        <w:t>Pipeline Replacement</w:t>
      </w:r>
      <w:r w:rsidR="00FB7F37" w:rsidRPr="00702FDF">
        <w:t xml:space="preserve"> </w:t>
      </w:r>
      <w:r w:rsidR="00447519" w:rsidRPr="00702FDF">
        <w:t xml:space="preserve">Program </w:t>
      </w:r>
      <w:r w:rsidR="00FB7F37" w:rsidRPr="00702FDF">
        <w:t>Plan for 201</w:t>
      </w:r>
      <w:r w:rsidR="00980A70" w:rsidRPr="00702FDF">
        <w:t>7</w:t>
      </w:r>
      <w:r w:rsidR="00FB7F37" w:rsidRPr="00702FDF">
        <w:t>-1</w:t>
      </w:r>
      <w:r w:rsidR="00980A70" w:rsidRPr="00702FDF">
        <w:t>9</w:t>
      </w:r>
      <w:r w:rsidR="00FB7F37" w:rsidRPr="00702FDF">
        <w:t xml:space="preserve"> </w:t>
      </w:r>
      <w:r w:rsidR="00307E5F" w:rsidRPr="00702FDF">
        <w:t>no later than June 1, 201</w:t>
      </w:r>
      <w:r w:rsidR="00980A70" w:rsidRPr="00702FDF">
        <w:t>7</w:t>
      </w:r>
      <w:r w:rsidR="00975E70" w:rsidRPr="00702FDF">
        <w:t>.</w:t>
      </w:r>
    </w:p>
    <w:p w14:paraId="4F13E3C4" w14:textId="3959066B" w:rsidR="00700CDE" w:rsidRPr="00702FDF" w:rsidRDefault="00700CDE" w:rsidP="00B07F8E">
      <w:pPr>
        <w:spacing w:after="240" w:line="276" w:lineRule="auto"/>
      </w:pPr>
      <w:r w:rsidRPr="00702FDF">
        <w:t>DATED at Olympia, Washington</w:t>
      </w:r>
      <w:r w:rsidR="001A1AB5" w:rsidRPr="00702FDF">
        <w:t>, and effective</w:t>
      </w:r>
      <w:r w:rsidR="00AB4364" w:rsidRPr="00702FDF">
        <w:t xml:space="preserve"> </w:t>
      </w:r>
      <w:r w:rsidR="00980A70" w:rsidRPr="00702FDF">
        <w:t>April 7, 2016</w:t>
      </w:r>
      <w:r w:rsidR="00AC0E30" w:rsidRPr="00702FDF">
        <w:t>.</w:t>
      </w:r>
    </w:p>
    <w:p w14:paraId="4F13E3C5" w14:textId="77777777" w:rsidR="00E60A35" w:rsidRPr="00702FDF" w:rsidRDefault="00E60A35" w:rsidP="00B07F8E">
      <w:pPr>
        <w:spacing w:before="120" w:after="240" w:line="276" w:lineRule="auto"/>
        <w:jc w:val="center"/>
        <w:rPr>
          <w:rFonts w:eastAsia="Calibri"/>
        </w:rPr>
      </w:pPr>
      <w:r w:rsidRPr="00702FDF">
        <w:rPr>
          <w:rFonts w:eastAsia="Calibri"/>
        </w:rPr>
        <w:t>WASHINGTON UTILITIES AND TRANSPORTATION COMMISSION</w:t>
      </w:r>
    </w:p>
    <w:p w14:paraId="4F13E3C6" w14:textId="77777777" w:rsidR="00E60A35" w:rsidRPr="00702FDF" w:rsidRDefault="00E60A35" w:rsidP="00B07F8E">
      <w:pPr>
        <w:spacing w:line="276" w:lineRule="auto"/>
        <w:rPr>
          <w:rFonts w:eastAsia="Calibri"/>
        </w:rPr>
      </w:pPr>
    </w:p>
    <w:p w14:paraId="4F13E3C7" w14:textId="77777777" w:rsidR="00E60A35" w:rsidRPr="00702FDF" w:rsidRDefault="00E60A35" w:rsidP="00B07F8E">
      <w:pPr>
        <w:spacing w:line="276" w:lineRule="auto"/>
        <w:rPr>
          <w:rFonts w:eastAsia="Calibri"/>
        </w:rPr>
      </w:pPr>
    </w:p>
    <w:p w14:paraId="4F13E3C8" w14:textId="77777777" w:rsidR="00E60A35" w:rsidRPr="00702FDF" w:rsidRDefault="00E60A35" w:rsidP="00B07F8E">
      <w:pPr>
        <w:spacing w:line="276" w:lineRule="auto"/>
        <w:rPr>
          <w:rFonts w:eastAsia="Calibri"/>
        </w:rPr>
      </w:pPr>
    </w:p>
    <w:p w14:paraId="4F13E3C9" w14:textId="77777777" w:rsidR="00980A70" w:rsidRPr="00702FDF" w:rsidRDefault="00E60A35" w:rsidP="00980A70">
      <w:pPr>
        <w:rPr>
          <w:rFonts w:eastAsia="Calibri"/>
        </w:rPr>
      </w:pPr>
      <w:r w:rsidRPr="00702FDF">
        <w:rPr>
          <w:rFonts w:eastAsia="Calibri"/>
        </w:rPr>
        <w:tab/>
      </w:r>
      <w:r w:rsidRPr="00702FDF">
        <w:rPr>
          <w:rFonts w:eastAsia="Calibri"/>
        </w:rPr>
        <w:tab/>
      </w:r>
      <w:r w:rsidRPr="00702FDF">
        <w:rPr>
          <w:rFonts w:eastAsia="Calibri"/>
        </w:rPr>
        <w:tab/>
      </w:r>
      <w:r w:rsidRPr="00702FDF">
        <w:rPr>
          <w:rFonts w:eastAsia="Calibri"/>
        </w:rPr>
        <w:tab/>
      </w:r>
      <w:r w:rsidRPr="00702FDF">
        <w:rPr>
          <w:rFonts w:eastAsia="Calibri"/>
        </w:rPr>
        <w:tab/>
      </w:r>
    </w:p>
    <w:p w14:paraId="4F13E3CA" w14:textId="77777777" w:rsidR="00980A70" w:rsidRPr="00702FDF" w:rsidRDefault="00980A70" w:rsidP="00980A70">
      <w:pPr>
        <w:spacing w:line="276" w:lineRule="auto"/>
        <w:ind w:hanging="720"/>
      </w:pPr>
      <w:r w:rsidRPr="00702FDF">
        <w:rPr>
          <w:rFonts w:eastAsia="Calibri"/>
        </w:rPr>
        <w:tab/>
      </w:r>
      <w:r w:rsidRPr="00702FDF">
        <w:rPr>
          <w:rFonts w:eastAsia="Calibri"/>
        </w:rPr>
        <w:tab/>
      </w:r>
      <w:r w:rsidRPr="00702FDF">
        <w:rPr>
          <w:rFonts w:eastAsia="Calibri"/>
        </w:rPr>
        <w:tab/>
      </w:r>
      <w:r w:rsidRPr="00702FDF">
        <w:rPr>
          <w:rFonts w:eastAsia="Calibri"/>
        </w:rPr>
        <w:tab/>
      </w:r>
      <w:r w:rsidRPr="00702FDF">
        <w:rPr>
          <w:rFonts w:eastAsia="Calibri"/>
        </w:rPr>
        <w:tab/>
      </w:r>
      <w:r w:rsidRPr="00702FDF">
        <w:rPr>
          <w:rFonts w:eastAsia="Calibri"/>
        </w:rPr>
        <w:tab/>
      </w:r>
      <w:r w:rsidRPr="00702FDF">
        <w:rPr>
          <w:rFonts w:eastAsia="Calibri"/>
        </w:rPr>
        <w:tab/>
      </w:r>
      <w:r w:rsidRPr="00702FDF">
        <w:t>DAVID W. DANNER, Chairman</w:t>
      </w:r>
    </w:p>
    <w:p w14:paraId="4F13E3CB" w14:textId="77777777" w:rsidR="00980A70" w:rsidRPr="00702FDF" w:rsidRDefault="00980A70" w:rsidP="00980A70">
      <w:pPr>
        <w:spacing w:line="276" w:lineRule="auto"/>
        <w:ind w:hanging="720"/>
      </w:pPr>
    </w:p>
    <w:p w14:paraId="4F13E3CC" w14:textId="77777777" w:rsidR="00980A70" w:rsidRPr="00702FDF" w:rsidRDefault="00980A70" w:rsidP="00980A70">
      <w:pPr>
        <w:spacing w:line="276" w:lineRule="auto"/>
        <w:ind w:hanging="720"/>
      </w:pPr>
    </w:p>
    <w:p w14:paraId="4F13E3CD" w14:textId="77777777" w:rsidR="00980A70" w:rsidRPr="00702FDF" w:rsidRDefault="00980A70" w:rsidP="00980A70">
      <w:pPr>
        <w:spacing w:line="276" w:lineRule="auto"/>
        <w:ind w:hanging="720"/>
      </w:pPr>
    </w:p>
    <w:p w14:paraId="4F13E3CE" w14:textId="77777777" w:rsidR="00980A70" w:rsidRPr="00702FDF" w:rsidRDefault="00980A70" w:rsidP="00980A70">
      <w:pPr>
        <w:spacing w:line="276" w:lineRule="auto"/>
        <w:ind w:hanging="720"/>
      </w:pPr>
      <w:r w:rsidRPr="00702FDF">
        <w:tab/>
      </w:r>
      <w:r w:rsidRPr="00702FDF">
        <w:tab/>
      </w:r>
      <w:r w:rsidRPr="00702FDF">
        <w:tab/>
      </w:r>
      <w:r w:rsidRPr="00702FDF">
        <w:tab/>
      </w:r>
      <w:r w:rsidRPr="00702FDF">
        <w:tab/>
      </w:r>
      <w:r w:rsidRPr="00702FDF">
        <w:tab/>
      </w:r>
      <w:r w:rsidRPr="00702FDF">
        <w:tab/>
        <w:t>PHILIP B. JONES, Commissioner</w:t>
      </w:r>
    </w:p>
    <w:p w14:paraId="4F13E3CF" w14:textId="77777777" w:rsidR="00980A70" w:rsidRPr="00702FDF" w:rsidRDefault="00980A70" w:rsidP="00980A70">
      <w:pPr>
        <w:spacing w:line="276" w:lineRule="auto"/>
        <w:ind w:hanging="720"/>
      </w:pPr>
    </w:p>
    <w:p w14:paraId="4F13E3D0" w14:textId="77777777" w:rsidR="00980A70" w:rsidRPr="00702FDF" w:rsidRDefault="00980A70" w:rsidP="00980A70">
      <w:pPr>
        <w:spacing w:line="276" w:lineRule="auto"/>
        <w:ind w:hanging="720"/>
      </w:pPr>
    </w:p>
    <w:p w14:paraId="4F13E3D1" w14:textId="77777777" w:rsidR="00980A70" w:rsidRPr="00702FDF" w:rsidRDefault="00980A70" w:rsidP="00980A70">
      <w:pPr>
        <w:spacing w:line="276" w:lineRule="auto"/>
        <w:ind w:hanging="720"/>
      </w:pPr>
    </w:p>
    <w:p w14:paraId="4F13E3D2" w14:textId="77777777" w:rsidR="00980A70" w:rsidRPr="00702FDF" w:rsidRDefault="00980A70" w:rsidP="00980A70">
      <w:pPr>
        <w:spacing w:line="276" w:lineRule="auto"/>
        <w:ind w:hanging="720"/>
      </w:pPr>
      <w:r w:rsidRPr="00702FDF">
        <w:tab/>
      </w:r>
      <w:r w:rsidRPr="00702FDF">
        <w:tab/>
      </w:r>
      <w:r w:rsidRPr="00702FDF">
        <w:tab/>
      </w:r>
      <w:r w:rsidRPr="00702FDF">
        <w:tab/>
      </w:r>
      <w:r w:rsidRPr="00702FDF">
        <w:tab/>
      </w:r>
      <w:r w:rsidRPr="00702FDF">
        <w:tab/>
      </w:r>
      <w:r w:rsidRPr="00702FDF">
        <w:tab/>
        <w:t>ANN E. RENDAHL, Commissioner</w:t>
      </w:r>
      <w:r w:rsidRPr="00702FDF">
        <w:tab/>
      </w:r>
    </w:p>
    <w:p w14:paraId="4F13E3D3" w14:textId="77777777" w:rsidR="008F661D" w:rsidRPr="00702FDF" w:rsidRDefault="008F661D" w:rsidP="00980A70">
      <w:pPr>
        <w:spacing w:line="276" w:lineRule="auto"/>
        <w:rPr>
          <w:rFonts w:eastAsia="Calibri"/>
        </w:rPr>
      </w:pPr>
    </w:p>
    <w:sectPr w:rsidR="008F661D" w:rsidRPr="00702FDF" w:rsidSect="0015288C">
      <w:headerReference w:type="default" r:id="rId12"/>
      <w:headerReference w:type="first" r:id="rId13"/>
      <w:footerReference w:type="first" r:id="rId14"/>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3E3D6" w14:textId="77777777" w:rsidR="00F223DE" w:rsidRDefault="00F223DE" w:rsidP="00700CDE">
      <w:r>
        <w:separator/>
      </w:r>
    </w:p>
  </w:endnote>
  <w:endnote w:type="continuationSeparator" w:id="0">
    <w:p w14:paraId="4F13E3D7" w14:textId="77777777" w:rsidR="00F223DE" w:rsidRDefault="00F223DE" w:rsidP="0070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3E3DC" w14:textId="77777777" w:rsidR="00A913FA" w:rsidRPr="00DB0710" w:rsidRDefault="00A913FA" w:rsidP="00C179F6">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3E3D4" w14:textId="77777777" w:rsidR="00F223DE" w:rsidRDefault="00F223DE" w:rsidP="00700CDE">
      <w:r>
        <w:separator/>
      </w:r>
    </w:p>
  </w:footnote>
  <w:footnote w:type="continuationSeparator" w:id="0">
    <w:p w14:paraId="4F13E3D5" w14:textId="77777777" w:rsidR="00F223DE" w:rsidRDefault="00F223DE" w:rsidP="00700CDE">
      <w:r>
        <w:continuationSeparator/>
      </w:r>
    </w:p>
  </w:footnote>
  <w:footnote w:id="1">
    <w:p w14:paraId="4F13E3DD" w14:textId="77777777" w:rsidR="00B07F8E" w:rsidRPr="002B3799" w:rsidRDefault="00B07F8E" w:rsidP="00B07F8E">
      <w:pPr>
        <w:pStyle w:val="FootnoteText"/>
        <w:spacing w:before="0"/>
        <w:rPr>
          <w:sz w:val="20"/>
        </w:rPr>
      </w:pPr>
      <w:r w:rsidRPr="002B3799">
        <w:rPr>
          <w:rStyle w:val="FootnoteReference"/>
          <w:sz w:val="20"/>
        </w:rPr>
        <w:footnoteRef/>
      </w:r>
      <w:r w:rsidRPr="002B3799">
        <w:rPr>
          <w:sz w:val="20"/>
        </w:rPr>
        <w:t xml:space="preserve"> Docket UG-120715 (December 31, 2012).</w:t>
      </w:r>
    </w:p>
  </w:footnote>
  <w:footnote w:id="2">
    <w:p w14:paraId="4F13E3DE" w14:textId="77777777" w:rsidR="00B07F8E" w:rsidRPr="002B3799" w:rsidRDefault="00B07F8E" w:rsidP="00B07F8E">
      <w:pPr>
        <w:pStyle w:val="FootnoteText"/>
        <w:rPr>
          <w:sz w:val="20"/>
        </w:rPr>
      </w:pPr>
      <w:r w:rsidRPr="002B3799">
        <w:rPr>
          <w:rStyle w:val="FootnoteReference"/>
          <w:sz w:val="20"/>
        </w:rPr>
        <w:footnoteRef/>
      </w:r>
      <w:r w:rsidRPr="002B3799">
        <w:rPr>
          <w:sz w:val="20"/>
        </w:rPr>
        <w:t xml:space="preserve"> </w:t>
      </w:r>
      <w:r w:rsidRPr="002B3799">
        <w:rPr>
          <w:i/>
          <w:sz w:val="20"/>
        </w:rPr>
        <w:t>Id</w:t>
      </w:r>
      <w:r w:rsidRPr="002B3799">
        <w:rPr>
          <w:sz w:val="20"/>
        </w:rPr>
        <w:t xml:space="preserve">. ¶ 43.  Subsequent </w:t>
      </w:r>
      <w:r w:rsidR="00771354" w:rsidRPr="002B3799">
        <w:rPr>
          <w:sz w:val="20"/>
        </w:rPr>
        <w:t>pipeline replacement program</w:t>
      </w:r>
      <w:r w:rsidRPr="002B3799">
        <w:rPr>
          <w:sz w:val="20"/>
        </w:rPr>
        <w:t xml:space="preserve"> plan filings should be filed by June 1 every two years thereafter (</w:t>
      </w:r>
      <w:r w:rsidRPr="002B3799">
        <w:rPr>
          <w:i/>
          <w:iCs/>
          <w:sz w:val="20"/>
        </w:rPr>
        <w:t xml:space="preserve">i.e., </w:t>
      </w:r>
      <w:r w:rsidRPr="002B3799">
        <w:rPr>
          <w:sz w:val="20"/>
        </w:rPr>
        <w:t>June 1, 2015, 2017, 2019, etc.).</w:t>
      </w:r>
    </w:p>
  </w:footnote>
  <w:footnote w:id="3">
    <w:p w14:paraId="4F13E3DF" w14:textId="77777777" w:rsidR="00B07F8E" w:rsidRPr="002B3799" w:rsidRDefault="00B07F8E" w:rsidP="00B07F8E">
      <w:pPr>
        <w:pStyle w:val="FootnoteText"/>
        <w:rPr>
          <w:sz w:val="20"/>
        </w:rPr>
      </w:pPr>
      <w:r w:rsidRPr="002B3799">
        <w:rPr>
          <w:rStyle w:val="FootnoteReference"/>
          <w:sz w:val="20"/>
        </w:rPr>
        <w:footnoteRef/>
      </w:r>
      <w:r w:rsidRPr="002B3799">
        <w:rPr>
          <w:sz w:val="20"/>
        </w:rPr>
        <w:t xml:space="preserve"> </w:t>
      </w:r>
      <w:r w:rsidRPr="002B3799">
        <w:rPr>
          <w:i/>
          <w:sz w:val="20"/>
        </w:rPr>
        <w:t>Id</w:t>
      </w:r>
      <w:r w:rsidRPr="002B3799">
        <w:rPr>
          <w:sz w:val="20"/>
        </w:rPr>
        <w:t>. ¶ 42.</w:t>
      </w:r>
    </w:p>
  </w:footnote>
  <w:footnote w:id="4">
    <w:p w14:paraId="4F13E3E0" w14:textId="77777777" w:rsidR="00B07F8E" w:rsidRPr="002B3799" w:rsidRDefault="00B07F8E" w:rsidP="00B07F8E">
      <w:pPr>
        <w:pStyle w:val="FootnoteText"/>
        <w:rPr>
          <w:sz w:val="20"/>
        </w:rPr>
      </w:pPr>
      <w:r w:rsidRPr="002B3799">
        <w:rPr>
          <w:rStyle w:val="FootnoteReference"/>
          <w:sz w:val="20"/>
        </w:rPr>
        <w:footnoteRef/>
      </w:r>
      <w:r w:rsidRPr="002B3799">
        <w:rPr>
          <w:sz w:val="20"/>
        </w:rPr>
        <w:t xml:space="preserve"> </w:t>
      </w:r>
      <w:r w:rsidRPr="002B3799">
        <w:rPr>
          <w:i/>
          <w:sz w:val="20"/>
        </w:rPr>
        <w:t>Id</w:t>
      </w:r>
      <w:r w:rsidRPr="002B3799">
        <w:rPr>
          <w:sz w:val="20"/>
        </w:rPr>
        <w:t>. ¶¶ 44-56.</w:t>
      </w:r>
    </w:p>
  </w:footnote>
  <w:footnote w:id="5">
    <w:p w14:paraId="00CA42C1" w14:textId="77777777" w:rsidR="00FE7841" w:rsidRPr="002B3799" w:rsidRDefault="00FE7841" w:rsidP="00FE7841">
      <w:pPr>
        <w:pStyle w:val="FootnoteText"/>
        <w:rPr>
          <w:sz w:val="20"/>
        </w:rPr>
      </w:pPr>
      <w:r w:rsidRPr="002B3799">
        <w:rPr>
          <w:rStyle w:val="FootnoteReference"/>
          <w:sz w:val="20"/>
        </w:rPr>
        <w:footnoteRef/>
      </w:r>
      <w:r w:rsidRPr="002B3799">
        <w:rPr>
          <w:sz w:val="20"/>
        </w:rPr>
        <w:t xml:space="preserve"> </w:t>
      </w:r>
      <w:r w:rsidRPr="002B3799">
        <w:rPr>
          <w:i/>
          <w:sz w:val="20"/>
        </w:rPr>
        <w:t>Id</w:t>
      </w:r>
      <w:r w:rsidRPr="002B3799">
        <w:rPr>
          <w:sz w:val="20"/>
        </w:rPr>
        <w:t>. ¶ 55.</w:t>
      </w:r>
    </w:p>
  </w:footnote>
  <w:footnote w:id="6">
    <w:p w14:paraId="6A6F971D" w14:textId="77777777" w:rsidR="00FE7841" w:rsidRPr="002B3799" w:rsidRDefault="00FE7841" w:rsidP="00FE7841">
      <w:pPr>
        <w:pStyle w:val="FootnoteText"/>
        <w:rPr>
          <w:sz w:val="20"/>
        </w:rPr>
      </w:pPr>
      <w:r w:rsidRPr="002B3799">
        <w:rPr>
          <w:rStyle w:val="FootnoteReference"/>
          <w:sz w:val="20"/>
        </w:rPr>
        <w:footnoteRef/>
      </w:r>
      <w:r w:rsidRPr="002B3799">
        <w:rPr>
          <w:sz w:val="20"/>
        </w:rPr>
        <w:t xml:space="preserve"> </w:t>
      </w:r>
      <w:r w:rsidRPr="002B3799">
        <w:rPr>
          <w:i/>
          <w:sz w:val="20"/>
        </w:rPr>
        <w:t>Id</w:t>
      </w:r>
      <w:r w:rsidRPr="002B3799">
        <w:rPr>
          <w:sz w:val="20"/>
        </w:rPr>
        <w:t>. ¶¶ 63-76.</w:t>
      </w:r>
    </w:p>
  </w:footnote>
  <w:footnote w:id="7">
    <w:p w14:paraId="4F13E3E1" w14:textId="77777777" w:rsidR="00771354" w:rsidRPr="002B3799" w:rsidRDefault="00771354">
      <w:pPr>
        <w:pStyle w:val="FootnoteText"/>
        <w:rPr>
          <w:sz w:val="20"/>
        </w:rPr>
      </w:pPr>
      <w:r w:rsidRPr="002B3799">
        <w:rPr>
          <w:rStyle w:val="FootnoteReference"/>
          <w:sz w:val="20"/>
        </w:rPr>
        <w:footnoteRef/>
      </w:r>
      <w:r w:rsidRPr="002B3799">
        <w:rPr>
          <w:sz w:val="20"/>
        </w:rPr>
        <w:t xml:space="preserve"> </w:t>
      </w:r>
      <w:r w:rsidRPr="002B3799">
        <w:rPr>
          <w:bCs/>
          <w:sz w:val="20"/>
        </w:rPr>
        <w:t>In 2012, a cross bore pilot program was conducted, and in 2013, the PSE cross bore safety program was officially launched.</w:t>
      </w:r>
    </w:p>
  </w:footnote>
  <w:footnote w:id="8">
    <w:p w14:paraId="4F13E3E2" w14:textId="77777777" w:rsidR="00980A70" w:rsidRPr="002B3799" w:rsidRDefault="00980A70" w:rsidP="00980A70">
      <w:pPr>
        <w:pStyle w:val="FootnoteText"/>
        <w:rPr>
          <w:sz w:val="20"/>
        </w:rPr>
      </w:pPr>
      <w:r w:rsidRPr="002B3799">
        <w:rPr>
          <w:rStyle w:val="FootnoteReference"/>
          <w:sz w:val="20"/>
        </w:rPr>
        <w:footnoteRef/>
      </w:r>
      <w:r w:rsidRPr="002B3799">
        <w:rPr>
          <w:sz w:val="20"/>
        </w:rPr>
        <w:t xml:space="preserve"> PSE DIMP, Appendix F-3,</w:t>
      </w:r>
      <w:r w:rsidRPr="002B3799" w:rsidDel="00A86CDF">
        <w:rPr>
          <w:sz w:val="20"/>
        </w:rPr>
        <w:t xml:space="preserve"> </w:t>
      </w:r>
      <w:r w:rsidRPr="002B3799">
        <w:rPr>
          <w:sz w:val="20"/>
        </w:rPr>
        <w:t>Section 1 - DuPont ALDYL “HD” Plastic Pipe.</w:t>
      </w:r>
    </w:p>
  </w:footnote>
  <w:footnote w:id="9">
    <w:p w14:paraId="4F13E3E3" w14:textId="77777777" w:rsidR="00980A70" w:rsidRPr="002B3799" w:rsidRDefault="00980A70" w:rsidP="00980A70">
      <w:pPr>
        <w:pStyle w:val="FootnoteText"/>
        <w:rPr>
          <w:sz w:val="20"/>
        </w:rPr>
      </w:pPr>
      <w:r w:rsidRPr="002B3799">
        <w:rPr>
          <w:rStyle w:val="FootnoteReference"/>
          <w:sz w:val="20"/>
        </w:rPr>
        <w:footnoteRef/>
      </w:r>
      <w:r w:rsidRPr="002B3799">
        <w:rPr>
          <w:sz w:val="20"/>
        </w:rPr>
        <w:t xml:space="preserve"> PSE DIMP, Section 1, Wrapped Steel Mains. PSE’s DIMP identifies an increased risk of leakage on s</w:t>
      </w:r>
      <w:r w:rsidR="00771354" w:rsidRPr="002B3799">
        <w:rPr>
          <w:sz w:val="20"/>
        </w:rPr>
        <w:t>ome older steel-</w:t>
      </w:r>
      <w:r w:rsidRPr="002B3799">
        <w:rPr>
          <w:sz w:val="20"/>
        </w:rPr>
        <w:t>wrapped mains. The risk is due to a combination of factors, incl</w:t>
      </w:r>
      <w:r w:rsidR="00771354" w:rsidRPr="002B3799">
        <w:rPr>
          <w:sz w:val="20"/>
        </w:rPr>
        <w:t>uding corrosion; existing third-</w:t>
      </w:r>
      <w:r w:rsidRPr="002B3799">
        <w:rPr>
          <w:sz w:val="20"/>
        </w:rPr>
        <w:t>p</w:t>
      </w:r>
      <w:r w:rsidR="00771354" w:rsidRPr="002B3799">
        <w:rPr>
          <w:sz w:val="20"/>
        </w:rPr>
        <w:t>arty damage to the pipe coating;</w:t>
      </w:r>
      <w:r w:rsidRPr="002B3799">
        <w:rPr>
          <w:sz w:val="20"/>
        </w:rPr>
        <w:t xml:space="preserve"> welds</w:t>
      </w:r>
      <w:r w:rsidR="00771354" w:rsidRPr="002B3799">
        <w:rPr>
          <w:sz w:val="20"/>
        </w:rPr>
        <w:t>;</w:t>
      </w:r>
      <w:r w:rsidRPr="002B3799">
        <w:rPr>
          <w:sz w:val="20"/>
        </w:rPr>
        <w:t xml:space="preserve"> and equipment</w:t>
      </w:r>
      <w:r w:rsidR="00771354" w:rsidRPr="002B3799">
        <w:rPr>
          <w:sz w:val="20"/>
        </w:rPr>
        <w:t>,</w:t>
      </w:r>
      <w:r w:rsidRPr="002B3799">
        <w:rPr>
          <w:sz w:val="20"/>
        </w:rPr>
        <w:t xml:space="preserve"> including vintage valves. These mains are replaced based on past leak history</w:t>
      </w:r>
      <w:r w:rsidR="00771354" w:rsidRPr="002B3799">
        <w:rPr>
          <w:sz w:val="20"/>
        </w:rPr>
        <w:t>,</w:t>
      </w:r>
      <w:r w:rsidRPr="002B3799">
        <w:rPr>
          <w:sz w:val="20"/>
        </w:rPr>
        <w:t xml:space="preserve"> and PSE expects to replace approximately 20 miles of steel wrapped</w:t>
      </w:r>
      <w:r w:rsidR="00771354" w:rsidRPr="002B3799">
        <w:rPr>
          <w:sz w:val="20"/>
        </w:rPr>
        <w:t xml:space="preserve"> main over the next three</w:t>
      </w:r>
      <w:r w:rsidRPr="002B3799">
        <w:rPr>
          <w:sz w:val="20"/>
        </w:rPr>
        <w:t xml:space="preserve"> years. </w:t>
      </w:r>
    </w:p>
  </w:footnote>
  <w:footnote w:id="10">
    <w:p w14:paraId="4F13E3E4" w14:textId="77777777" w:rsidR="00980A70" w:rsidRPr="002B3799" w:rsidRDefault="00980A70" w:rsidP="00980A70">
      <w:pPr>
        <w:pStyle w:val="FootnoteText"/>
        <w:rPr>
          <w:sz w:val="20"/>
        </w:rPr>
      </w:pPr>
      <w:r w:rsidRPr="002B3799">
        <w:rPr>
          <w:rStyle w:val="FootnoteReference"/>
          <w:sz w:val="20"/>
        </w:rPr>
        <w:footnoteRef/>
      </w:r>
      <w:r w:rsidRPr="002B3799">
        <w:rPr>
          <w:sz w:val="20"/>
        </w:rPr>
        <w:t xml:space="preserve"> PSE is addressing these services under a settlement agreement approved by the commission in Docket PG-041624, the Wrapped Steel Service Assessment Program (WSSAP). PSE has identified and located all services that are targeted under the WSSAP program. Based on current risk knowledge, PSE is targeting to replace approximately 1,100 services over the next 3 years. </w:t>
      </w:r>
    </w:p>
  </w:footnote>
  <w:footnote w:id="11">
    <w:p w14:paraId="4F13E3E5" w14:textId="77777777" w:rsidR="00980A70" w:rsidRPr="002B3799" w:rsidRDefault="00980A70" w:rsidP="00980A70">
      <w:pPr>
        <w:pStyle w:val="FootnoteText"/>
        <w:rPr>
          <w:sz w:val="20"/>
        </w:rPr>
      </w:pPr>
      <w:r w:rsidRPr="002B3799">
        <w:rPr>
          <w:rStyle w:val="FootnoteReference"/>
          <w:sz w:val="20"/>
        </w:rPr>
        <w:footnoteRef/>
      </w:r>
      <w:r w:rsidRPr="002B3799">
        <w:rPr>
          <w:sz w:val="20"/>
        </w:rPr>
        <w:t xml:space="preserve"> </w:t>
      </w:r>
      <w:r w:rsidR="00771354" w:rsidRPr="002B3799">
        <w:rPr>
          <w:sz w:val="20"/>
        </w:rPr>
        <w:t>PSE 2013 Continuing Surveill</w:t>
      </w:r>
      <w:r w:rsidRPr="002B3799">
        <w:rPr>
          <w:sz w:val="20"/>
        </w:rPr>
        <w:t>ance Annual Report, Pg. 89</w:t>
      </w:r>
      <w:r w:rsidR="00771354" w:rsidRPr="002B3799">
        <w:rPr>
          <w:sz w:val="20"/>
        </w:rPr>
        <w:t>.</w:t>
      </w:r>
      <w:r w:rsidRPr="002B3799">
        <w:rPr>
          <w:sz w:val="20"/>
        </w:rPr>
        <w:t xml:space="preserve"> </w:t>
      </w:r>
    </w:p>
  </w:footnote>
  <w:footnote w:id="12">
    <w:p w14:paraId="4F13E3E6" w14:textId="77777777" w:rsidR="00980A70" w:rsidRPr="002B3799" w:rsidRDefault="00980A70" w:rsidP="00980A70">
      <w:pPr>
        <w:pStyle w:val="FootnoteText"/>
        <w:rPr>
          <w:sz w:val="20"/>
        </w:rPr>
      </w:pPr>
      <w:r w:rsidRPr="002B3799">
        <w:rPr>
          <w:rStyle w:val="FootnoteReference"/>
          <w:sz w:val="20"/>
        </w:rPr>
        <w:footnoteRef/>
      </w:r>
      <w:r w:rsidRPr="002B3799">
        <w:rPr>
          <w:sz w:val="20"/>
        </w:rPr>
        <w:t xml:space="preserve"> PE pipe is designed to be squeezed shut with a mechanical device during operations, maintenance and emergency response. </w:t>
      </w:r>
    </w:p>
  </w:footnote>
  <w:footnote w:id="13">
    <w:p w14:paraId="4F13E3E7" w14:textId="77777777" w:rsidR="00980A70" w:rsidRPr="002B3799" w:rsidRDefault="00980A70" w:rsidP="00980A70">
      <w:pPr>
        <w:pStyle w:val="FootnoteText"/>
        <w:rPr>
          <w:sz w:val="20"/>
        </w:rPr>
      </w:pPr>
      <w:r w:rsidRPr="002B3799">
        <w:rPr>
          <w:rStyle w:val="FootnoteReference"/>
          <w:sz w:val="20"/>
        </w:rPr>
        <w:footnoteRef/>
      </w:r>
      <w:r w:rsidRPr="002B3799">
        <w:rPr>
          <w:sz w:val="20"/>
        </w:rPr>
        <w:t xml:space="preserve"> PSE’s 2013 PRP plan, DuPont Aldyl “HD” Plastic Pipe, Section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3E3D8" w14:textId="77777777" w:rsidR="00A913FA" w:rsidRPr="00AC0E30" w:rsidRDefault="00A913FA">
    <w:pPr>
      <w:tabs>
        <w:tab w:val="left" w:pos="7740"/>
      </w:tabs>
      <w:rPr>
        <w:b/>
        <w:bCs/>
        <w:sz w:val="20"/>
      </w:rPr>
    </w:pPr>
    <w:r w:rsidRPr="00AC0E30">
      <w:rPr>
        <w:b/>
        <w:bCs/>
        <w:sz w:val="20"/>
      </w:rPr>
      <w:t>DOCKET</w:t>
    </w:r>
    <w:r w:rsidR="00980A70">
      <w:rPr>
        <w:b/>
        <w:bCs/>
        <w:sz w:val="20"/>
      </w:rPr>
      <w:t xml:space="preserve"> PG</w:t>
    </w:r>
    <w:r w:rsidR="00980A70">
      <w:rPr>
        <w:b/>
        <w:bCs/>
        <w:sz w:val="20"/>
      </w:rPr>
      <w:noBreakHyphen/>
      <w:t>160294</w:t>
    </w:r>
    <w:r w:rsidRPr="00AC0E30">
      <w:rPr>
        <w:b/>
        <w:bCs/>
        <w:sz w:val="20"/>
      </w:rPr>
      <w:tab/>
      <w:t xml:space="preserve">PAGE </w:t>
    </w:r>
    <w:r w:rsidRPr="00AC0E30">
      <w:rPr>
        <w:b/>
        <w:bCs/>
        <w:sz w:val="20"/>
      </w:rPr>
      <w:pgNum/>
    </w:r>
  </w:p>
  <w:p w14:paraId="4F13E3D9" w14:textId="77777777" w:rsidR="00A913FA" w:rsidRDefault="00A913FA">
    <w:pPr>
      <w:tabs>
        <w:tab w:val="left" w:pos="7740"/>
      </w:tabs>
      <w:rPr>
        <w:b/>
        <w:bCs/>
        <w:sz w:val="20"/>
      </w:rPr>
    </w:pPr>
    <w:r>
      <w:rPr>
        <w:b/>
        <w:bCs/>
        <w:sz w:val="20"/>
      </w:rPr>
      <w:t>ORDER 01</w:t>
    </w:r>
  </w:p>
  <w:p w14:paraId="4F13E3DA" w14:textId="77777777" w:rsidR="00702FDF" w:rsidRDefault="00702FDF">
    <w:pPr>
      <w:tabs>
        <w:tab w:val="left" w:pos="7740"/>
      </w:tabs>
      <w:rPr>
        <w:b/>
        <w:bCs/>
        <w:sz w:val="20"/>
      </w:rPr>
    </w:pPr>
  </w:p>
  <w:p w14:paraId="2B640B77" w14:textId="77777777" w:rsidR="002B3799" w:rsidRDefault="002B3799">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3E3DB" w14:textId="77777777" w:rsidR="00A913FA" w:rsidRPr="00521EA1" w:rsidRDefault="00A913FA" w:rsidP="00170ABD">
    <w:pPr>
      <w:pStyle w:val="Header"/>
      <w:tabs>
        <w:tab w:val="clear" w:pos="4320"/>
        <w:tab w:val="clear" w:pos="8640"/>
        <w:tab w:val="right" w:pos="8460"/>
      </w:tabs>
      <w:rPr>
        <w:b/>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770BA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949FD"/>
    <w:multiLevelType w:val="hybridMultilevel"/>
    <w:tmpl w:val="4DC4F208"/>
    <w:lvl w:ilvl="0" w:tplc="D3DE6D8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1B3545"/>
    <w:multiLevelType w:val="hybridMultilevel"/>
    <w:tmpl w:val="110A2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152BAC"/>
    <w:multiLevelType w:val="hybridMultilevel"/>
    <w:tmpl w:val="792610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3C3C26"/>
    <w:multiLevelType w:val="hybridMultilevel"/>
    <w:tmpl w:val="022CA7F8"/>
    <w:lvl w:ilvl="0" w:tplc="3FC8479C">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C42EFD"/>
    <w:multiLevelType w:val="hybridMultilevel"/>
    <w:tmpl w:val="B9C41EBE"/>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 w15:restartNumberingAfterBreak="0">
    <w:nsid w:val="19E648B5"/>
    <w:multiLevelType w:val="hybridMultilevel"/>
    <w:tmpl w:val="B62AF53E"/>
    <w:lvl w:ilvl="0" w:tplc="DBD4D44E">
      <w:start w:val="1"/>
      <w:numFmt w:val="decimal"/>
      <w:pStyle w:val="Findings"/>
      <w:lvlText w:val="%1"/>
      <w:lvlJc w:val="left"/>
      <w:pPr>
        <w:tabs>
          <w:tab w:val="num" w:pos="0"/>
        </w:tabs>
        <w:ind w:left="0" w:hanging="1080"/>
      </w:pPr>
      <w:rPr>
        <w:rFonts w:hint="default"/>
        <w:b w:val="0"/>
        <w:i/>
        <w:sz w:val="20"/>
      </w:rPr>
    </w:lvl>
    <w:lvl w:ilvl="1" w:tplc="9764488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770BDA"/>
    <w:multiLevelType w:val="hybridMultilevel"/>
    <w:tmpl w:val="D5026B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A69BE"/>
    <w:multiLevelType w:val="hybridMultilevel"/>
    <w:tmpl w:val="17EE5030"/>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64204C"/>
    <w:multiLevelType w:val="hybridMultilevel"/>
    <w:tmpl w:val="85385DE6"/>
    <w:lvl w:ilvl="0" w:tplc="1160F90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590C749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3B3816"/>
    <w:multiLevelType w:val="hybridMultilevel"/>
    <w:tmpl w:val="756ACB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4A4CDC"/>
    <w:multiLevelType w:val="hybridMultilevel"/>
    <w:tmpl w:val="873C9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8163D6"/>
    <w:multiLevelType w:val="hybridMultilevel"/>
    <w:tmpl w:val="D28CC2DA"/>
    <w:lvl w:ilvl="0" w:tplc="9D402E36">
      <w:start w:val="1"/>
      <w:numFmt w:val="decimal"/>
      <w:lvlText w:val="%1"/>
      <w:lvlJc w:val="left"/>
      <w:pPr>
        <w:tabs>
          <w:tab w:val="num" w:pos="0"/>
        </w:tabs>
        <w:ind w:left="0" w:hanging="1080"/>
      </w:pPr>
      <w:rPr>
        <w:rFonts w:hint="default"/>
        <w:b w:val="0"/>
        <w:i/>
        <w:sz w:val="20"/>
      </w:rPr>
    </w:lvl>
    <w:lvl w:ilvl="1" w:tplc="0C6CEC4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071940"/>
    <w:multiLevelType w:val="hybridMultilevel"/>
    <w:tmpl w:val="88386A00"/>
    <w:lvl w:ilvl="0" w:tplc="04090011">
      <w:start w:val="1"/>
      <w:numFmt w:val="decimal"/>
      <w:lvlText w:val="%1)"/>
      <w:lvlJc w:val="left"/>
      <w:pPr>
        <w:tabs>
          <w:tab w:val="num" w:pos="540"/>
        </w:tabs>
        <w:ind w:left="540" w:hanging="360"/>
      </w:pPr>
      <w:rPr>
        <w:rFonts w:hint="default"/>
      </w:rPr>
    </w:lvl>
    <w:lvl w:ilvl="1" w:tplc="FCF26F34">
      <w:start w:val="1"/>
      <w:numFmt w:val="upperLetter"/>
      <w:lvlText w:val="%2."/>
      <w:lvlJc w:val="left"/>
      <w:pPr>
        <w:tabs>
          <w:tab w:val="num" w:pos="2265"/>
        </w:tabs>
        <w:ind w:left="2265" w:hanging="118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740D1E"/>
    <w:multiLevelType w:val="hybridMultilevel"/>
    <w:tmpl w:val="3F785F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B326A6"/>
    <w:multiLevelType w:val="hybridMultilevel"/>
    <w:tmpl w:val="2172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C4148"/>
    <w:multiLevelType w:val="hybridMultilevel"/>
    <w:tmpl w:val="0DA24DBC"/>
    <w:lvl w:ilvl="0" w:tplc="04F807D0">
      <w:start w:val="1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B74294"/>
    <w:multiLevelType w:val="hybridMultilevel"/>
    <w:tmpl w:val="B816B31E"/>
    <w:lvl w:ilvl="0" w:tplc="07B64F90">
      <w:start w:val="1"/>
      <w:numFmt w:val="decimal"/>
      <w:lvlText w:val="%1"/>
      <w:lvlJc w:val="left"/>
      <w:pPr>
        <w:tabs>
          <w:tab w:val="num" w:pos="0"/>
        </w:tabs>
        <w:ind w:left="0" w:hanging="108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E700E3"/>
    <w:multiLevelType w:val="hybridMultilevel"/>
    <w:tmpl w:val="010EB9F2"/>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2F70F3"/>
    <w:multiLevelType w:val="hybridMultilevel"/>
    <w:tmpl w:val="5BBE0BD2"/>
    <w:lvl w:ilvl="0" w:tplc="C0F29BC8">
      <w:start w:val="1"/>
      <w:numFmt w:val="decimal"/>
      <w:lvlText w:val="%1"/>
      <w:lvlJc w:val="left"/>
      <w:pPr>
        <w:tabs>
          <w:tab w:val="num" w:pos="0"/>
        </w:tabs>
        <w:ind w:left="0" w:hanging="108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573BCC"/>
    <w:multiLevelType w:val="hybridMultilevel"/>
    <w:tmpl w:val="8A4C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E2869"/>
    <w:multiLevelType w:val="hybridMultilevel"/>
    <w:tmpl w:val="E7D2EF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8E877D3"/>
    <w:multiLevelType w:val="hybridMultilevel"/>
    <w:tmpl w:val="01C2C090"/>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957351"/>
    <w:multiLevelType w:val="hybridMultilevel"/>
    <w:tmpl w:val="2EB6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71302"/>
    <w:multiLevelType w:val="hybridMultilevel"/>
    <w:tmpl w:val="29DC201A"/>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7D6D2C"/>
    <w:multiLevelType w:val="multilevel"/>
    <w:tmpl w:val="05560372"/>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0ED25DC"/>
    <w:multiLevelType w:val="hybridMultilevel"/>
    <w:tmpl w:val="4A0AE81A"/>
    <w:lvl w:ilvl="0" w:tplc="AF1649A2">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D819CE"/>
    <w:multiLevelType w:val="hybridMultilevel"/>
    <w:tmpl w:val="46A6E61E"/>
    <w:lvl w:ilvl="0" w:tplc="B94085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FA601F"/>
    <w:multiLevelType w:val="hybridMultilevel"/>
    <w:tmpl w:val="3A74F38C"/>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744812"/>
    <w:multiLevelType w:val="hybridMultilevel"/>
    <w:tmpl w:val="506471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6B53178D"/>
    <w:multiLevelType w:val="hybridMultilevel"/>
    <w:tmpl w:val="D598A7A0"/>
    <w:lvl w:ilvl="0" w:tplc="140A3C68">
      <w:start w:val="13"/>
      <w:numFmt w:val="decimal"/>
      <w:lvlText w:val="%1."/>
      <w:lvlJc w:val="left"/>
      <w:pPr>
        <w:tabs>
          <w:tab w:val="num" w:pos="0"/>
        </w:tabs>
        <w:ind w:left="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1" w15:restartNumberingAfterBreak="0">
    <w:nsid w:val="7A335B52"/>
    <w:multiLevelType w:val="hybridMultilevel"/>
    <w:tmpl w:val="3DCE6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num>
  <w:num w:numId="3">
    <w:abstractNumId w:val="17"/>
  </w:num>
  <w:num w:numId="4">
    <w:abstractNumId w:val="6"/>
  </w:num>
  <w:num w:numId="5">
    <w:abstractNumId w:val="19"/>
  </w:num>
  <w:num w:numId="6">
    <w:abstractNumId w:val="12"/>
  </w:num>
  <w:num w:numId="7">
    <w:abstractNumId w:val="9"/>
  </w:num>
  <w:num w:numId="8">
    <w:abstractNumId w:val="4"/>
  </w:num>
  <w:num w:numId="9">
    <w:abstractNumId w:val="1"/>
  </w:num>
  <w:num w:numId="10">
    <w:abstractNumId w:val="25"/>
  </w:num>
  <w:num w:numId="11">
    <w:abstractNumId w:val="0"/>
  </w:num>
  <w:num w:numId="12">
    <w:abstractNumId w:val="31"/>
  </w:num>
  <w:num w:numId="13">
    <w:abstractNumId w:val="16"/>
  </w:num>
  <w:num w:numId="14">
    <w:abstractNumId w:val="30"/>
  </w:num>
  <w:num w:numId="15">
    <w:abstractNumId w:val="2"/>
  </w:num>
  <w:num w:numId="16">
    <w:abstractNumId w:val="10"/>
  </w:num>
  <w:num w:numId="17">
    <w:abstractNumId w:val="14"/>
  </w:num>
  <w:num w:numId="18">
    <w:abstractNumId w:val="18"/>
  </w:num>
  <w:num w:numId="19">
    <w:abstractNumId w:val="3"/>
  </w:num>
  <w:num w:numId="20">
    <w:abstractNumId w:val="5"/>
  </w:num>
  <w:num w:numId="21">
    <w:abstractNumId w:val="13"/>
  </w:num>
  <w:num w:numId="22">
    <w:abstractNumId w:val="27"/>
  </w:num>
  <w:num w:numId="23">
    <w:abstractNumId w:val="15"/>
  </w:num>
  <w:num w:numId="24">
    <w:abstractNumId w:val="24"/>
  </w:num>
  <w:num w:numId="25">
    <w:abstractNumId w:val="28"/>
  </w:num>
  <w:num w:numId="26">
    <w:abstractNumId w:val="23"/>
  </w:num>
  <w:num w:numId="27">
    <w:abstractNumId w:val="22"/>
  </w:num>
  <w:num w:numId="28">
    <w:abstractNumId w:val="8"/>
  </w:num>
  <w:num w:numId="29">
    <w:abstractNumId w:val="2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0"/>
  </w:num>
  <w:num w:numId="33">
    <w:abstractNumId w:val="7"/>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05"/>
    <w:rsid w:val="0000044C"/>
    <w:rsid w:val="00002974"/>
    <w:rsid w:val="00003B8C"/>
    <w:rsid w:val="00004131"/>
    <w:rsid w:val="00005E73"/>
    <w:rsid w:val="000108FA"/>
    <w:rsid w:val="00010D47"/>
    <w:rsid w:val="000114B0"/>
    <w:rsid w:val="00015495"/>
    <w:rsid w:val="000160CB"/>
    <w:rsid w:val="000210E3"/>
    <w:rsid w:val="0002221F"/>
    <w:rsid w:val="00022D3B"/>
    <w:rsid w:val="0002421A"/>
    <w:rsid w:val="0003155F"/>
    <w:rsid w:val="00031EDC"/>
    <w:rsid w:val="000414DD"/>
    <w:rsid w:val="00041B68"/>
    <w:rsid w:val="00042D3F"/>
    <w:rsid w:val="00043F78"/>
    <w:rsid w:val="00046B0E"/>
    <w:rsid w:val="0004733B"/>
    <w:rsid w:val="00051EFB"/>
    <w:rsid w:val="0005289C"/>
    <w:rsid w:val="00052D24"/>
    <w:rsid w:val="000551CD"/>
    <w:rsid w:val="00056471"/>
    <w:rsid w:val="00056D0F"/>
    <w:rsid w:val="0006180D"/>
    <w:rsid w:val="00062235"/>
    <w:rsid w:val="00064A81"/>
    <w:rsid w:val="000652A2"/>
    <w:rsid w:val="00066146"/>
    <w:rsid w:val="00066548"/>
    <w:rsid w:val="00066BF6"/>
    <w:rsid w:val="0007343E"/>
    <w:rsid w:val="00073B45"/>
    <w:rsid w:val="00080A24"/>
    <w:rsid w:val="00082B19"/>
    <w:rsid w:val="00082D59"/>
    <w:rsid w:val="00082E54"/>
    <w:rsid w:val="0008363A"/>
    <w:rsid w:val="00084610"/>
    <w:rsid w:val="00084A64"/>
    <w:rsid w:val="0009356B"/>
    <w:rsid w:val="00095099"/>
    <w:rsid w:val="0009556D"/>
    <w:rsid w:val="0009634A"/>
    <w:rsid w:val="00096A62"/>
    <w:rsid w:val="000A3298"/>
    <w:rsid w:val="000A675F"/>
    <w:rsid w:val="000B4BBC"/>
    <w:rsid w:val="000B615C"/>
    <w:rsid w:val="000B6D8B"/>
    <w:rsid w:val="000B78B9"/>
    <w:rsid w:val="000C269E"/>
    <w:rsid w:val="000C4073"/>
    <w:rsid w:val="000C459D"/>
    <w:rsid w:val="000C493C"/>
    <w:rsid w:val="000D1036"/>
    <w:rsid w:val="000D4711"/>
    <w:rsid w:val="000E104B"/>
    <w:rsid w:val="000E30CA"/>
    <w:rsid w:val="000E43AF"/>
    <w:rsid w:val="000E4753"/>
    <w:rsid w:val="000E5939"/>
    <w:rsid w:val="000E6021"/>
    <w:rsid w:val="000E65E5"/>
    <w:rsid w:val="000E6627"/>
    <w:rsid w:val="000F23D3"/>
    <w:rsid w:val="000F280F"/>
    <w:rsid w:val="000F2B5C"/>
    <w:rsid w:val="000F7310"/>
    <w:rsid w:val="001036EA"/>
    <w:rsid w:val="001058D1"/>
    <w:rsid w:val="001064EA"/>
    <w:rsid w:val="0011141B"/>
    <w:rsid w:val="00113137"/>
    <w:rsid w:val="00113C7F"/>
    <w:rsid w:val="00114507"/>
    <w:rsid w:val="00114E60"/>
    <w:rsid w:val="001159C4"/>
    <w:rsid w:val="00125E08"/>
    <w:rsid w:val="00126458"/>
    <w:rsid w:val="001372A6"/>
    <w:rsid w:val="00140F6A"/>
    <w:rsid w:val="001423C1"/>
    <w:rsid w:val="001428C9"/>
    <w:rsid w:val="001454A6"/>
    <w:rsid w:val="00146449"/>
    <w:rsid w:val="00147CB4"/>
    <w:rsid w:val="00150F9D"/>
    <w:rsid w:val="0015261C"/>
    <w:rsid w:val="0015288C"/>
    <w:rsid w:val="001530D6"/>
    <w:rsid w:val="001549AC"/>
    <w:rsid w:val="00154EEC"/>
    <w:rsid w:val="00157ADF"/>
    <w:rsid w:val="00161742"/>
    <w:rsid w:val="00162058"/>
    <w:rsid w:val="00167D9A"/>
    <w:rsid w:val="00170139"/>
    <w:rsid w:val="00170ABD"/>
    <w:rsid w:val="0017261B"/>
    <w:rsid w:val="00172803"/>
    <w:rsid w:val="00174160"/>
    <w:rsid w:val="00174EAF"/>
    <w:rsid w:val="0017585E"/>
    <w:rsid w:val="00177BA9"/>
    <w:rsid w:val="00177E74"/>
    <w:rsid w:val="001802D4"/>
    <w:rsid w:val="00181B43"/>
    <w:rsid w:val="00184385"/>
    <w:rsid w:val="00186451"/>
    <w:rsid w:val="0019029C"/>
    <w:rsid w:val="00190FCA"/>
    <w:rsid w:val="00191F4F"/>
    <w:rsid w:val="001920F5"/>
    <w:rsid w:val="00192418"/>
    <w:rsid w:val="001A135A"/>
    <w:rsid w:val="001A1AB5"/>
    <w:rsid w:val="001A5C49"/>
    <w:rsid w:val="001A639C"/>
    <w:rsid w:val="001A6EA4"/>
    <w:rsid w:val="001A7200"/>
    <w:rsid w:val="001B0C9F"/>
    <w:rsid w:val="001B0DA4"/>
    <w:rsid w:val="001B15C7"/>
    <w:rsid w:val="001B31D0"/>
    <w:rsid w:val="001B4195"/>
    <w:rsid w:val="001B5179"/>
    <w:rsid w:val="001B56AF"/>
    <w:rsid w:val="001B6434"/>
    <w:rsid w:val="001C1A9C"/>
    <w:rsid w:val="001C268F"/>
    <w:rsid w:val="001C45FD"/>
    <w:rsid w:val="001C700D"/>
    <w:rsid w:val="001C7620"/>
    <w:rsid w:val="001D00F2"/>
    <w:rsid w:val="001D0854"/>
    <w:rsid w:val="001D6240"/>
    <w:rsid w:val="001D69BA"/>
    <w:rsid w:val="001D7AF0"/>
    <w:rsid w:val="001E087A"/>
    <w:rsid w:val="001E6DE7"/>
    <w:rsid w:val="001E6E61"/>
    <w:rsid w:val="001E736E"/>
    <w:rsid w:val="001F0349"/>
    <w:rsid w:val="001F1D33"/>
    <w:rsid w:val="001F5358"/>
    <w:rsid w:val="001F5632"/>
    <w:rsid w:val="001F67F7"/>
    <w:rsid w:val="002002C6"/>
    <w:rsid w:val="00200831"/>
    <w:rsid w:val="00203182"/>
    <w:rsid w:val="002034BB"/>
    <w:rsid w:val="00205613"/>
    <w:rsid w:val="002072A2"/>
    <w:rsid w:val="002107B6"/>
    <w:rsid w:val="00210C75"/>
    <w:rsid w:val="002113FA"/>
    <w:rsid w:val="00213C2C"/>
    <w:rsid w:val="00215F8A"/>
    <w:rsid w:val="002213A8"/>
    <w:rsid w:val="0022572D"/>
    <w:rsid w:val="002274FE"/>
    <w:rsid w:val="002346BF"/>
    <w:rsid w:val="00234AF9"/>
    <w:rsid w:val="00234ED4"/>
    <w:rsid w:val="002350D7"/>
    <w:rsid w:val="00235860"/>
    <w:rsid w:val="0023636F"/>
    <w:rsid w:val="00236767"/>
    <w:rsid w:val="00241B31"/>
    <w:rsid w:val="00245558"/>
    <w:rsid w:val="00245981"/>
    <w:rsid w:val="00245C83"/>
    <w:rsid w:val="00246315"/>
    <w:rsid w:val="00247A13"/>
    <w:rsid w:val="00250BE9"/>
    <w:rsid w:val="00251A95"/>
    <w:rsid w:val="00254B0D"/>
    <w:rsid w:val="00254DBC"/>
    <w:rsid w:val="00255FD5"/>
    <w:rsid w:val="00257194"/>
    <w:rsid w:val="00260512"/>
    <w:rsid w:val="002657A7"/>
    <w:rsid w:val="00267A34"/>
    <w:rsid w:val="00267E3B"/>
    <w:rsid w:val="00270256"/>
    <w:rsid w:val="00270DA1"/>
    <w:rsid w:val="0027241F"/>
    <w:rsid w:val="00273A23"/>
    <w:rsid w:val="00273DBA"/>
    <w:rsid w:val="0027542D"/>
    <w:rsid w:val="002768D7"/>
    <w:rsid w:val="002769FD"/>
    <w:rsid w:val="002813B6"/>
    <w:rsid w:val="002841EA"/>
    <w:rsid w:val="00285982"/>
    <w:rsid w:val="00285BEE"/>
    <w:rsid w:val="00287224"/>
    <w:rsid w:val="00291711"/>
    <w:rsid w:val="002A02B4"/>
    <w:rsid w:val="002A226E"/>
    <w:rsid w:val="002A3DB0"/>
    <w:rsid w:val="002A5313"/>
    <w:rsid w:val="002A7C7C"/>
    <w:rsid w:val="002B1570"/>
    <w:rsid w:val="002B15DD"/>
    <w:rsid w:val="002B21B9"/>
    <w:rsid w:val="002B28CE"/>
    <w:rsid w:val="002B3799"/>
    <w:rsid w:val="002B5289"/>
    <w:rsid w:val="002B5EC9"/>
    <w:rsid w:val="002C4CB4"/>
    <w:rsid w:val="002D2B9B"/>
    <w:rsid w:val="002E22E9"/>
    <w:rsid w:val="002E3BA9"/>
    <w:rsid w:val="002E406E"/>
    <w:rsid w:val="002E41AE"/>
    <w:rsid w:val="002E556C"/>
    <w:rsid w:val="002E6989"/>
    <w:rsid w:val="002F37D7"/>
    <w:rsid w:val="003003EC"/>
    <w:rsid w:val="00302D80"/>
    <w:rsid w:val="003076F2"/>
    <w:rsid w:val="003077CA"/>
    <w:rsid w:val="00307E5F"/>
    <w:rsid w:val="003122E5"/>
    <w:rsid w:val="00312FE8"/>
    <w:rsid w:val="00316A08"/>
    <w:rsid w:val="00317AEC"/>
    <w:rsid w:val="00317CD1"/>
    <w:rsid w:val="00321112"/>
    <w:rsid w:val="003215F3"/>
    <w:rsid w:val="0032166D"/>
    <w:rsid w:val="00322109"/>
    <w:rsid w:val="00324218"/>
    <w:rsid w:val="00332203"/>
    <w:rsid w:val="0033353A"/>
    <w:rsid w:val="0033403C"/>
    <w:rsid w:val="0033413B"/>
    <w:rsid w:val="00334A3F"/>
    <w:rsid w:val="00334F77"/>
    <w:rsid w:val="00336BF2"/>
    <w:rsid w:val="00337133"/>
    <w:rsid w:val="00337C88"/>
    <w:rsid w:val="00343B81"/>
    <w:rsid w:val="00344073"/>
    <w:rsid w:val="003472AF"/>
    <w:rsid w:val="00347786"/>
    <w:rsid w:val="00352F18"/>
    <w:rsid w:val="003550F0"/>
    <w:rsid w:val="00355644"/>
    <w:rsid w:val="0036151A"/>
    <w:rsid w:val="003630B0"/>
    <w:rsid w:val="003631BB"/>
    <w:rsid w:val="003635E7"/>
    <w:rsid w:val="00370769"/>
    <w:rsid w:val="00370B70"/>
    <w:rsid w:val="003714A6"/>
    <w:rsid w:val="003730EB"/>
    <w:rsid w:val="00376B91"/>
    <w:rsid w:val="00376C7B"/>
    <w:rsid w:val="00377236"/>
    <w:rsid w:val="003777F6"/>
    <w:rsid w:val="00380C1E"/>
    <w:rsid w:val="003813F6"/>
    <w:rsid w:val="0038202F"/>
    <w:rsid w:val="00382408"/>
    <w:rsid w:val="00382CF4"/>
    <w:rsid w:val="00382D32"/>
    <w:rsid w:val="003832C4"/>
    <w:rsid w:val="003837B7"/>
    <w:rsid w:val="00383A77"/>
    <w:rsid w:val="00383FC1"/>
    <w:rsid w:val="0039241C"/>
    <w:rsid w:val="0039258B"/>
    <w:rsid w:val="003931C8"/>
    <w:rsid w:val="0039429B"/>
    <w:rsid w:val="00396151"/>
    <w:rsid w:val="003962EF"/>
    <w:rsid w:val="003A1633"/>
    <w:rsid w:val="003A5E76"/>
    <w:rsid w:val="003B03A0"/>
    <w:rsid w:val="003B0588"/>
    <w:rsid w:val="003B153E"/>
    <w:rsid w:val="003B220F"/>
    <w:rsid w:val="003B386B"/>
    <w:rsid w:val="003B3FBD"/>
    <w:rsid w:val="003B4FB1"/>
    <w:rsid w:val="003B5023"/>
    <w:rsid w:val="003B581A"/>
    <w:rsid w:val="003B6225"/>
    <w:rsid w:val="003B7132"/>
    <w:rsid w:val="003B7E96"/>
    <w:rsid w:val="003C0AFE"/>
    <w:rsid w:val="003C2D02"/>
    <w:rsid w:val="003C3483"/>
    <w:rsid w:val="003C36C4"/>
    <w:rsid w:val="003C3741"/>
    <w:rsid w:val="003C602A"/>
    <w:rsid w:val="003C7B97"/>
    <w:rsid w:val="003D123B"/>
    <w:rsid w:val="003D15B1"/>
    <w:rsid w:val="003D38AC"/>
    <w:rsid w:val="003D4E5B"/>
    <w:rsid w:val="003D71C7"/>
    <w:rsid w:val="003D7935"/>
    <w:rsid w:val="003E3B5B"/>
    <w:rsid w:val="003E5CC2"/>
    <w:rsid w:val="003E76F5"/>
    <w:rsid w:val="003E7CC2"/>
    <w:rsid w:val="003F1D95"/>
    <w:rsid w:val="003F3ABA"/>
    <w:rsid w:val="00401097"/>
    <w:rsid w:val="0040561B"/>
    <w:rsid w:val="00405BEF"/>
    <w:rsid w:val="00405F10"/>
    <w:rsid w:val="00412201"/>
    <w:rsid w:val="00412F37"/>
    <w:rsid w:val="00413C5E"/>
    <w:rsid w:val="00415C2D"/>
    <w:rsid w:val="00416959"/>
    <w:rsid w:val="004178D8"/>
    <w:rsid w:val="0042490B"/>
    <w:rsid w:val="00425492"/>
    <w:rsid w:val="004262CE"/>
    <w:rsid w:val="004263CD"/>
    <w:rsid w:val="00430477"/>
    <w:rsid w:val="004316A1"/>
    <w:rsid w:val="004326A5"/>
    <w:rsid w:val="00433899"/>
    <w:rsid w:val="00436712"/>
    <w:rsid w:val="004369C5"/>
    <w:rsid w:val="004374D2"/>
    <w:rsid w:val="00442569"/>
    <w:rsid w:val="0044386F"/>
    <w:rsid w:val="00447519"/>
    <w:rsid w:val="004509FB"/>
    <w:rsid w:val="00451160"/>
    <w:rsid w:val="00453E44"/>
    <w:rsid w:val="00453ED7"/>
    <w:rsid w:val="00460158"/>
    <w:rsid w:val="004601D2"/>
    <w:rsid w:val="00461FBA"/>
    <w:rsid w:val="004643F3"/>
    <w:rsid w:val="004647EE"/>
    <w:rsid w:val="00467B25"/>
    <w:rsid w:val="004702F0"/>
    <w:rsid w:val="00471770"/>
    <w:rsid w:val="00471794"/>
    <w:rsid w:val="00471BDC"/>
    <w:rsid w:val="004720BB"/>
    <w:rsid w:val="00472DEE"/>
    <w:rsid w:val="004751F3"/>
    <w:rsid w:val="0047527F"/>
    <w:rsid w:val="00480767"/>
    <w:rsid w:val="00484A32"/>
    <w:rsid w:val="00485890"/>
    <w:rsid w:val="00485B4C"/>
    <w:rsid w:val="0048767A"/>
    <w:rsid w:val="00490BA3"/>
    <w:rsid w:val="00490CC0"/>
    <w:rsid w:val="00491341"/>
    <w:rsid w:val="00493160"/>
    <w:rsid w:val="004970E2"/>
    <w:rsid w:val="004A21CF"/>
    <w:rsid w:val="004A3711"/>
    <w:rsid w:val="004A7D96"/>
    <w:rsid w:val="004B0659"/>
    <w:rsid w:val="004B53D7"/>
    <w:rsid w:val="004B5BCA"/>
    <w:rsid w:val="004B6430"/>
    <w:rsid w:val="004B6F3F"/>
    <w:rsid w:val="004C21A5"/>
    <w:rsid w:val="004C3A3C"/>
    <w:rsid w:val="004C3B7E"/>
    <w:rsid w:val="004D0F77"/>
    <w:rsid w:val="004D3E79"/>
    <w:rsid w:val="004D44ED"/>
    <w:rsid w:val="004D77DC"/>
    <w:rsid w:val="004E1C5A"/>
    <w:rsid w:val="004E25EB"/>
    <w:rsid w:val="004E2A1F"/>
    <w:rsid w:val="004E342F"/>
    <w:rsid w:val="004E422D"/>
    <w:rsid w:val="004E7206"/>
    <w:rsid w:val="004F2198"/>
    <w:rsid w:val="004F3DC8"/>
    <w:rsid w:val="004F5D3A"/>
    <w:rsid w:val="004F63C1"/>
    <w:rsid w:val="0050124F"/>
    <w:rsid w:val="00504388"/>
    <w:rsid w:val="00506524"/>
    <w:rsid w:val="00507A40"/>
    <w:rsid w:val="00512A30"/>
    <w:rsid w:val="00513787"/>
    <w:rsid w:val="005169BC"/>
    <w:rsid w:val="005178E9"/>
    <w:rsid w:val="00517FAC"/>
    <w:rsid w:val="00517FDC"/>
    <w:rsid w:val="00520C8C"/>
    <w:rsid w:val="00520CB9"/>
    <w:rsid w:val="00521BF6"/>
    <w:rsid w:val="00521D28"/>
    <w:rsid w:val="00521EA1"/>
    <w:rsid w:val="005227A3"/>
    <w:rsid w:val="00522853"/>
    <w:rsid w:val="00522A41"/>
    <w:rsid w:val="0052375E"/>
    <w:rsid w:val="00525D54"/>
    <w:rsid w:val="005260FA"/>
    <w:rsid w:val="005267AB"/>
    <w:rsid w:val="00527C71"/>
    <w:rsid w:val="00533377"/>
    <w:rsid w:val="00533A94"/>
    <w:rsid w:val="00533D18"/>
    <w:rsid w:val="00536E31"/>
    <w:rsid w:val="00537DB4"/>
    <w:rsid w:val="00540B7E"/>
    <w:rsid w:val="0054142E"/>
    <w:rsid w:val="00542B10"/>
    <w:rsid w:val="005437AF"/>
    <w:rsid w:val="005453D6"/>
    <w:rsid w:val="00545DBB"/>
    <w:rsid w:val="005463E9"/>
    <w:rsid w:val="00552BF8"/>
    <w:rsid w:val="005537D1"/>
    <w:rsid w:val="0055533D"/>
    <w:rsid w:val="00555485"/>
    <w:rsid w:val="00555893"/>
    <w:rsid w:val="005570D2"/>
    <w:rsid w:val="0055710E"/>
    <w:rsid w:val="0055748D"/>
    <w:rsid w:val="0056133F"/>
    <w:rsid w:val="00564BEF"/>
    <w:rsid w:val="00565092"/>
    <w:rsid w:val="00565156"/>
    <w:rsid w:val="00565515"/>
    <w:rsid w:val="005706C3"/>
    <w:rsid w:val="00573CEA"/>
    <w:rsid w:val="00577BE4"/>
    <w:rsid w:val="0058494B"/>
    <w:rsid w:val="00586EE7"/>
    <w:rsid w:val="005919A4"/>
    <w:rsid w:val="0059378C"/>
    <w:rsid w:val="00597FF5"/>
    <w:rsid w:val="005A196B"/>
    <w:rsid w:val="005A25BE"/>
    <w:rsid w:val="005A4082"/>
    <w:rsid w:val="005A4BE8"/>
    <w:rsid w:val="005A6689"/>
    <w:rsid w:val="005B07B0"/>
    <w:rsid w:val="005B0BEC"/>
    <w:rsid w:val="005B27E7"/>
    <w:rsid w:val="005B2C01"/>
    <w:rsid w:val="005B3A39"/>
    <w:rsid w:val="005C0664"/>
    <w:rsid w:val="005C15C6"/>
    <w:rsid w:val="005C36F4"/>
    <w:rsid w:val="005C5782"/>
    <w:rsid w:val="005D03DA"/>
    <w:rsid w:val="005D3C1B"/>
    <w:rsid w:val="005D6026"/>
    <w:rsid w:val="005D66A6"/>
    <w:rsid w:val="005D68F4"/>
    <w:rsid w:val="005E09A1"/>
    <w:rsid w:val="005E10CA"/>
    <w:rsid w:val="005E5EE4"/>
    <w:rsid w:val="005E6518"/>
    <w:rsid w:val="005E7505"/>
    <w:rsid w:val="005E7657"/>
    <w:rsid w:val="005F3073"/>
    <w:rsid w:val="005F443B"/>
    <w:rsid w:val="005F4E92"/>
    <w:rsid w:val="005F5463"/>
    <w:rsid w:val="005F7F0E"/>
    <w:rsid w:val="006005E5"/>
    <w:rsid w:val="00600CCA"/>
    <w:rsid w:val="00601D72"/>
    <w:rsid w:val="00602240"/>
    <w:rsid w:val="0060229B"/>
    <w:rsid w:val="0060239B"/>
    <w:rsid w:val="00602D8D"/>
    <w:rsid w:val="00606824"/>
    <w:rsid w:val="00606B1B"/>
    <w:rsid w:val="0061083E"/>
    <w:rsid w:val="00610C76"/>
    <w:rsid w:val="0061290F"/>
    <w:rsid w:val="00617FF8"/>
    <w:rsid w:val="00626307"/>
    <w:rsid w:val="006277E3"/>
    <w:rsid w:val="006316CD"/>
    <w:rsid w:val="006318EC"/>
    <w:rsid w:val="00632B17"/>
    <w:rsid w:val="006337E0"/>
    <w:rsid w:val="00633CC5"/>
    <w:rsid w:val="00633FBC"/>
    <w:rsid w:val="0063721B"/>
    <w:rsid w:val="0063729E"/>
    <w:rsid w:val="00641F75"/>
    <w:rsid w:val="00642FA1"/>
    <w:rsid w:val="00645055"/>
    <w:rsid w:val="0064510C"/>
    <w:rsid w:val="006456CB"/>
    <w:rsid w:val="00647A3F"/>
    <w:rsid w:val="00647DAC"/>
    <w:rsid w:val="00654C0C"/>
    <w:rsid w:val="00655269"/>
    <w:rsid w:val="00655895"/>
    <w:rsid w:val="00661CFF"/>
    <w:rsid w:val="00663032"/>
    <w:rsid w:val="00664A51"/>
    <w:rsid w:val="006657CF"/>
    <w:rsid w:val="00665D6D"/>
    <w:rsid w:val="00666D3C"/>
    <w:rsid w:val="00670E9E"/>
    <w:rsid w:val="00671003"/>
    <w:rsid w:val="00671794"/>
    <w:rsid w:val="0067191F"/>
    <w:rsid w:val="00674361"/>
    <w:rsid w:val="00674890"/>
    <w:rsid w:val="006751ED"/>
    <w:rsid w:val="006812A8"/>
    <w:rsid w:val="00681DF7"/>
    <w:rsid w:val="006827AA"/>
    <w:rsid w:val="00685333"/>
    <w:rsid w:val="00687C55"/>
    <w:rsid w:val="006903C8"/>
    <w:rsid w:val="00692E2D"/>
    <w:rsid w:val="00693652"/>
    <w:rsid w:val="00696139"/>
    <w:rsid w:val="006975A9"/>
    <w:rsid w:val="00697BD5"/>
    <w:rsid w:val="006A183C"/>
    <w:rsid w:val="006A3ED2"/>
    <w:rsid w:val="006B0C2A"/>
    <w:rsid w:val="006B210A"/>
    <w:rsid w:val="006B2528"/>
    <w:rsid w:val="006B2C39"/>
    <w:rsid w:val="006B350B"/>
    <w:rsid w:val="006B3DB4"/>
    <w:rsid w:val="006B3DFF"/>
    <w:rsid w:val="006B52B2"/>
    <w:rsid w:val="006B6C13"/>
    <w:rsid w:val="006C016B"/>
    <w:rsid w:val="006C5FD2"/>
    <w:rsid w:val="006C66E7"/>
    <w:rsid w:val="006D04E4"/>
    <w:rsid w:val="006D0E53"/>
    <w:rsid w:val="006D1D5C"/>
    <w:rsid w:val="006D214B"/>
    <w:rsid w:val="006D31D4"/>
    <w:rsid w:val="006D399E"/>
    <w:rsid w:val="006D3CD8"/>
    <w:rsid w:val="006D7D95"/>
    <w:rsid w:val="006D7DFF"/>
    <w:rsid w:val="006E0FF6"/>
    <w:rsid w:val="006E1262"/>
    <w:rsid w:val="006E7252"/>
    <w:rsid w:val="006E78EF"/>
    <w:rsid w:val="006E7F55"/>
    <w:rsid w:val="006F3D43"/>
    <w:rsid w:val="006F3DBF"/>
    <w:rsid w:val="006F7820"/>
    <w:rsid w:val="00700CDE"/>
    <w:rsid w:val="00702FDF"/>
    <w:rsid w:val="00703405"/>
    <w:rsid w:val="00705E88"/>
    <w:rsid w:val="007114CB"/>
    <w:rsid w:val="0071163F"/>
    <w:rsid w:val="007122A1"/>
    <w:rsid w:val="00712FF4"/>
    <w:rsid w:val="0071394B"/>
    <w:rsid w:val="0071418F"/>
    <w:rsid w:val="00717A25"/>
    <w:rsid w:val="00722CEA"/>
    <w:rsid w:val="00722D2D"/>
    <w:rsid w:val="0072401D"/>
    <w:rsid w:val="0072705D"/>
    <w:rsid w:val="00731660"/>
    <w:rsid w:val="00731675"/>
    <w:rsid w:val="00735707"/>
    <w:rsid w:val="00735A08"/>
    <w:rsid w:val="00737AB9"/>
    <w:rsid w:val="0074062D"/>
    <w:rsid w:val="0074184E"/>
    <w:rsid w:val="00741BD6"/>
    <w:rsid w:val="0074554A"/>
    <w:rsid w:val="007466D0"/>
    <w:rsid w:val="007535D9"/>
    <w:rsid w:val="00755480"/>
    <w:rsid w:val="00756738"/>
    <w:rsid w:val="00757178"/>
    <w:rsid w:val="007612DC"/>
    <w:rsid w:val="00762E42"/>
    <w:rsid w:val="0076514A"/>
    <w:rsid w:val="00771354"/>
    <w:rsid w:val="00772092"/>
    <w:rsid w:val="00776BCB"/>
    <w:rsid w:val="00781894"/>
    <w:rsid w:val="00782A11"/>
    <w:rsid w:val="00786011"/>
    <w:rsid w:val="00796EEF"/>
    <w:rsid w:val="0079715B"/>
    <w:rsid w:val="00797D23"/>
    <w:rsid w:val="00797EFD"/>
    <w:rsid w:val="007A0499"/>
    <w:rsid w:val="007A1E3D"/>
    <w:rsid w:val="007A2B1F"/>
    <w:rsid w:val="007A2F6D"/>
    <w:rsid w:val="007A6FC9"/>
    <w:rsid w:val="007B10EC"/>
    <w:rsid w:val="007B39D8"/>
    <w:rsid w:val="007B4513"/>
    <w:rsid w:val="007B4927"/>
    <w:rsid w:val="007B5B5B"/>
    <w:rsid w:val="007B6A36"/>
    <w:rsid w:val="007B7C89"/>
    <w:rsid w:val="007C0FCE"/>
    <w:rsid w:val="007C1474"/>
    <w:rsid w:val="007C2062"/>
    <w:rsid w:val="007C69B1"/>
    <w:rsid w:val="007D1899"/>
    <w:rsid w:val="007D30CE"/>
    <w:rsid w:val="007D3F9B"/>
    <w:rsid w:val="007D6F34"/>
    <w:rsid w:val="007E30DF"/>
    <w:rsid w:val="007E3654"/>
    <w:rsid w:val="007E5245"/>
    <w:rsid w:val="007E5767"/>
    <w:rsid w:val="007F00E9"/>
    <w:rsid w:val="007F4649"/>
    <w:rsid w:val="007F4FC6"/>
    <w:rsid w:val="007F5637"/>
    <w:rsid w:val="007F5E82"/>
    <w:rsid w:val="008021C5"/>
    <w:rsid w:val="008026CC"/>
    <w:rsid w:val="00803613"/>
    <w:rsid w:val="00812EE2"/>
    <w:rsid w:val="00813104"/>
    <w:rsid w:val="00815492"/>
    <w:rsid w:val="00816223"/>
    <w:rsid w:val="0081738A"/>
    <w:rsid w:val="0082056C"/>
    <w:rsid w:val="00820A4D"/>
    <w:rsid w:val="00821BA4"/>
    <w:rsid w:val="008245BA"/>
    <w:rsid w:val="008267A3"/>
    <w:rsid w:val="0083010B"/>
    <w:rsid w:val="008333DB"/>
    <w:rsid w:val="00834D75"/>
    <w:rsid w:val="008351BD"/>
    <w:rsid w:val="00837157"/>
    <w:rsid w:val="00840278"/>
    <w:rsid w:val="0084134F"/>
    <w:rsid w:val="00841CF5"/>
    <w:rsid w:val="0085267B"/>
    <w:rsid w:val="00853F3D"/>
    <w:rsid w:val="00857196"/>
    <w:rsid w:val="00860CD6"/>
    <w:rsid w:val="00861F94"/>
    <w:rsid w:val="00862039"/>
    <w:rsid w:val="0086229C"/>
    <w:rsid w:val="00864E94"/>
    <w:rsid w:val="00866D4D"/>
    <w:rsid w:val="00867FB9"/>
    <w:rsid w:val="008705EC"/>
    <w:rsid w:val="00872D2E"/>
    <w:rsid w:val="0087340C"/>
    <w:rsid w:val="008742B9"/>
    <w:rsid w:val="0087443B"/>
    <w:rsid w:val="00874AD1"/>
    <w:rsid w:val="00875C0C"/>
    <w:rsid w:val="00875FCB"/>
    <w:rsid w:val="008802D4"/>
    <w:rsid w:val="00882C60"/>
    <w:rsid w:val="00885221"/>
    <w:rsid w:val="00886C75"/>
    <w:rsid w:val="008871B4"/>
    <w:rsid w:val="00887C54"/>
    <w:rsid w:val="00890422"/>
    <w:rsid w:val="00890F6F"/>
    <w:rsid w:val="008931F2"/>
    <w:rsid w:val="00893DAE"/>
    <w:rsid w:val="00893E88"/>
    <w:rsid w:val="0089416A"/>
    <w:rsid w:val="008978C3"/>
    <w:rsid w:val="008A1D5B"/>
    <w:rsid w:val="008A3FCC"/>
    <w:rsid w:val="008A53D4"/>
    <w:rsid w:val="008A5C5E"/>
    <w:rsid w:val="008A5CAB"/>
    <w:rsid w:val="008B10AC"/>
    <w:rsid w:val="008B17DB"/>
    <w:rsid w:val="008B3A5E"/>
    <w:rsid w:val="008B408E"/>
    <w:rsid w:val="008B7CD1"/>
    <w:rsid w:val="008C0365"/>
    <w:rsid w:val="008C1536"/>
    <w:rsid w:val="008C376D"/>
    <w:rsid w:val="008C48A7"/>
    <w:rsid w:val="008C5241"/>
    <w:rsid w:val="008D04BF"/>
    <w:rsid w:val="008D05A8"/>
    <w:rsid w:val="008D1356"/>
    <w:rsid w:val="008D15C2"/>
    <w:rsid w:val="008D1F53"/>
    <w:rsid w:val="008D2976"/>
    <w:rsid w:val="008D2DE4"/>
    <w:rsid w:val="008D3D02"/>
    <w:rsid w:val="008D4393"/>
    <w:rsid w:val="008D5432"/>
    <w:rsid w:val="008E1890"/>
    <w:rsid w:val="008E19EB"/>
    <w:rsid w:val="008E28DE"/>
    <w:rsid w:val="008E3F21"/>
    <w:rsid w:val="008F0377"/>
    <w:rsid w:val="008F2054"/>
    <w:rsid w:val="008F2AEB"/>
    <w:rsid w:val="008F2D04"/>
    <w:rsid w:val="008F661D"/>
    <w:rsid w:val="008F7EC0"/>
    <w:rsid w:val="00901610"/>
    <w:rsid w:val="00901C88"/>
    <w:rsid w:val="00904526"/>
    <w:rsid w:val="00906542"/>
    <w:rsid w:val="00907681"/>
    <w:rsid w:val="00910171"/>
    <w:rsid w:val="009106A4"/>
    <w:rsid w:val="0091222A"/>
    <w:rsid w:val="00912E11"/>
    <w:rsid w:val="0091360D"/>
    <w:rsid w:val="00913B23"/>
    <w:rsid w:val="00915332"/>
    <w:rsid w:val="00915DC1"/>
    <w:rsid w:val="00917779"/>
    <w:rsid w:val="00917C7E"/>
    <w:rsid w:val="0092060E"/>
    <w:rsid w:val="0092383B"/>
    <w:rsid w:val="00923F02"/>
    <w:rsid w:val="00924A4B"/>
    <w:rsid w:val="00925117"/>
    <w:rsid w:val="00925DAF"/>
    <w:rsid w:val="00930029"/>
    <w:rsid w:val="00930154"/>
    <w:rsid w:val="00930621"/>
    <w:rsid w:val="0093258A"/>
    <w:rsid w:val="009354B0"/>
    <w:rsid w:val="00935789"/>
    <w:rsid w:val="0093653E"/>
    <w:rsid w:val="009407D7"/>
    <w:rsid w:val="0094581B"/>
    <w:rsid w:val="00945871"/>
    <w:rsid w:val="00946709"/>
    <w:rsid w:val="00950F1A"/>
    <w:rsid w:val="00952F7C"/>
    <w:rsid w:val="0095326F"/>
    <w:rsid w:val="00953FD9"/>
    <w:rsid w:val="00954060"/>
    <w:rsid w:val="009577A8"/>
    <w:rsid w:val="00957F18"/>
    <w:rsid w:val="009620D9"/>
    <w:rsid w:val="00962825"/>
    <w:rsid w:val="00962851"/>
    <w:rsid w:val="00963CD8"/>
    <w:rsid w:val="00963D88"/>
    <w:rsid w:val="0096451B"/>
    <w:rsid w:val="009653A3"/>
    <w:rsid w:val="0096573A"/>
    <w:rsid w:val="009711C4"/>
    <w:rsid w:val="009712B0"/>
    <w:rsid w:val="0097172F"/>
    <w:rsid w:val="00972AE9"/>
    <w:rsid w:val="00973DCB"/>
    <w:rsid w:val="00974061"/>
    <w:rsid w:val="009744F9"/>
    <w:rsid w:val="0097579E"/>
    <w:rsid w:val="00975E70"/>
    <w:rsid w:val="009768AF"/>
    <w:rsid w:val="00980A70"/>
    <w:rsid w:val="00981D61"/>
    <w:rsid w:val="00983934"/>
    <w:rsid w:val="00983AAF"/>
    <w:rsid w:val="00986CBE"/>
    <w:rsid w:val="00986F56"/>
    <w:rsid w:val="00987A24"/>
    <w:rsid w:val="00992998"/>
    <w:rsid w:val="00994A9D"/>
    <w:rsid w:val="00995394"/>
    <w:rsid w:val="009958E0"/>
    <w:rsid w:val="0099765C"/>
    <w:rsid w:val="009A1C0E"/>
    <w:rsid w:val="009A1DF0"/>
    <w:rsid w:val="009A7171"/>
    <w:rsid w:val="009A7E9B"/>
    <w:rsid w:val="009B2FDC"/>
    <w:rsid w:val="009B3339"/>
    <w:rsid w:val="009B4165"/>
    <w:rsid w:val="009B42D3"/>
    <w:rsid w:val="009B50D8"/>
    <w:rsid w:val="009B6542"/>
    <w:rsid w:val="009B6688"/>
    <w:rsid w:val="009C0C6B"/>
    <w:rsid w:val="009C27FA"/>
    <w:rsid w:val="009C5FF6"/>
    <w:rsid w:val="009D06EB"/>
    <w:rsid w:val="009D1834"/>
    <w:rsid w:val="009D3BD8"/>
    <w:rsid w:val="009D6AEE"/>
    <w:rsid w:val="009E1722"/>
    <w:rsid w:val="009E5A91"/>
    <w:rsid w:val="009E7AB6"/>
    <w:rsid w:val="009E7DE9"/>
    <w:rsid w:val="009F103B"/>
    <w:rsid w:val="009F1C6C"/>
    <w:rsid w:val="009F2FE4"/>
    <w:rsid w:val="009F43E8"/>
    <w:rsid w:val="009F5204"/>
    <w:rsid w:val="00A003D3"/>
    <w:rsid w:val="00A008B6"/>
    <w:rsid w:val="00A012D5"/>
    <w:rsid w:val="00A018EC"/>
    <w:rsid w:val="00A064CD"/>
    <w:rsid w:val="00A11C06"/>
    <w:rsid w:val="00A127B0"/>
    <w:rsid w:val="00A12D3C"/>
    <w:rsid w:val="00A13D71"/>
    <w:rsid w:val="00A150DB"/>
    <w:rsid w:val="00A15668"/>
    <w:rsid w:val="00A17EDD"/>
    <w:rsid w:val="00A20743"/>
    <w:rsid w:val="00A20864"/>
    <w:rsid w:val="00A23BCF"/>
    <w:rsid w:val="00A258EC"/>
    <w:rsid w:val="00A30489"/>
    <w:rsid w:val="00A316A5"/>
    <w:rsid w:val="00A31B3B"/>
    <w:rsid w:val="00A32756"/>
    <w:rsid w:val="00A33857"/>
    <w:rsid w:val="00A34825"/>
    <w:rsid w:val="00A40C8F"/>
    <w:rsid w:val="00A422B5"/>
    <w:rsid w:val="00A425E0"/>
    <w:rsid w:val="00A43648"/>
    <w:rsid w:val="00A44FCC"/>
    <w:rsid w:val="00A50FB9"/>
    <w:rsid w:val="00A516B8"/>
    <w:rsid w:val="00A521A8"/>
    <w:rsid w:val="00A54C5E"/>
    <w:rsid w:val="00A566EB"/>
    <w:rsid w:val="00A61699"/>
    <w:rsid w:val="00A634F2"/>
    <w:rsid w:val="00A646D0"/>
    <w:rsid w:val="00A65359"/>
    <w:rsid w:val="00A6615E"/>
    <w:rsid w:val="00A71D59"/>
    <w:rsid w:val="00A72516"/>
    <w:rsid w:val="00A73CDC"/>
    <w:rsid w:val="00A7418F"/>
    <w:rsid w:val="00A754BB"/>
    <w:rsid w:val="00A777E7"/>
    <w:rsid w:val="00A77CB6"/>
    <w:rsid w:val="00A80E73"/>
    <w:rsid w:val="00A823FF"/>
    <w:rsid w:val="00A836FB"/>
    <w:rsid w:val="00A862E9"/>
    <w:rsid w:val="00A87251"/>
    <w:rsid w:val="00A91070"/>
    <w:rsid w:val="00A91252"/>
    <w:rsid w:val="00A913FA"/>
    <w:rsid w:val="00A93D0A"/>
    <w:rsid w:val="00A93FD1"/>
    <w:rsid w:val="00A94112"/>
    <w:rsid w:val="00A97A7C"/>
    <w:rsid w:val="00AA0363"/>
    <w:rsid w:val="00AA2058"/>
    <w:rsid w:val="00AA22C9"/>
    <w:rsid w:val="00AB2691"/>
    <w:rsid w:val="00AB4364"/>
    <w:rsid w:val="00AB52D0"/>
    <w:rsid w:val="00AB6C61"/>
    <w:rsid w:val="00AB717A"/>
    <w:rsid w:val="00AC06FE"/>
    <w:rsid w:val="00AC0E30"/>
    <w:rsid w:val="00AC34C5"/>
    <w:rsid w:val="00AC3882"/>
    <w:rsid w:val="00AC59F6"/>
    <w:rsid w:val="00AC6432"/>
    <w:rsid w:val="00AC6A87"/>
    <w:rsid w:val="00AC6B5C"/>
    <w:rsid w:val="00AC7065"/>
    <w:rsid w:val="00AC770F"/>
    <w:rsid w:val="00AC7D31"/>
    <w:rsid w:val="00AD76E4"/>
    <w:rsid w:val="00AE39AA"/>
    <w:rsid w:val="00AE4CB1"/>
    <w:rsid w:val="00AE52DD"/>
    <w:rsid w:val="00AE6A02"/>
    <w:rsid w:val="00AE760F"/>
    <w:rsid w:val="00AF03C7"/>
    <w:rsid w:val="00AF2032"/>
    <w:rsid w:val="00AF4940"/>
    <w:rsid w:val="00AF5A56"/>
    <w:rsid w:val="00AF71FD"/>
    <w:rsid w:val="00B04E2D"/>
    <w:rsid w:val="00B07528"/>
    <w:rsid w:val="00B07F8E"/>
    <w:rsid w:val="00B07FF6"/>
    <w:rsid w:val="00B13A68"/>
    <w:rsid w:val="00B142E1"/>
    <w:rsid w:val="00B24A54"/>
    <w:rsid w:val="00B24C04"/>
    <w:rsid w:val="00B27531"/>
    <w:rsid w:val="00B27577"/>
    <w:rsid w:val="00B30B73"/>
    <w:rsid w:val="00B31B48"/>
    <w:rsid w:val="00B31FDB"/>
    <w:rsid w:val="00B33817"/>
    <w:rsid w:val="00B341C9"/>
    <w:rsid w:val="00B36C2D"/>
    <w:rsid w:val="00B36F99"/>
    <w:rsid w:val="00B376EB"/>
    <w:rsid w:val="00B37F98"/>
    <w:rsid w:val="00B407FA"/>
    <w:rsid w:val="00B40BFB"/>
    <w:rsid w:val="00B41CE2"/>
    <w:rsid w:val="00B45FAF"/>
    <w:rsid w:val="00B46CA6"/>
    <w:rsid w:val="00B46F3B"/>
    <w:rsid w:val="00B501A1"/>
    <w:rsid w:val="00B53F59"/>
    <w:rsid w:val="00B540F2"/>
    <w:rsid w:val="00B5438E"/>
    <w:rsid w:val="00B556B9"/>
    <w:rsid w:val="00B561E8"/>
    <w:rsid w:val="00B5798B"/>
    <w:rsid w:val="00B57BEA"/>
    <w:rsid w:val="00B74E00"/>
    <w:rsid w:val="00B773E1"/>
    <w:rsid w:val="00B77AE8"/>
    <w:rsid w:val="00B82201"/>
    <w:rsid w:val="00B8310A"/>
    <w:rsid w:val="00B84D6D"/>
    <w:rsid w:val="00B84F24"/>
    <w:rsid w:val="00B85E8F"/>
    <w:rsid w:val="00B871C7"/>
    <w:rsid w:val="00B87CE8"/>
    <w:rsid w:val="00B902B6"/>
    <w:rsid w:val="00B9191E"/>
    <w:rsid w:val="00B91B79"/>
    <w:rsid w:val="00B94CB4"/>
    <w:rsid w:val="00B96C2D"/>
    <w:rsid w:val="00BA00DD"/>
    <w:rsid w:val="00BA26CB"/>
    <w:rsid w:val="00BA3C6D"/>
    <w:rsid w:val="00BA4B94"/>
    <w:rsid w:val="00BA5203"/>
    <w:rsid w:val="00BA667D"/>
    <w:rsid w:val="00BA7110"/>
    <w:rsid w:val="00BA779B"/>
    <w:rsid w:val="00BB27E3"/>
    <w:rsid w:val="00BB42E1"/>
    <w:rsid w:val="00BB5B2C"/>
    <w:rsid w:val="00BB7E6B"/>
    <w:rsid w:val="00BC3B80"/>
    <w:rsid w:val="00BC646B"/>
    <w:rsid w:val="00BD0AFB"/>
    <w:rsid w:val="00BD26C5"/>
    <w:rsid w:val="00BD476F"/>
    <w:rsid w:val="00BD47C4"/>
    <w:rsid w:val="00BD4DA6"/>
    <w:rsid w:val="00BD67B8"/>
    <w:rsid w:val="00BD7A4B"/>
    <w:rsid w:val="00BE13A8"/>
    <w:rsid w:val="00BE2134"/>
    <w:rsid w:val="00BE6638"/>
    <w:rsid w:val="00BE7534"/>
    <w:rsid w:val="00BE7C0F"/>
    <w:rsid w:val="00BF10FF"/>
    <w:rsid w:val="00BF1854"/>
    <w:rsid w:val="00BF3E15"/>
    <w:rsid w:val="00BF7572"/>
    <w:rsid w:val="00BF7985"/>
    <w:rsid w:val="00C05308"/>
    <w:rsid w:val="00C069F8"/>
    <w:rsid w:val="00C11573"/>
    <w:rsid w:val="00C128C7"/>
    <w:rsid w:val="00C12939"/>
    <w:rsid w:val="00C1492B"/>
    <w:rsid w:val="00C168B0"/>
    <w:rsid w:val="00C179F6"/>
    <w:rsid w:val="00C2126D"/>
    <w:rsid w:val="00C22CE3"/>
    <w:rsid w:val="00C23902"/>
    <w:rsid w:val="00C263AF"/>
    <w:rsid w:val="00C26882"/>
    <w:rsid w:val="00C31992"/>
    <w:rsid w:val="00C33081"/>
    <w:rsid w:val="00C3405D"/>
    <w:rsid w:val="00C35A7E"/>
    <w:rsid w:val="00C35A86"/>
    <w:rsid w:val="00C36CFC"/>
    <w:rsid w:val="00C40E50"/>
    <w:rsid w:val="00C40EA5"/>
    <w:rsid w:val="00C4163F"/>
    <w:rsid w:val="00C4319C"/>
    <w:rsid w:val="00C43B24"/>
    <w:rsid w:val="00C47DDC"/>
    <w:rsid w:val="00C50DAC"/>
    <w:rsid w:val="00C51C3E"/>
    <w:rsid w:val="00C523D0"/>
    <w:rsid w:val="00C52633"/>
    <w:rsid w:val="00C5295C"/>
    <w:rsid w:val="00C56269"/>
    <w:rsid w:val="00C66BC0"/>
    <w:rsid w:val="00C675CA"/>
    <w:rsid w:val="00C67885"/>
    <w:rsid w:val="00C72FCB"/>
    <w:rsid w:val="00C73C2D"/>
    <w:rsid w:val="00C748C0"/>
    <w:rsid w:val="00C74A95"/>
    <w:rsid w:val="00C77D1B"/>
    <w:rsid w:val="00C804AC"/>
    <w:rsid w:val="00C80DC8"/>
    <w:rsid w:val="00C8194F"/>
    <w:rsid w:val="00C85D94"/>
    <w:rsid w:val="00C932DF"/>
    <w:rsid w:val="00C93E59"/>
    <w:rsid w:val="00C955DB"/>
    <w:rsid w:val="00CA2A3D"/>
    <w:rsid w:val="00CA49CB"/>
    <w:rsid w:val="00CA4A52"/>
    <w:rsid w:val="00CA6ECF"/>
    <w:rsid w:val="00CA74FC"/>
    <w:rsid w:val="00CB37BD"/>
    <w:rsid w:val="00CB4965"/>
    <w:rsid w:val="00CB60A3"/>
    <w:rsid w:val="00CB7DA1"/>
    <w:rsid w:val="00CC098B"/>
    <w:rsid w:val="00CC1D53"/>
    <w:rsid w:val="00CC3099"/>
    <w:rsid w:val="00CC48FD"/>
    <w:rsid w:val="00CC604E"/>
    <w:rsid w:val="00CC6DA8"/>
    <w:rsid w:val="00CC6E1F"/>
    <w:rsid w:val="00CD1331"/>
    <w:rsid w:val="00CD2C01"/>
    <w:rsid w:val="00CD36F1"/>
    <w:rsid w:val="00CD3DDA"/>
    <w:rsid w:val="00CD5AFF"/>
    <w:rsid w:val="00CD5B41"/>
    <w:rsid w:val="00CD706F"/>
    <w:rsid w:val="00CD7709"/>
    <w:rsid w:val="00CD7BE1"/>
    <w:rsid w:val="00CE0193"/>
    <w:rsid w:val="00CE05EB"/>
    <w:rsid w:val="00CE1221"/>
    <w:rsid w:val="00CE18E7"/>
    <w:rsid w:val="00CE410B"/>
    <w:rsid w:val="00CE492F"/>
    <w:rsid w:val="00CE6E6F"/>
    <w:rsid w:val="00CF1A9C"/>
    <w:rsid w:val="00CF2236"/>
    <w:rsid w:val="00CF309C"/>
    <w:rsid w:val="00CF7C9E"/>
    <w:rsid w:val="00D01CA8"/>
    <w:rsid w:val="00D03724"/>
    <w:rsid w:val="00D03AB7"/>
    <w:rsid w:val="00D12C66"/>
    <w:rsid w:val="00D15F0C"/>
    <w:rsid w:val="00D16074"/>
    <w:rsid w:val="00D16919"/>
    <w:rsid w:val="00D219CF"/>
    <w:rsid w:val="00D252FA"/>
    <w:rsid w:val="00D26257"/>
    <w:rsid w:val="00D2792C"/>
    <w:rsid w:val="00D31B99"/>
    <w:rsid w:val="00D31E58"/>
    <w:rsid w:val="00D35125"/>
    <w:rsid w:val="00D35557"/>
    <w:rsid w:val="00D36137"/>
    <w:rsid w:val="00D371D3"/>
    <w:rsid w:val="00D37487"/>
    <w:rsid w:val="00D42FD3"/>
    <w:rsid w:val="00D4351B"/>
    <w:rsid w:val="00D43652"/>
    <w:rsid w:val="00D469CB"/>
    <w:rsid w:val="00D4744A"/>
    <w:rsid w:val="00D47C65"/>
    <w:rsid w:val="00D55A78"/>
    <w:rsid w:val="00D57329"/>
    <w:rsid w:val="00D5775C"/>
    <w:rsid w:val="00D577EA"/>
    <w:rsid w:val="00D602F1"/>
    <w:rsid w:val="00D62C32"/>
    <w:rsid w:val="00D6323F"/>
    <w:rsid w:val="00D63870"/>
    <w:rsid w:val="00D65302"/>
    <w:rsid w:val="00D73D35"/>
    <w:rsid w:val="00D74E96"/>
    <w:rsid w:val="00D75CAF"/>
    <w:rsid w:val="00D77D9B"/>
    <w:rsid w:val="00D8054F"/>
    <w:rsid w:val="00D83EED"/>
    <w:rsid w:val="00D8571F"/>
    <w:rsid w:val="00D86EC1"/>
    <w:rsid w:val="00D90188"/>
    <w:rsid w:val="00D9159A"/>
    <w:rsid w:val="00D920E0"/>
    <w:rsid w:val="00D92188"/>
    <w:rsid w:val="00D92777"/>
    <w:rsid w:val="00D934A5"/>
    <w:rsid w:val="00D94DF6"/>
    <w:rsid w:val="00D95B78"/>
    <w:rsid w:val="00D960AB"/>
    <w:rsid w:val="00D96D83"/>
    <w:rsid w:val="00DA0B2B"/>
    <w:rsid w:val="00DA3230"/>
    <w:rsid w:val="00DB0710"/>
    <w:rsid w:val="00DB0C7A"/>
    <w:rsid w:val="00DB2287"/>
    <w:rsid w:val="00DB3208"/>
    <w:rsid w:val="00DB360F"/>
    <w:rsid w:val="00DB4560"/>
    <w:rsid w:val="00DB4775"/>
    <w:rsid w:val="00DB5774"/>
    <w:rsid w:val="00DB58A1"/>
    <w:rsid w:val="00DC0029"/>
    <w:rsid w:val="00DC1A2C"/>
    <w:rsid w:val="00DC316B"/>
    <w:rsid w:val="00DC584A"/>
    <w:rsid w:val="00DC6193"/>
    <w:rsid w:val="00DC6794"/>
    <w:rsid w:val="00DD2CD1"/>
    <w:rsid w:val="00DD2F33"/>
    <w:rsid w:val="00DD436D"/>
    <w:rsid w:val="00DD6211"/>
    <w:rsid w:val="00DD6458"/>
    <w:rsid w:val="00DD669C"/>
    <w:rsid w:val="00DE30B5"/>
    <w:rsid w:val="00DE7FCA"/>
    <w:rsid w:val="00DF246A"/>
    <w:rsid w:val="00DF493A"/>
    <w:rsid w:val="00DF57C0"/>
    <w:rsid w:val="00DF587C"/>
    <w:rsid w:val="00DF5A5E"/>
    <w:rsid w:val="00DF6324"/>
    <w:rsid w:val="00E00F80"/>
    <w:rsid w:val="00E00FB5"/>
    <w:rsid w:val="00E068AA"/>
    <w:rsid w:val="00E07DEE"/>
    <w:rsid w:val="00E1110F"/>
    <w:rsid w:val="00E14A4E"/>
    <w:rsid w:val="00E156C7"/>
    <w:rsid w:val="00E17FD4"/>
    <w:rsid w:val="00E20391"/>
    <w:rsid w:val="00E20509"/>
    <w:rsid w:val="00E247CF"/>
    <w:rsid w:val="00E24D3B"/>
    <w:rsid w:val="00E25BA8"/>
    <w:rsid w:val="00E26962"/>
    <w:rsid w:val="00E27801"/>
    <w:rsid w:val="00E30D0F"/>
    <w:rsid w:val="00E31C32"/>
    <w:rsid w:val="00E342C7"/>
    <w:rsid w:val="00E351FD"/>
    <w:rsid w:val="00E35B90"/>
    <w:rsid w:val="00E36054"/>
    <w:rsid w:val="00E40CE0"/>
    <w:rsid w:val="00E41A08"/>
    <w:rsid w:val="00E42499"/>
    <w:rsid w:val="00E43D64"/>
    <w:rsid w:val="00E43DFD"/>
    <w:rsid w:val="00E45127"/>
    <w:rsid w:val="00E45D85"/>
    <w:rsid w:val="00E543FF"/>
    <w:rsid w:val="00E560C1"/>
    <w:rsid w:val="00E60A35"/>
    <w:rsid w:val="00E60C79"/>
    <w:rsid w:val="00E6172D"/>
    <w:rsid w:val="00E64BB5"/>
    <w:rsid w:val="00E6611A"/>
    <w:rsid w:val="00E70613"/>
    <w:rsid w:val="00E70939"/>
    <w:rsid w:val="00E70D34"/>
    <w:rsid w:val="00E732B1"/>
    <w:rsid w:val="00E742D6"/>
    <w:rsid w:val="00E746C6"/>
    <w:rsid w:val="00E7589D"/>
    <w:rsid w:val="00E76E23"/>
    <w:rsid w:val="00E8181F"/>
    <w:rsid w:val="00E93A52"/>
    <w:rsid w:val="00E94FE2"/>
    <w:rsid w:val="00E96BC1"/>
    <w:rsid w:val="00EA4862"/>
    <w:rsid w:val="00EA5013"/>
    <w:rsid w:val="00EB0455"/>
    <w:rsid w:val="00EB0E0D"/>
    <w:rsid w:val="00EB399C"/>
    <w:rsid w:val="00EB535E"/>
    <w:rsid w:val="00EB5B70"/>
    <w:rsid w:val="00EB6576"/>
    <w:rsid w:val="00EB6A9D"/>
    <w:rsid w:val="00EB7BFF"/>
    <w:rsid w:val="00EB7EFB"/>
    <w:rsid w:val="00EC0744"/>
    <w:rsid w:val="00EC07EF"/>
    <w:rsid w:val="00EC15BA"/>
    <w:rsid w:val="00EC389A"/>
    <w:rsid w:val="00EC4973"/>
    <w:rsid w:val="00EC5C04"/>
    <w:rsid w:val="00ED0AA3"/>
    <w:rsid w:val="00ED140A"/>
    <w:rsid w:val="00ED2078"/>
    <w:rsid w:val="00ED4656"/>
    <w:rsid w:val="00ED68B2"/>
    <w:rsid w:val="00EE1078"/>
    <w:rsid w:val="00EE16F5"/>
    <w:rsid w:val="00EE1C34"/>
    <w:rsid w:val="00EF253C"/>
    <w:rsid w:val="00EF3EC3"/>
    <w:rsid w:val="00EF67D4"/>
    <w:rsid w:val="00EF6C1E"/>
    <w:rsid w:val="00F01849"/>
    <w:rsid w:val="00F05AFE"/>
    <w:rsid w:val="00F07B8C"/>
    <w:rsid w:val="00F07E6F"/>
    <w:rsid w:val="00F11B2C"/>
    <w:rsid w:val="00F12FE9"/>
    <w:rsid w:val="00F13566"/>
    <w:rsid w:val="00F148B3"/>
    <w:rsid w:val="00F14950"/>
    <w:rsid w:val="00F164B6"/>
    <w:rsid w:val="00F1704A"/>
    <w:rsid w:val="00F223DE"/>
    <w:rsid w:val="00F2287F"/>
    <w:rsid w:val="00F24C32"/>
    <w:rsid w:val="00F2728B"/>
    <w:rsid w:val="00F27D7C"/>
    <w:rsid w:val="00F30666"/>
    <w:rsid w:val="00F32818"/>
    <w:rsid w:val="00F3368F"/>
    <w:rsid w:val="00F34952"/>
    <w:rsid w:val="00F34DC5"/>
    <w:rsid w:val="00F37772"/>
    <w:rsid w:val="00F40C10"/>
    <w:rsid w:val="00F4179C"/>
    <w:rsid w:val="00F44F12"/>
    <w:rsid w:val="00F450CD"/>
    <w:rsid w:val="00F46206"/>
    <w:rsid w:val="00F512E3"/>
    <w:rsid w:val="00F51934"/>
    <w:rsid w:val="00F51EBB"/>
    <w:rsid w:val="00F53019"/>
    <w:rsid w:val="00F564F8"/>
    <w:rsid w:val="00F56CD1"/>
    <w:rsid w:val="00F578F0"/>
    <w:rsid w:val="00F60428"/>
    <w:rsid w:val="00F60B1D"/>
    <w:rsid w:val="00F64F9A"/>
    <w:rsid w:val="00F66E8A"/>
    <w:rsid w:val="00F6786A"/>
    <w:rsid w:val="00F716CC"/>
    <w:rsid w:val="00F76805"/>
    <w:rsid w:val="00F841C4"/>
    <w:rsid w:val="00F85211"/>
    <w:rsid w:val="00F8690C"/>
    <w:rsid w:val="00F86F90"/>
    <w:rsid w:val="00F87FFB"/>
    <w:rsid w:val="00F9164F"/>
    <w:rsid w:val="00F927C6"/>
    <w:rsid w:val="00F93255"/>
    <w:rsid w:val="00F9361E"/>
    <w:rsid w:val="00F936F1"/>
    <w:rsid w:val="00F9504B"/>
    <w:rsid w:val="00F963B6"/>
    <w:rsid w:val="00F965FA"/>
    <w:rsid w:val="00FA017D"/>
    <w:rsid w:val="00FA3CAA"/>
    <w:rsid w:val="00FA739D"/>
    <w:rsid w:val="00FA77AE"/>
    <w:rsid w:val="00FB1A91"/>
    <w:rsid w:val="00FB34ED"/>
    <w:rsid w:val="00FB368F"/>
    <w:rsid w:val="00FB3EC2"/>
    <w:rsid w:val="00FB7672"/>
    <w:rsid w:val="00FB7F37"/>
    <w:rsid w:val="00FC00E1"/>
    <w:rsid w:val="00FC2E75"/>
    <w:rsid w:val="00FC30CB"/>
    <w:rsid w:val="00FC3A4A"/>
    <w:rsid w:val="00FC3DC9"/>
    <w:rsid w:val="00FC5FA9"/>
    <w:rsid w:val="00FC7924"/>
    <w:rsid w:val="00FD2815"/>
    <w:rsid w:val="00FD41F9"/>
    <w:rsid w:val="00FD4B86"/>
    <w:rsid w:val="00FD5F85"/>
    <w:rsid w:val="00FD7BCF"/>
    <w:rsid w:val="00FE3206"/>
    <w:rsid w:val="00FE3E0A"/>
    <w:rsid w:val="00FE5E77"/>
    <w:rsid w:val="00FE711A"/>
    <w:rsid w:val="00FE7841"/>
    <w:rsid w:val="00FF2421"/>
    <w:rsid w:val="00FF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F13E3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349"/>
    <w:rPr>
      <w:sz w:val="24"/>
      <w:szCs w:val="24"/>
    </w:rPr>
  </w:style>
  <w:style w:type="paragraph" w:styleId="Heading1">
    <w:name w:val="heading 1"/>
    <w:basedOn w:val="Normal"/>
    <w:next w:val="Normal"/>
    <w:qFormat/>
    <w:pPr>
      <w:keepNext/>
      <w:jc w:val="center"/>
      <w:outlineLvl w:val="0"/>
    </w:pPr>
    <w:rPr>
      <w:b/>
      <w:bCs/>
      <w:sz w:val="28"/>
      <w:szCs w:val="28"/>
    </w:rPr>
  </w:style>
  <w:style w:type="paragraph" w:styleId="Heading3">
    <w:name w:val="heading 3"/>
    <w:basedOn w:val="Normal"/>
    <w:next w:val="Normal"/>
    <w:qFormat/>
    <w:rsid w:val="00CE019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b/>
      <w:bCs/>
    </w:rPr>
  </w:style>
  <w:style w:type="paragraph" w:customStyle="1" w:styleId="Findings">
    <w:name w:val="Findings"/>
    <w:basedOn w:val="Normal"/>
    <w:pPr>
      <w:numPr>
        <w:numId w:val="4"/>
      </w:numPr>
    </w:pPr>
  </w:style>
  <w:style w:type="paragraph" w:customStyle="1" w:styleId="FindingsConclusions">
    <w:name w:val="Findings &amp; Conclusions"/>
    <w:basedOn w:val="Normal"/>
    <w:pPr>
      <w:numPr>
        <w:numId w:val="7"/>
      </w:numPr>
    </w:pPr>
  </w:style>
  <w:style w:type="paragraph" w:styleId="BodyText">
    <w:name w:val="Body Text"/>
    <w:basedOn w:val="Normal"/>
    <w:pPr>
      <w:jc w:val="center"/>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Bullet">
    <w:name w:val="List Bullet"/>
    <w:basedOn w:val="Normal"/>
    <w:rsid w:val="008D15C2"/>
    <w:pPr>
      <w:numPr>
        <w:numId w:val="11"/>
      </w:numPr>
      <w:spacing w:after="120"/>
    </w:pPr>
    <w:rPr>
      <w:rFonts w:ascii="Arial" w:hAnsi="Arial"/>
      <w:sz w:val="22"/>
      <w:szCs w:val="20"/>
    </w:rPr>
  </w:style>
  <w:style w:type="paragraph" w:styleId="FootnoteText">
    <w:name w:val="footnote text"/>
    <w:basedOn w:val="Normal"/>
    <w:link w:val="FootnoteTextChar"/>
    <w:uiPriority w:val="99"/>
    <w:semiHidden/>
    <w:rsid w:val="00AF2032"/>
    <w:pPr>
      <w:spacing w:before="120" w:after="120"/>
    </w:pPr>
    <w:rPr>
      <w:sz w:val="22"/>
      <w:szCs w:val="20"/>
    </w:rPr>
  </w:style>
  <w:style w:type="character" w:styleId="FootnoteReference">
    <w:name w:val="footnote reference"/>
    <w:uiPriority w:val="99"/>
    <w:semiHidden/>
    <w:rsid w:val="00D26257"/>
    <w:rPr>
      <w:vertAlign w:val="superscript"/>
    </w:rPr>
  </w:style>
  <w:style w:type="paragraph" w:styleId="BodyText3">
    <w:name w:val="Body Text 3"/>
    <w:basedOn w:val="Normal"/>
    <w:rsid w:val="00D26257"/>
    <w:pPr>
      <w:spacing w:after="120"/>
    </w:pPr>
    <w:rPr>
      <w:sz w:val="16"/>
      <w:szCs w:val="16"/>
    </w:rPr>
  </w:style>
  <w:style w:type="character" w:styleId="Hyperlink">
    <w:name w:val="Hyperlink"/>
    <w:rsid w:val="00E351FD"/>
    <w:rPr>
      <w:color w:val="0000FF"/>
      <w:u w:val="single"/>
    </w:rPr>
  </w:style>
  <w:style w:type="paragraph" w:styleId="BodyTextIndent2">
    <w:name w:val="Body Text Indent 2"/>
    <w:basedOn w:val="Normal"/>
    <w:rsid w:val="00CE0193"/>
    <w:pPr>
      <w:spacing w:after="120" w:line="480" w:lineRule="auto"/>
      <w:ind w:left="360"/>
    </w:pPr>
  </w:style>
  <w:style w:type="paragraph" w:styleId="HTMLPreformatted">
    <w:name w:val="HTML Preformatted"/>
    <w:basedOn w:val="Normal"/>
    <w:rsid w:val="0006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E30D0F"/>
    <w:rPr>
      <w:rFonts w:ascii="Tahoma" w:hAnsi="Tahoma" w:cs="Tahoma"/>
      <w:sz w:val="16"/>
      <w:szCs w:val="16"/>
    </w:rPr>
  </w:style>
  <w:style w:type="character" w:styleId="CommentReference">
    <w:name w:val="annotation reference"/>
    <w:semiHidden/>
    <w:rsid w:val="00C31992"/>
    <w:rPr>
      <w:sz w:val="16"/>
      <w:szCs w:val="16"/>
    </w:rPr>
  </w:style>
  <w:style w:type="paragraph" w:styleId="CommentText">
    <w:name w:val="annotation text"/>
    <w:basedOn w:val="Normal"/>
    <w:link w:val="CommentTextChar"/>
    <w:uiPriority w:val="99"/>
    <w:rsid w:val="00C31992"/>
    <w:rPr>
      <w:sz w:val="20"/>
      <w:szCs w:val="20"/>
    </w:rPr>
  </w:style>
  <w:style w:type="paragraph" w:styleId="CommentSubject">
    <w:name w:val="annotation subject"/>
    <w:basedOn w:val="CommentText"/>
    <w:next w:val="CommentText"/>
    <w:semiHidden/>
    <w:rsid w:val="00C31992"/>
    <w:rPr>
      <w:b/>
      <w:bCs/>
    </w:rPr>
  </w:style>
  <w:style w:type="paragraph" w:styleId="NormalWeb">
    <w:name w:val="Normal (Web)"/>
    <w:basedOn w:val="Normal"/>
    <w:rsid w:val="008D2976"/>
    <w:pPr>
      <w:spacing w:before="100" w:beforeAutospacing="1" w:after="100" w:afterAutospacing="1"/>
    </w:pPr>
  </w:style>
  <w:style w:type="table" w:styleId="TableGrid">
    <w:name w:val="Table Grid"/>
    <w:basedOn w:val="TableNormal"/>
    <w:rsid w:val="0055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E24D3B"/>
    <w:rPr>
      <w:sz w:val="20"/>
      <w:szCs w:val="20"/>
    </w:rPr>
  </w:style>
  <w:style w:type="character" w:customStyle="1" w:styleId="EndnoteTextChar">
    <w:name w:val="Endnote Text Char"/>
    <w:basedOn w:val="DefaultParagraphFont"/>
    <w:link w:val="EndnoteText"/>
    <w:rsid w:val="00E24D3B"/>
  </w:style>
  <w:style w:type="character" w:styleId="EndnoteReference">
    <w:name w:val="endnote reference"/>
    <w:rsid w:val="00E24D3B"/>
    <w:rPr>
      <w:vertAlign w:val="superscript"/>
    </w:rPr>
  </w:style>
  <w:style w:type="paragraph" w:styleId="PlainText">
    <w:name w:val="Plain Text"/>
    <w:basedOn w:val="Normal"/>
    <w:link w:val="PlainTextChar"/>
    <w:uiPriority w:val="99"/>
    <w:unhideWhenUsed/>
    <w:rsid w:val="0060239B"/>
    <w:rPr>
      <w:rFonts w:ascii="Consolas" w:eastAsia="Calibri" w:hAnsi="Consolas"/>
      <w:sz w:val="21"/>
      <w:szCs w:val="21"/>
    </w:rPr>
  </w:style>
  <w:style w:type="character" w:customStyle="1" w:styleId="PlainTextChar">
    <w:name w:val="Plain Text Char"/>
    <w:link w:val="PlainText"/>
    <w:uiPriority w:val="99"/>
    <w:rsid w:val="0060239B"/>
    <w:rPr>
      <w:rFonts w:ascii="Consolas" w:eastAsia="Calibri" w:hAnsi="Consolas"/>
      <w:sz w:val="21"/>
      <w:szCs w:val="21"/>
    </w:rPr>
  </w:style>
  <w:style w:type="character" w:styleId="FollowedHyperlink">
    <w:name w:val="FollowedHyperlink"/>
    <w:rsid w:val="000D4711"/>
    <w:rPr>
      <w:color w:val="800080"/>
      <w:u w:val="single"/>
    </w:rPr>
  </w:style>
  <w:style w:type="character" w:customStyle="1" w:styleId="FootnoteTextChar">
    <w:name w:val="Footnote Text Char"/>
    <w:link w:val="FootnoteText"/>
    <w:uiPriority w:val="99"/>
    <w:semiHidden/>
    <w:rsid w:val="00AF2032"/>
    <w:rPr>
      <w:sz w:val="22"/>
    </w:rPr>
  </w:style>
  <w:style w:type="paragraph" w:styleId="ListParagraph">
    <w:name w:val="List Paragraph"/>
    <w:basedOn w:val="Normal"/>
    <w:uiPriority w:val="34"/>
    <w:qFormat/>
    <w:rsid w:val="00DB4560"/>
    <w:pPr>
      <w:ind w:left="720"/>
      <w:contextualSpacing/>
    </w:pPr>
    <w:rPr>
      <w:rFonts w:ascii="Calibri" w:eastAsia="Calibri" w:hAnsi="Calibri"/>
      <w:sz w:val="22"/>
      <w:szCs w:val="22"/>
    </w:rPr>
  </w:style>
  <w:style w:type="paragraph" w:customStyle="1" w:styleId="Default">
    <w:name w:val="Default"/>
    <w:rsid w:val="00AF2032"/>
    <w:pPr>
      <w:autoSpaceDE w:val="0"/>
      <w:autoSpaceDN w:val="0"/>
      <w:adjustRightInd w:val="0"/>
    </w:pPr>
    <w:rPr>
      <w:color w:val="000000"/>
      <w:sz w:val="24"/>
      <w:szCs w:val="24"/>
    </w:rPr>
  </w:style>
  <w:style w:type="character" w:customStyle="1" w:styleId="CommentTextChar">
    <w:name w:val="Comment Text Char"/>
    <w:link w:val="CommentText"/>
    <w:uiPriority w:val="99"/>
    <w:rsid w:val="0098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256151">
      <w:bodyDiv w:val="1"/>
      <w:marLeft w:val="0"/>
      <w:marRight w:val="0"/>
      <w:marTop w:val="0"/>
      <w:marBottom w:val="0"/>
      <w:divBdr>
        <w:top w:val="none" w:sz="0" w:space="0" w:color="auto"/>
        <w:left w:val="none" w:sz="0" w:space="0" w:color="auto"/>
        <w:bottom w:val="none" w:sz="0" w:space="0" w:color="auto"/>
        <w:right w:val="none" w:sz="0" w:space="0" w:color="auto"/>
      </w:divBdr>
    </w:div>
    <w:div w:id="18972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Order - Final</DocumentSetType>
    <IsConfidential xmlns="dc463f71-b30c-4ab2-9473-d307f9d35888">false</IsConfidential>
    <AgendaOrder xmlns="dc463f71-b30c-4ab2-9473-d307f9d35888">false</AgendaOrder>
    <CaseType xmlns="dc463f71-b30c-4ab2-9473-d307f9d35888">Plan</CaseType>
    <IndustryCode xmlns="dc463f71-b30c-4ab2-9473-d307f9d35888">015</IndustryCode>
    <CaseStatus xmlns="dc463f71-b30c-4ab2-9473-d307f9d35888">Closed</CaseStatus>
    <OpenedDate xmlns="dc463f71-b30c-4ab2-9473-d307f9d35888">2016-03-10T08:00:00+00:00</OpenedDate>
    <Date1 xmlns="dc463f71-b30c-4ab2-9473-d307f9d35888">2016-04-18T07:00:00+00:00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160294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E3A705C64373449CD679F5F8F8EC52" ma:contentTypeVersion="104" ma:contentTypeDescription="" ma:contentTypeScope="" ma:versionID="4811d43beb786055f0f9c4e9726190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5E333A1-DBFA-4F11-90BF-5D28A0461F46}"/>
</file>

<file path=customXml/itemProps2.xml><?xml version="1.0" encoding="utf-8"?>
<ds:datastoreItem xmlns:ds="http://schemas.openxmlformats.org/officeDocument/2006/customXml" ds:itemID="{779DFAD0-D873-4702-8571-5902A3D2D472}"/>
</file>

<file path=customXml/itemProps3.xml><?xml version="1.0" encoding="utf-8"?>
<ds:datastoreItem xmlns:ds="http://schemas.openxmlformats.org/officeDocument/2006/customXml" ds:itemID="{3D5DC367-DF6B-428D-B97D-67ECEE3BCDA0}"/>
</file>

<file path=customXml/itemProps4.xml><?xml version="1.0" encoding="utf-8"?>
<ds:datastoreItem xmlns:ds="http://schemas.openxmlformats.org/officeDocument/2006/customXml" ds:itemID="{D8B220A1-EB3D-4760-B4D3-FE22047CE0A1}"/>
</file>

<file path=customXml/itemProps5.xml><?xml version="1.0" encoding="utf-8"?>
<ds:datastoreItem xmlns:ds="http://schemas.openxmlformats.org/officeDocument/2006/customXml" ds:itemID="{8BE96223-BF8D-4527-A2FE-D40D9BE85536}"/>
</file>

<file path=customXml/itemProps6.xml><?xml version="1.0" encoding="utf-8"?>
<ds:datastoreItem xmlns:ds="http://schemas.openxmlformats.org/officeDocument/2006/customXml" ds:itemID="{78190A65-0BFC-4A6B-8935-F39BA3D2BF38}"/>
</file>

<file path=docProps/app.xml><?xml version="1.0" encoding="utf-8"?>
<Properties xmlns="http://schemas.openxmlformats.org/officeDocument/2006/extended-properties" xmlns:vt="http://schemas.openxmlformats.org/officeDocument/2006/docPropsVTypes">
  <Template>Normal</Template>
  <TotalTime>0</TotalTime>
  <Pages>5</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PG-160294 - Order</vt:lpstr>
    </vt:vector>
  </TitlesOfParts>
  <LinksUpToDate>false</LinksUpToDate>
  <CharactersWithSpaces>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PG-160294 - Order</dc:title>
  <dc:subject/>
  <dc:creator/>
  <cp:keywords/>
  <cp:lastModifiedBy/>
  <cp:revision>1</cp:revision>
  <dcterms:created xsi:type="dcterms:W3CDTF">2016-04-06T23:26:00Z</dcterms:created>
  <dcterms:modified xsi:type="dcterms:W3CDTF">2016-04-06T23:26:00Z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ID">
    <vt:lpwstr>6</vt:lpwstr>
  </property>
  <property fmtid="{D5CDD505-2E9C-101B-9397-08002B2CF9AE}" pid="3" name="ContentType">
    <vt:lpwstr>Document</vt:lpwstr>
  </property>
  <property fmtid="{D5CDD505-2E9C-101B-9397-08002B2CF9AE}" pid="4" name="Document Type">
    <vt:lpwstr>Order</vt:lpwstr>
  </property>
  <property fmtid="{D5CDD505-2E9C-101B-9397-08002B2CF9AE}" pid="5" name="Status">
    <vt:lpwstr>Final</vt:lpwstr>
  </property>
  <property fmtid="{D5CDD505-2E9C-101B-9397-08002B2CF9AE}" pid="6" name="Move Item">
    <vt:lpwstr>0</vt:lpwstr>
  </property>
  <property fmtid="{D5CDD505-2E9C-101B-9397-08002B2CF9AE}" pid="7" name="Move To">
    <vt:lpwstr/>
  </property>
  <property fmtid="{D5CDD505-2E9C-101B-9397-08002B2CF9AE}" pid="8" name="_docset_NoMedatataSyncRequired">
    <vt:lpwstr>False</vt:lpwstr>
  </property>
  <property fmtid="{D5CDD505-2E9C-101B-9397-08002B2CF9AE}" pid="9" name="ContentTypeId">
    <vt:lpwstr>0x0101006E56B4D1795A2E4DB2F0B01679ED314A0085E3A705C64373449CD679F5F8F8EC52</vt:lpwstr>
  </property>
</Properties>
</file>