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ED" w:rsidRDefault="000377ED" w:rsidP="00FA5A60">
      <w:pPr>
        <w:tabs>
          <w:tab w:val="left" w:pos="360"/>
        </w:tabs>
        <w:adjustRightInd w:val="0"/>
        <w:jc w:val="both"/>
        <w:rPr>
          <w:rFonts w:ascii="Arial" w:hAnsi="Arial" w:cs="Arial"/>
          <w:sz w:val="22"/>
          <w:szCs w:val="22"/>
        </w:rPr>
      </w:pPr>
    </w:p>
    <w:p w:rsidR="000377ED" w:rsidRDefault="000377ED" w:rsidP="000377ED">
      <w:pPr>
        <w:tabs>
          <w:tab w:val="left" w:pos="360"/>
        </w:tabs>
        <w:adjustRightInd w:val="0"/>
        <w:ind w:firstLine="360"/>
        <w:jc w:val="center"/>
        <w:rPr>
          <w:rFonts w:ascii="Arial" w:hAnsi="Arial" w:cs="Arial"/>
          <w:sz w:val="22"/>
          <w:szCs w:val="22"/>
        </w:rPr>
      </w:pPr>
      <w:r>
        <w:rPr>
          <w:rFonts w:ascii="Arial" w:hAnsi="Arial" w:cs="Arial"/>
          <w:sz w:val="22"/>
          <w:szCs w:val="22"/>
        </w:rPr>
        <w:t>SCHEDULE 90 continued</w:t>
      </w:r>
    </w:p>
    <w:p w:rsidR="000377ED" w:rsidRDefault="000377ED" w:rsidP="000377ED">
      <w:pPr>
        <w:tabs>
          <w:tab w:val="left" w:pos="360"/>
        </w:tabs>
        <w:adjustRightInd w:val="0"/>
        <w:ind w:firstLine="360"/>
        <w:jc w:val="both"/>
        <w:rPr>
          <w:rFonts w:ascii="Arial" w:hAnsi="Arial" w:cs="Arial"/>
          <w:sz w:val="22"/>
          <w:szCs w:val="22"/>
        </w:rPr>
      </w:pPr>
    </w:p>
    <w:p w:rsidR="000377ED" w:rsidRPr="00EF3041" w:rsidRDefault="000377ED" w:rsidP="000377ED">
      <w:pPr>
        <w:tabs>
          <w:tab w:val="left" w:pos="360"/>
        </w:tabs>
        <w:adjustRightInd w:val="0"/>
        <w:jc w:val="both"/>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amount specified in section 4.1 below.</w:t>
      </w:r>
      <w:r w:rsidRPr="00EF3041">
        <w:rPr>
          <w:rFonts w:ascii="Arial" w:hAnsi="Arial" w:cs="Arial"/>
          <w:sz w:val="22"/>
          <w:szCs w:val="22"/>
        </w:rPr>
        <w:t xml:space="preserve">  This market transformation effort supports renewable energy measures in the residential and small commercial segments.</w:t>
      </w:r>
    </w:p>
    <w:p w:rsidR="000377ED" w:rsidRPr="00EF3041" w:rsidRDefault="000377ED" w:rsidP="000377ED">
      <w:pPr>
        <w:pStyle w:val="Header"/>
        <w:tabs>
          <w:tab w:val="clear" w:pos="4320"/>
          <w:tab w:val="clear" w:pos="8640"/>
          <w:tab w:val="left" w:pos="360"/>
        </w:tabs>
        <w:ind w:firstLine="360"/>
        <w:jc w:val="both"/>
        <w:rPr>
          <w:rFonts w:ascii="Arial" w:hAnsi="Arial" w:cs="Arial"/>
          <w:sz w:val="22"/>
          <w:szCs w:val="22"/>
        </w:rPr>
      </w:pPr>
      <w:r w:rsidRPr="00EF3041">
        <w:rPr>
          <w:rFonts w:ascii="Arial" w:hAnsi="Arial" w:cs="Arial"/>
          <w:sz w:val="22"/>
          <w:szCs w:val="22"/>
        </w:rPr>
        <w:t xml:space="preserve">Market transformation ventures will be considered eligible for funding to the extent that they improve the adoption of electric efficiency measures that are not fully accepted in the marketplace.  These market transformation efforts may include efforts funded through regional alliances or other similar opportunities.  </w:t>
      </w:r>
    </w:p>
    <w:p w:rsidR="000377ED" w:rsidRPr="000E36A9" w:rsidRDefault="000377ED" w:rsidP="000377ED">
      <w:pPr>
        <w:pStyle w:val="Header"/>
        <w:tabs>
          <w:tab w:val="clear" w:pos="4320"/>
          <w:tab w:val="clear" w:pos="8640"/>
        </w:tabs>
        <w:rPr>
          <w:rFonts w:ascii="Arial" w:hAnsi="Arial" w:cs="Arial"/>
          <w:sz w:val="22"/>
          <w:szCs w:val="22"/>
        </w:rPr>
      </w:pPr>
    </w:p>
    <w:p w:rsidR="000377ED" w:rsidRPr="000E36A9" w:rsidRDefault="000377ED" w:rsidP="000377ED">
      <w:pPr>
        <w:pStyle w:val="Heading1"/>
        <w:ind w:left="360" w:hanging="360"/>
        <w:jc w:val="left"/>
        <w:rPr>
          <w:b/>
          <w:bCs/>
          <w:sz w:val="22"/>
          <w:szCs w:val="22"/>
        </w:rPr>
      </w:pPr>
      <w:r w:rsidRPr="000E36A9">
        <w:rPr>
          <w:b/>
          <w:bCs/>
          <w:sz w:val="22"/>
          <w:szCs w:val="22"/>
        </w:rPr>
        <w:t>4.</w:t>
      </w:r>
      <w:r w:rsidRPr="000E36A9">
        <w:rPr>
          <w:b/>
          <w:bCs/>
          <w:sz w:val="22"/>
          <w:szCs w:val="22"/>
        </w:rPr>
        <w:tab/>
        <w:t>FUNDING AND NONMONETARY ASSISTANCE</w:t>
      </w:r>
    </w:p>
    <w:p w:rsidR="000377ED" w:rsidRPr="000E36A9" w:rsidRDefault="000377ED" w:rsidP="000377ED">
      <w:pPr>
        <w:ind w:left="360" w:hanging="360"/>
        <w:rPr>
          <w:rFonts w:ascii="Arial" w:hAnsi="Arial" w:cs="Arial"/>
          <w:sz w:val="22"/>
          <w:szCs w:val="22"/>
        </w:rPr>
      </w:pPr>
    </w:p>
    <w:p w:rsidR="000377ED" w:rsidRPr="000E36A9" w:rsidRDefault="000377ED" w:rsidP="000377ED">
      <w:pPr>
        <w:pStyle w:val="Heading2"/>
        <w:ind w:left="360" w:hanging="360"/>
        <w:rPr>
          <w:rFonts w:ascii="Arial" w:hAnsi="Arial" w:cs="Arial"/>
          <w:b/>
          <w:bCs/>
          <w:sz w:val="22"/>
          <w:szCs w:val="22"/>
          <w:u w:val="none"/>
        </w:rPr>
      </w:pPr>
      <w:r w:rsidRPr="000E36A9">
        <w:rPr>
          <w:rFonts w:ascii="Arial" w:hAnsi="Arial" w:cs="Arial"/>
          <w:b/>
          <w:bCs/>
          <w:sz w:val="22"/>
          <w:szCs w:val="22"/>
          <w:u w:val="none"/>
        </w:rPr>
        <w:t>4.1</w:t>
      </w:r>
      <w:r w:rsidRPr="000E36A9">
        <w:rPr>
          <w:rFonts w:ascii="Arial" w:hAnsi="Arial" w:cs="Arial"/>
          <w:b/>
          <w:bCs/>
          <w:sz w:val="22"/>
          <w:szCs w:val="22"/>
          <w:u w:val="none"/>
        </w:rPr>
        <w:tab/>
        <w:t>Funding</w:t>
      </w:r>
    </w:p>
    <w:p w:rsidR="000377ED" w:rsidRPr="006E3F73" w:rsidRDefault="000377ED" w:rsidP="006E3F73">
      <w:pPr>
        <w:ind w:firstLine="360"/>
        <w:jc w:val="both"/>
        <w:rPr>
          <w:rFonts w:ascii="Arial" w:hAnsi="Arial" w:cs="Arial"/>
          <w:sz w:val="22"/>
          <w:szCs w:val="22"/>
        </w:rPr>
      </w:pPr>
      <w:r w:rsidRPr="006E3F73">
        <w:rPr>
          <w:rFonts w:ascii="Arial" w:hAnsi="Arial" w:cs="Arial"/>
          <w:sz w:val="22"/>
          <w:szCs w:val="22"/>
        </w:rPr>
        <w:t>The Company shall offer incentives for projects with measure lives of ten years or greater based upon the simple payback of the individual project, relative to the current energy code or industry practice that is applicable to the project. Simple payback is defined as the incremental capital cost associated with the energy efficiency of the project divided by the energy savings per year. Energy savings are calculated using the current retail energy rates.  Fuel-conversion incentives are available only for conversion to natural gas with an end-use efficiency of 44% or greater.  The incentives shall be as follows:</w:t>
      </w:r>
    </w:p>
    <w:p w:rsidR="000377ED" w:rsidRPr="000E36A9" w:rsidRDefault="00E44567" w:rsidP="000377ED">
      <w:pPr>
        <w:ind w:firstLine="360"/>
        <w:jc w:val="both"/>
        <w:rPr>
          <w:rFonts w:ascii="Arial" w:hAnsi="Arial" w:cs="Arial"/>
          <w:sz w:val="22"/>
          <w:szCs w:val="22"/>
        </w:rPr>
      </w:pPr>
      <w:r w:rsidRPr="00E44567">
        <w:rPr>
          <w:noProof/>
        </w:rPr>
        <w:pict>
          <v:shapetype id="_x0000_t202" coordsize="21600,21600" o:spt="202" path="m,l,21600r21600,l21600,xe">
            <v:stroke joinstyle="miter"/>
            <v:path gradientshapeok="t" o:connecttype="rect"/>
          </v:shapetype>
          <v:shape id="_x0000_s1040" type="#_x0000_t202" style="position:absolute;left:0;text-align:left;margin-left:463.5pt;margin-top:6.6pt;width:44.55pt;height:294pt;z-index:251660288" stroked="f">
            <v:textbox style="mso-next-textbox:#_x0000_s1040">
              <w:txbxContent>
                <w:p w:rsidR="000377ED" w:rsidRDefault="000377ED" w:rsidP="000377ED">
                  <w:pPr>
                    <w:rPr>
                      <w:sz w:val="22"/>
                      <w:szCs w:val="22"/>
                    </w:rPr>
                  </w:pPr>
                </w:p>
                <w:p w:rsidR="000377ED" w:rsidRDefault="000377ED" w:rsidP="000377ED">
                  <w:pPr>
                    <w:rPr>
                      <w:sz w:val="22"/>
                      <w:szCs w:val="22"/>
                    </w:rPr>
                  </w:pPr>
                </w:p>
                <w:p w:rsidR="000377ED" w:rsidRDefault="000377ED" w:rsidP="000377ED">
                  <w:pPr>
                    <w:rPr>
                      <w:sz w:val="22"/>
                      <w:szCs w:val="22"/>
                    </w:rPr>
                  </w:pPr>
                </w:p>
                <w:p w:rsidR="000377ED" w:rsidRDefault="000377ED" w:rsidP="000377ED">
                  <w:pPr>
                    <w:rPr>
                      <w:sz w:val="22"/>
                      <w:szCs w:val="22"/>
                    </w:rPr>
                  </w:pPr>
                  <w:r>
                    <w:rPr>
                      <w:sz w:val="22"/>
                      <w:szCs w:val="22"/>
                    </w:rPr>
                    <w:t>(D)(I)</w:t>
                  </w:r>
                </w:p>
                <w:p w:rsidR="00330045" w:rsidRDefault="00330045" w:rsidP="000377ED">
                  <w:pPr>
                    <w:rPr>
                      <w:sz w:val="22"/>
                      <w:szCs w:val="22"/>
                    </w:rPr>
                  </w:pPr>
                  <w:r>
                    <w:rPr>
                      <w:sz w:val="22"/>
                      <w:szCs w:val="22"/>
                    </w:rPr>
                    <w:t>(D)(I)</w:t>
                  </w:r>
                </w:p>
                <w:p w:rsidR="000377ED" w:rsidRDefault="000377ED" w:rsidP="000377ED">
                  <w:pPr>
                    <w:rPr>
                      <w:sz w:val="22"/>
                      <w:szCs w:val="22"/>
                    </w:rPr>
                  </w:pPr>
                </w:p>
                <w:p w:rsidR="000377ED" w:rsidRDefault="000377ED" w:rsidP="000377ED">
                  <w:pPr>
                    <w:rPr>
                      <w:sz w:val="22"/>
                      <w:szCs w:val="22"/>
                    </w:rPr>
                  </w:pPr>
                </w:p>
                <w:p w:rsidR="000377ED" w:rsidRDefault="000377ED" w:rsidP="000377ED">
                  <w:pPr>
                    <w:rPr>
                      <w:sz w:val="22"/>
                      <w:szCs w:val="22"/>
                    </w:rPr>
                  </w:pPr>
                </w:p>
                <w:p w:rsidR="000377ED" w:rsidRDefault="000377ED" w:rsidP="000377ED">
                  <w:pPr>
                    <w:rPr>
                      <w:sz w:val="22"/>
                      <w:szCs w:val="22"/>
                    </w:rPr>
                  </w:pPr>
                </w:p>
                <w:p w:rsidR="000377ED" w:rsidRDefault="000377ED" w:rsidP="000377ED">
                  <w:pPr>
                    <w:rPr>
                      <w:sz w:val="22"/>
                      <w:szCs w:val="22"/>
                    </w:rPr>
                  </w:pPr>
                </w:p>
                <w:p w:rsidR="000377ED" w:rsidRDefault="000377ED" w:rsidP="000377ED">
                  <w:pPr>
                    <w:rPr>
                      <w:sz w:val="22"/>
                      <w:szCs w:val="22"/>
                    </w:rPr>
                  </w:pPr>
                  <w:r>
                    <w:rPr>
                      <w:sz w:val="22"/>
                      <w:szCs w:val="22"/>
                    </w:rPr>
                    <w:t>(C)</w:t>
                  </w:r>
                </w:p>
                <w:p w:rsidR="000377ED" w:rsidRDefault="000377ED" w:rsidP="000377ED">
                  <w:pPr>
                    <w:rPr>
                      <w:sz w:val="22"/>
                      <w:szCs w:val="22"/>
                    </w:rPr>
                  </w:pPr>
                </w:p>
                <w:p w:rsidR="000377ED" w:rsidRDefault="000377ED" w:rsidP="000377ED">
                  <w:pPr>
                    <w:rPr>
                      <w:sz w:val="22"/>
                      <w:szCs w:val="22"/>
                    </w:rPr>
                  </w:pPr>
                </w:p>
                <w:p w:rsidR="000377ED" w:rsidRDefault="000377ED" w:rsidP="000377ED">
                  <w:pPr>
                    <w:rPr>
                      <w:sz w:val="22"/>
                      <w:szCs w:val="22"/>
                    </w:rPr>
                  </w:pPr>
                </w:p>
              </w:txbxContent>
            </v:textbox>
          </v:shape>
        </w:pict>
      </w:r>
    </w:p>
    <w:tbl>
      <w:tblPr>
        <w:tblW w:w="6980"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80"/>
        <w:gridCol w:w="4600"/>
      </w:tblGrid>
      <w:tr w:rsidR="000377ED" w:rsidRPr="00290032" w:rsidTr="00652CAC">
        <w:trPr>
          <w:cantSplit/>
          <w:trHeight w:val="510"/>
        </w:trPr>
        <w:tc>
          <w:tcPr>
            <w:tcW w:w="2380" w:type="dxa"/>
            <w:vMerge w:val="restart"/>
            <w:noWrap/>
            <w:tcMar>
              <w:top w:w="15" w:type="dxa"/>
              <w:left w:w="15" w:type="dxa"/>
              <w:bottom w:w="0" w:type="dxa"/>
              <w:right w:w="15" w:type="dxa"/>
            </w:tcMar>
            <w:vAlign w:val="bottom"/>
          </w:tcPr>
          <w:p w:rsidR="000377ED" w:rsidRPr="00290032" w:rsidRDefault="000377ED" w:rsidP="00652CAC">
            <w:pPr>
              <w:jc w:val="center"/>
              <w:rPr>
                <w:rFonts w:ascii="Arial" w:eastAsia="Arial Unicode MS" w:hAnsi="Arial"/>
                <w:b/>
                <w:bCs/>
                <w:sz w:val="22"/>
                <w:szCs w:val="22"/>
              </w:rPr>
            </w:pPr>
            <w:r w:rsidRPr="00290032">
              <w:rPr>
                <w:rFonts w:ascii="Arial" w:hAnsi="Arial" w:cs="Arial"/>
                <w:b/>
                <w:bCs/>
                <w:sz w:val="22"/>
                <w:szCs w:val="22"/>
              </w:rPr>
              <w:t>Simple Pay-Back Period</w:t>
            </w:r>
          </w:p>
        </w:tc>
        <w:tc>
          <w:tcPr>
            <w:tcW w:w="4600" w:type="dxa"/>
            <w:tcMar>
              <w:top w:w="15" w:type="dxa"/>
              <w:left w:w="15" w:type="dxa"/>
              <w:bottom w:w="0" w:type="dxa"/>
              <w:right w:w="15" w:type="dxa"/>
            </w:tcMar>
            <w:vAlign w:val="bottom"/>
          </w:tcPr>
          <w:p w:rsidR="000377ED" w:rsidRPr="00290032" w:rsidRDefault="000377ED" w:rsidP="00652CAC">
            <w:pPr>
              <w:jc w:val="center"/>
              <w:rPr>
                <w:rFonts w:ascii="Arial" w:eastAsia="Arial Unicode MS" w:hAnsi="Arial"/>
                <w:b/>
                <w:bCs/>
                <w:sz w:val="22"/>
                <w:szCs w:val="22"/>
              </w:rPr>
            </w:pPr>
            <w:r w:rsidRPr="00290032">
              <w:rPr>
                <w:rFonts w:ascii="Arial" w:hAnsi="Arial" w:cs="Arial"/>
                <w:b/>
                <w:bCs/>
                <w:sz w:val="22"/>
                <w:szCs w:val="22"/>
              </w:rPr>
              <w:t>Incentive Level                                                             (cents per first year kWh saved)</w:t>
            </w:r>
          </w:p>
        </w:tc>
      </w:tr>
      <w:tr w:rsidR="000377ED" w:rsidRPr="00290032" w:rsidTr="00652CAC">
        <w:trPr>
          <w:cantSplit/>
          <w:trHeight w:val="255"/>
        </w:trPr>
        <w:tc>
          <w:tcPr>
            <w:tcW w:w="0" w:type="auto"/>
            <w:vMerge/>
            <w:vAlign w:val="center"/>
          </w:tcPr>
          <w:p w:rsidR="000377ED" w:rsidRPr="00290032" w:rsidRDefault="000377ED" w:rsidP="00652CAC">
            <w:pPr>
              <w:rPr>
                <w:rFonts w:ascii="Arial" w:eastAsia="Arial Unicode MS" w:hAnsi="Arial"/>
                <w:b/>
                <w:bCs/>
                <w:sz w:val="22"/>
                <w:szCs w:val="22"/>
              </w:rPr>
            </w:pPr>
          </w:p>
        </w:tc>
        <w:tc>
          <w:tcPr>
            <w:tcW w:w="4600" w:type="dxa"/>
            <w:tcMar>
              <w:top w:w="15" w:type="dxa"/>
              <w:left w:w="15" w:type="dxa"/>
              <w:bottom w:w="0" w:type="dxa"/>
              <w:right w:w="15" w:type="dxa"/>
            </w:tcMar>
            <w:vAlign w:val="bottom"/>
          </w:tcPr>
          <w:p w:rsidR="000377ED" w:rsidRPr="00290032" w:rsidRDefault="000377ED" w:rsidP="00652CAC">
            <w:pPr>
              <w:jc w:val="center"/>
              <w:rPr>
                <w:rFonts w:ascii="Arial" w:eastAsia="Arial Unicode MS" w:hAnsi="Arial"/>
                <w:b/>
                <w:bCs/>
                <w:i/>
                <w:iCs/>
                <w:sz w:val="22"/>
                <w:szCs w:val="22"/>
              </w:rPr>
            </w:pPr>
            <w:r w:rsidRPr="00290032">
              <w:rPr>
                <w:rFonts w:ascii="Arial" w:hAnsi="Arial" w:cs="Arial"/>
                <w:b/>
                <w:bCs/>
                <w:i/>
                <w:iCs/>
                <w:sz w:val="22"/>
                <w:szCs w:val="22"/>
              </w:rPr>
              <w:t>(M</w:t>
            </w:r>
            <w:r>
              <w:rPr>
                <w:rFonts w:ascii="Arial" w:hAnsi="Arial" w:cs="Arial"/>
                <w:b/>
                <w:bCs/>
                <w:i/>
                <w:iCs/>
                <w:sz w:val="22"/>
                <w:szCs w:val="22"/>
              </w:rPr>
              <w:t>inimum measure life of 10 years</w:t>
            </w:r>
            <w:r w:rsidRPr="00290032">
              <w:rPr>
                <w:rFonts w:ascii="Arial" w:hAnsi="Arial" w:cs="Arial"/>
                <w:b/>
                <w:bCs/>
                <w:i/>
                <w:iCs/>
                <w:sz w:val="22"/>
                <w:szCs w:val="22"/>
              </w:rPr>
              <w:t>)</w:t>
            </w:r>
          </w:p>
        </w:tc>
      </w:tr>
      <w:tr w:rsidR="000377ED" w:rsidRPr="00290032" w:rsidTr="00652CAC">
        <w:trPr>
          <w:trHeight w:val="255"/>
        </w:trPr>
        <w:tc>
          <w:tcPr>
            <w:tcW w:w="0" w:type="auto"/>
            <w:noWrap/>
            <w:tcMar>
              <w:top w:w="15" w:type="dxa"/>
              <w:left w:w="15" w:type="dxa"/>
              <w:bottom w:w="0" w:type="dxa"/>
              <w:right w:w="15" w:type="dxa"/>
            </w:tcMar>
            <w:vAlign w:val="bottom"/>
          </w:tcPr>
          <w:p w:rsidR="000377ED" w:rsidRPr="00290032" w:rsidRDefault="000377ED" w:rsidP="00652CAC">
            <w:pPr>
              <w:jc w:val="center"/>
              <w:rPr>
                <w:rFonts w:ascii="Arial" w:eastAsia="Arial Unicode MS" w:hAnsi="Arial"/>
                <w:sz w:val="22"/>
                <w:szCs w:val="22"/>
              </w:rPr>
            </w:pPr>
            <w:r>
              <w:rPr>
                <w:rFonts w:ascii="Arial" w:hAnsi="Arial" w:cs="Arial"/>
                <w:sz w:val="22"/>
                <w:szCs w:val="22"/>
              </w:rPr>
              <w:t>Under 15</w:t>
            </w:r>
            <w:r w:rsidRPr="00290032">
              <w:rPr>
                <w:rFonts w:ascii="Arial" w:hAnsi="Arial" w:cs="Arial"/>
                <w:sz w:val="22"/>
                <w:szCs w:val="22"/>
              </w:rPr>
              <w:t xml:space="preserve"> years</w:t>
            </w:r>
          </w:p>
        </w:tc>
        <w:tc>
          <w:tcPr>
            <w:tcW w:w="0" w:type="auto"/>
            <w:noWrap/>
            <w:tcMar>
              <w:top w:w="15" w:type="dxa"/>
              <w:left w:w="15" w:type="dxa"/>
              <w:bottom w:w="0" w:type="dxa"/>
              <w:right w:w="15" w:type="dxa"/>
            </w:tcMar>
            <w:vAlign w:val="bottom"/>
          </w:tcPr>
          <w:p w:rsidR="000377ED" w:rsidRPr="00290032" w:rsidRDefault="000377ED" w:rsidP="00652CAC">
            <w:pPr>
              <w:jc w:val="center"/>
              <w:rPr>
                <w:rFonts w:ascii="Arial" w:eastAsia="Arial Unicode MS" w:hAnsi="Arial"/>
                <w:sz w:val="22"/>
                <w:szCs w:val="22"/>
              </w:rPr>
            </w:pPr>
            <w:r>
              <w:rPr>
                <w:rFonts w:ascii="Arial" w:hAnsi="Arial" w:cs="Arial"/>
                <w:sz w:val="22"/>
                <w:szCs w:val="22"/>
              </w:rPr>
              <w:t>20</w:t>
            </w:r>
            <w:r w:rsidRPr="00290032">
              <w:rPr>
                <w:rFonts w:ascii="Arial" w:hAnsi="Arial" w:cs="Arial"/>
                <w:sz w:val="22"/>
                <w:szCs w:val="22"/>
              </w:rPr>
              <w:t xml:space="preserve"> cents</w:t>
            </w:r>
          </w:p>
        </w:tc>
      </w:tr>
      <w:tr w:rsidR="000377ED" w:rsidRPr="00290032" w:rsidTr="00652CAC">
        <w:trPr>
          <w:trHeight w:val="255"/>
        </w:trPr>
        <w:tc>
          <w:tcPr>
            <w:tcW w:w="0" w:type="auto"/>
            <w:noWrap/>
            <w:tcMar>
              <w:top w:w="15" w:type="dxa"/>
              <w:left w:w="15" w:type="dxa"/>
              <w:bottom w:w="0" w:type="dxa"/>
              <w:right w:w="15" w:type="dxa"/>
            </w:tcMar>
            <w:vAlign w:val="bottom"/>
          </w:tcPr>
          <w:p w:rsidR="000377ED" w:rsidRPr="00290032" w:rsidRDefault="000377ED" w:rsidP="00652CAC">
            <w:pPr>
              <w:jc w:val="center"/>
              <w:rPr>
                <w:rFonts w:ascii="Arial" w:eastAsia="Arial Unicode MS" w:hAnsi="Arial"/>
                <w:sz w:val="22"/>
                <w:szCs w:val="22"/>
              </w:rPr>
            </w:pPr>
            <w:r>
              <w:rPr>
                <w:rFonts w:ascii="Arial" w:hAnsi="Arial" w:cs="Arial"/>
                <w:sz w:val="22"/>
                <w:szCs w:val="22"/>
              </w:rPr>
              <w:t>Over 15</w:t>
            </w:r>
            <w:r w:rsidRPr="00290032">
              <w:rPr>
                <w:rFonts w:ascii="Arial" w:hAnsi="Arial" w:cs="Arial"/>
                <w:sz w:val="22"/>
                <w:szCs w:val="22"/>
              </w:rPr>
              <w:t xml:space="preserve"> years</w:t>
            </w:r>
          </w:p>
        </w:tc>
        <w:tc>
          <w:tcPr>
            <w:tcW w:w="0" w:type="auto"/>
            <w:noWrap/>
            <w:tcMar>
              <w:top w:w="15" w:type="dxa"/>
              <w:left w:w="15" w:type="dxa"/>
              <w:bottom w:w="0" w:type="dxa"/>
              <w:right w:w="15" w:type="dxa"/>
            </w:tcMar>
            <w:vAlign w:val="bottom"/>
          </w:tcPr>
          <w:p w:rsidR="000377ED" w:rsidRPr="00290032" w:rsidRDefault="000377ED" w:rsidP="00652CAC">
            <w:pPr>
              <w:jc w:val="center"/>
              <w:rPr>
                <w:rFonts w:ascii="Arial" w:eastAsia="Arial Unicode MS" w:hAnsi="Arial"/>
                <w:sz w:val="22"/>
                <w:szCs w:val="22"/>
              </w:rPr>
            </w:pPr>
            <w:r>
              <w:rPr>
                <w:rFonts w:ascii="Arial" w:hAnsi="Arial" w:cs="Arial"/>
                <w:sz w:val="22"/>
                <w:szCs w:val="22"/>
              </w:rPr>
              <w:t>0</w:t>
            </w:r>
            <w:r w:rsidRPr="00290032">
              <w:rPr>
                <w:rFonts w:ascii="Arial" w:hAnsi="Arial" w:cs="Arial"/>
                <w:sz w:val="22"/>
                <w:szCs w:val="22"/>
              </w:rPr>
              <w:t xml:space="preserve"> cents</w:t>
            </w:r>
          </w:p>
        </w:tc>
      </w:tr>
    </w:tbl>
    <w:p w:rsidR="000377ED" w:rsidRDefault="000377ED" w:rsidP="000377ED">
      <w:pPr>
        <w:pStyle w:val="BodyTextIndent2"/>
        <w:tabs>
          <w:tab w:val="right" w:pos="720"/>
          <w:tab w:val="left" w:pos="900"/>
        </w:tabs>
        <w:jc w:val="both"/>
        <w:rPr>
          <w:i/>
          <w:iCs/>
        </w:rPr>
      </w:pPr>
    </w:p>
    <w:p w:rsidR="006E3F73" w:rsidRDefault="006E3F73" w:rsidP="006E3F73">
      <w:pPr>
        <w:pStyle w:val="BodyText2"/>
        <w:ind w:right="-36" w:firstLine="360"/>
      </w:pPr>
    </w:p>
    <w:p w:rsidR="00EA1067" w:rsidRPr="006E3F73" w:rsidRDefault="000377ED" w:rsidP="006E3F73">
      <w:pPr>
        <w:ind w:firstLine="360"/>
        <w:jc w:val="both"/>
        <w:rPr>
          <w:rFonts w:ascii="Arial" w:hAnsi="Arial" w:cs="Arial"/>
          <w:sz w:val="22"/>
          <w:szCs w:val="22"/>
        </w:rPr>
      </w:pPr>
      <w:r w:rsidRPr="006E3F73">
        <w:rPr>
          <w:rFonts w:ascii="Arial" w:hAnsi="Arial" w:cs="Arial"/>
          <w:sz w:val="22"/>
          <w:szCs w:val="22"/>
        </w:rPr>
        <w:t>Incentives will be capped at 70% percent of the incremental project cost for all projects with simple paybacks less than fifteen years. Incentives for efficiency measures within the following categories shall not exceed 100% of the incremental cost:</w:t>
      </w:r>
      <w:r w:rsidR="00EA1067" w:rsidRPr="006E3F73">
        <w:rPr>
          <w:rFonts w:ascii="Arial" w:hAnsi="Arial" w:cs="Arial"/>
          <w:sz w:val="22"/>
          <w:szCs w:val="22"/>
        </w:rPr>
        <w:t xml:space="preserve"> </w:t>
      </w:r>
    </w:p>
    <w:sectPr w:rsidR="00EA1067" w:rsidRPr="006E3F73" w:rsidSect="00C062EA">
      <w:headerReference w:type="default" r:id="rId6"/>
      <w:footerReference w:type="default" r:id="rId7"/>
      <w:pgSz w:w="12240" w:h="15840" w:code="1"/>
      <w:pgMar w:top="2160" w:right="1800" w:bottom="2160" w:left="180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067" w:rsidRDefault="00EA1067">
      <w:r>
        <w:separator/>
      </w:r>
    </w:p>
  </w:endnote>
  <w:endnote w:type="continuationSeparator" w:id="0">
    <w:p w:rsidR="00EA1067" w:rsidRDefault="00EA1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67" w:rsidRDefault="002C4DCA">
    <w:pPr>
      <w:pStyle w:val="Footer"/>
    </w:pPr>
    <w:r w:rsidRPr="002C4DCA">
      <w:drawing>
        <wp:inline distT="0" distB="0" distL="0" distR="0">
          <wp:extent cx="1408048" cy="461508"/>
          <wp:effectExtent l="19050" t="0" r="165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9701" cy="462050"/>
                  </a:xfrm>
                  <a:prstGeom prst="rect">
                    <a:avLst/>
                  </a:prstGeom>
                  <a:noFill/>
                  <a:ln w="9525">
                    <a:noFill/>
                    <a:miter lim="800000"/>
                    <a:headEnd/>
                    <a:tailEnd/>
                  </a:ln>
                </pic:spPr>
              </pic:pic>
            </a:graphicData>
          </a:graphic>
        </wp:inline>
      </w:drawing>
    </w:r>
    <w:r w:rsidR="00E44567">
      <w:rPr>
        <w:noProof/>
      </w:rPr>
      <w:pict>
        <v:shapetype id="_x0000_t202" coordsize="21600,21600" o:spt="202" path="m,l,21600r21600,l21600,xe">
          <v:stroke joinstyle="miter"/>
          <v:path gradientshapeok="t" o:connecttype="rect"/>
        </v:shapetype>
        <v:shape id="_x0000_s2057" type="#_x0000_t202" style="position:absolute;margin-left:-10.8pt;margin-top:-67.7pt;width:460.8pt;height:36pt;z-index:251661312;mso-position-horizontal-relative:text;mso-position-vertical-relative:text" o:allowincell="f" filled="f" stroked="f">
          <v:textbox style="mso-next-textbox:#_x0000_s2057" inset="0,0,0,0">
            <w:txbxContent>
              <w:p w:rsidR="00EA1067" w:rsidRDefault="00EA1067">
                <w:pPr>
                  <w:tabs>
                    <w:tab w:val="left" w:pos="630"/>
                    <w:tab w:val="left" w:pos="1620"/>
                    <w:tab w:val="left" w:pos="5220"/>
                    <w:tab w:val="left" w:pos="6300"/>
                  </w:tabs>
                  <w:ind w:firstLine="720"/>
                  <w:rPr>
                    <w:rFonts w:ascii="Arial" w:hAnsi="Arial" w:cs="Arial"/>
                  </w:rPr>
                </w:pPr>
                <w:r>
                  <w:rPr>
                    <w:rFonts w:ascii="Arial" w:hAnsi="Arial" w:cs="Arial"/>
                  </w:rPr>
                  <w:t>Issue</w:t>
                </w:r>
                <w:r w:rsidR="00B06172">
                  <w:rPr>
                    <w:rFonts w:ascii="Arial" w:hAnsi="Arial" w:cs="Arial"/>
                  </w:rPr>
                  <w:t>d</w:t>
                </w:r>
                <w:r>
                  <w:rPr>
                    <w:rFonts w:ascii="Arial" w:hAnsi="Arial" w:cs="Arial"/>
                  </w:rPr>
                  <w:tab/>
                </w:r>
                <w:r w:rsidR="00EE76D5">
                  <w:rPr>
                    <w:rFonts w:ascii="Arial" w:hAnsi="Arial" w:cs="Arial"/>
                  </w:rPr>
                  <w:t>December</w:t>
                </w:r>
                <w:r w:rsidR="004D37F1">
                  <w:rPr>
                    <w:rFonts w:ascii="Arial" w:hAnsi="Arial" w:cs="Arial"/>
                  </w:rPr>
                  <w:t xml:space="preserve"> </w:t>
                </w:r>
                <w:r w:rsidR="0013069F">
                  <w:rPr>
                    <w:rFonts w:ascii="Arial" w:hAnsi="Arial" w:cs="Arial"/>
                  </w:rPr>
                  <w:t>7</w:t>
                </w:r>
                <w:r w:rsidR="006E3F73">
                  <w:rPr>
                    <w:rFonts w:ascii="Arial" w:hAnsi="Arial" w:cs="Arial"/>
                  </w:rPr>
                  <w:t>, 2015</w:t>
                </w:r>
                <w:r>
                  <w:rPr>
                    <w:rFonts w:ascii="Arial" w:hAnsi="Arial" w:cs="Arial"/>
                  </w:rPr>
                  <w:tab/>
                  <w:t>Effective</w:t>
                </w:r>
                <w:r>
                  <w:rPr>
                    <w:rFonts w:ascii="Arial" w:hAnsi="Arial" w:cs="Arial"/>
                  </w:rPr>
                  <w:tab/>
                </w:r>
                <w:r w:rsidR="00EE76D5">
                  <w:rPr>
                    <w:rFonts w:ascii="Arial" w:hAnsi="Arial" w:cs="Arial"/>
                  </w:rPr>
                  <w:t>January</w:t>
                </w:r>
                <w:r w:rsidR="00416C6E">
                  <w:rPr>
                    <w:rFonts w:ascii="Arial" w:hAnsi="Arial" w:cs="Arial"/>
                  </w:rPr>
                  <w:t xml:space="preserve"> </w:t>
                </w:r>
                <w:r w:rsidR="0013069F">
                  <w:rPr>
                    <w:rFonts w:ascii="Arial" w:hAnsi="Arial" w:cs="Arial"/>
                  </w:rPr>
                  <w:t>7</w:t>
                </w:r>
                <w:r w:rsidR="006E3F73">
                  <w:rPr>
                    <w:rFonts w:ascii="Arial" w:hAnsi="Arial" w:cs="Arial"/>
                  </w:rPr>
                  <w:t>, 2016</w:t>
                </w:r>
              </w:p>
              <w:p w:rsidR="00EA1067" w:rsidRDefault="00EA1067">
                <w:pPr>
                  <w:tabs>
                    <w:tab w:val="left" w:pos="630"/>
                    <w:tab w:val="left" w:pos="1620"/>
                    <w:tab w:val="left" w:pos="5220"/>
                    <w:tab w:val="left" w:pos="6300"/>
                  </w:tabs>
                  <w:ind w:firstLine="720"/>
                  <w:rPr>
                    <w:rFonts w:ascii="Arial" w:hAnsi="Arial" w:cs="Arial"/>
                  </w:rPr>
                </w:pPr>
                <w:r>
                  <w:rPr>
                    <w:rFonts w:ascii="Arial" w:hAnsi="Arial" w:cs="Arial"/>
                  </w:rPr>
                  <w:tab/>
                </w:r>
                <w:r>
                  <w:rPr>
                    <w:rFonts w:ascii="Arial" w:hAnsi="Arial" w:cs="Arial"/>
                  </w:rPr>
                  <w:tab/>
                </w:r>
              </w:p>
              <w:p w:rsidR="00EA1067" w:rsidRPr="00416C6E" w:rsidRDefault="00EA1067" w:rsidP="00577F0C">
                <w:pPr>
                  <w:tabs>
                    <w:tab w:val="left" w:pos="630"/>
                    <w:tab w:val="left" w:pos="1620"/>
                    <w:tab w:val="left" w:pos="5220"/>
                    <w:tab w:val="left" w:pos="6300"/>
                  </w:tabs>
                  <w:rPr>
                    <w:rFonts w:ascii="Arial" w:hAnsi="Arial" w:cs="Arial"/>
                  </w:rPr>
                </w:pPr>
              </w:p>
            </w:txbxContent>
          </v:textbox>
        </v:shape>
      </w:pict>
    </w:r>
    <w:r w:rsidR="00E44567">
      <w:rPr>
        <w:noProof/>
      </w:rPr>
      <w:pict>
        <v:shape id="_x0000_s2058" type="#_x0000_t202" style="position:absolute;margin-left:-10.8pt;margin-top:-31.7pt;width:460.8pt;height:28.8pt;z-index:251662336;mso-position-horizontal-relative:text;mso-position-vertical-relative:text" o:allowincell="f" filled="f" stroked="f">
          <v:textbox style="mso-next-textbox:#_x0000_s2058" inset="0,0,0,0">
            <w:txbxContent>
              <w:p w:rsidR="00EA1067" w:rsidRDefault="00EA10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EA1067" w:rsidRDefault="00EA1067">
                <w:pPr>
                  <w:tabs>
                    <w:tab w:val="left" w:pos="900"/>
                    <w:tab w:val="left" w:pos="3330"/>
                    <w:tab w:val="left" w:pos="3420"/>
                    <w:tab w:val="left" w:pos="5400"/>
                  </w:tabs>
                </w:pPr>
                <w:r>
                  <w:rPr>
                    <w:rFonts w:ascii="Arial" w:hAnsi="Arial" w:cs="Arial"/>
                  </w:rPr>
                  <w:tab/>
                  <w:t xml:space="preserve">By   </w:t>
                </w:r>
                <w:r>
                  <w:rPr>
                    <w:rFonts w:ascii="Arial" w:hAnsi="Arial" w:cs="Arial"/>
                  </w:rPr>
                  <w:tab/>
                </w:r>
                <w:smartTag w:uri="urn:schemas-microsoft-com:office:smarttags" w:element="PersonName">
                  <w:smartTag w:uri="urn:schemas-microsoft-com:office:smarttags" w:element="PersonName">
                    <w:r>
                      <w:rPr>
                        <w:rFonts w:ascii="Arial" w:hAnsi="Arial" w:cs="Arial"/>
                      </w:rPr>
                      <w:t>Kelly</w:t>
                    </w:r>
                  </w:smartTag>
                  <w:r>
                    <w:rPr>
                      <w:rFonts w:ascii="Arial" w:hAnsi="Arial" w:cs="Arial"/>
                    </w:rPr>
                    <w:t xml:space="preserve"> </w:t>
                  </w:r>
                  <w:smartTag w:uri="urn:schemas-microsoft-com:office:smarttags" w:element="PersonName">
                    <w:r>
                      <w:rPr>
                        <w:rFonts w:ascii="Arial" w:hAnsi="Arial" w:cs="Arial"/>
                      </w:rPr>
                      <w:t>Norwood</w:t>
                    </w:r>
                    <w:r>
                      <w:rPr>
                        <w:rFonts w:ascii="Arial" w:hAnsi="Arial" w:cs="Arial"/>
                      </w:rPr>
                      <w:tab/>
                      <w:t>Vice President</w:t>
                    </w:r>
                  </w:smartTag>
                </w:smartTag>
                <w:r>
                  <w:rPr>
                    <w:rFonts w:ascii="Arial" w:hAnsi="Arial" w:cs="Arial"/>
                  </w:rPr>
                  <w:t>, State &amp; Federal Regulation</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067" w:rsidRDefault="00EA1067">
      <w:r>
        <w:separator/>
      </w:r>
    </w:p>
  </w:footnote>
  <w:footnote w:type="continuationSeparator" w:id="0">
    <w:p w:rsidR="00EA1067" w:rsidRDefault="00EA1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67" w:rsidRDefault="00E44567">
    <w:pPr>
      <w:pStyle w:val="Header"/>
    </w:pPr>
    <w:r>
      <w:rPr>
        <w:noProof/>
      </w:rPr>
      <w:pict>
        <v:rect id="_x0000_s2049" style="position:absolute;margin-left:-10.8pt;margin-top:9in;width:460.8pt;height:36pt;z-index:251660288" o:allowincell="f" filled="f"/>
      </w:pict>
    </w:r>
    <w:r>
      <w:rPr>
        <w:noProof/>
      </w:rPr>
      <w:pict>
        <v:line id="_x0000_s2050" style="position:absolute;flip:y;z-index:251659264" from="313.2pt,0" to="313.2pt,64.8pt" o:allowincell="f"/>
      </w:pict>
    </w:r>
    <w:r>
      <w:rPr>
        <w:noProof/>
      </w:rPr>
      <w:pict>
        <v:line id="_x0000_s2051" style="position:absolute;z-index:251658240" from="-10.8pt,36pt" to="-10.8pt,64.8pt" o:allowincell="f"/>
      </w:pict>
    </w:r>
    <w:r>
      <w:rPr>
        <w:noProof/>
      </w:rPr>
      <w:pict>
        <v:line id="_x0000_s2052" style="position:absolute;z-index:251657216"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56192" o:allowincell="f" filled="f" stroked="f">
          <v:textbox style="mso-next-textbox:#_x0000_s2053">
            <w:txbxContent>
              <w:p w:rsidR="00EA1067" w:rsidRDefault="00EA1067">
                <w:pPr>
                  <w:pStyle w:val="Header"/>
                  <w:jc w:val="center"/>
                  <w:rPr>
                    <w:rFonts w:ascii="Arial" w:hAnsi="Arial" w:cs="Arial"/>
                  </w:rPr>
                </w:pPr>
                <w:proofErr w:type="gramStart"/>
                <w:r>
                  <w:rPr>
                    <w:rFonts w:ascii="Arial" w:hAnsi="Arial" w:cs="Arial"/>
                  </w:rPr>
                  <w:t>AVISTA  CORPORATION</w:t>
                </w:r>
                <w:proofErr w:type="gramEnd"/>
              </w:p>
              <w:p w:rsidR="00EA1067" w:rsidRDefault="00EA1067">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55168" o:allowincell="f" filled="f" stroked="f">
          <v:textbox style="mso-next-textbox:#_x0000_s2054" inset="0,.72pt,0,0">
            <w:txbxContent>
              <w:p w:rsidR="00EA1067" w:rsidRDefault="00EA1067">
                <w:pPr>
                  <w:jc w:val="right"/>
                  <w:rPr>
                    <w:rFonts w:ascii="Arial" w:hAnsi="Arial" w:cs="Arial"/>
                  </w:rPr>
                </w:pPr>
              </w:p>
              <w:p w:rsidR="00EA1067" w:rsidRDefault="00EA1067">
                <w:pPr>
                  <w:tabs>
                    <w:tab w:val="right" w:pos="2430"/>
                  </w:tabs>
                  <w:rPr>
                    <w:rFonts w:ascii="Arial" w:hAnsi="Arial" w:cs="Arial"/>
                  </w:rPr>
                </w:pPr>
                <w:r>
                  <w:rPr>
                    <w:rFonts w:ascii="Arial" w:hAnsi="Arial" w:cs="Arial"/>
                  </w:rPr>
                  <w:tab/>
                </w:r>
              </w:p>
              <w:p w:rsidR="00EA1067" w:rsidRDefault="00EA1067">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54144" o:allowincell="f" filled="f" stroked="f">
          <v:textbox style="mso-next-textbox:#_x0000_s2055" inset="0,0,0,0">
            <w:txbxContent>
              <w:p w:rsidR="00EA1067" w:rsidRDefault="00EA1067">
                <w:pPr>
                  <w:pStyle w:val="Header"/>
                  <w:tabs>
                    <w:tab w:val="clear" w:pos="4320"/>
                    <w:tab w:val="right" w:pos="6300"/>
                  </w:tabs>
                  <w:rPr>
                    <w:rFonts w:ascii="Arial" w:hAnsi="Arial" w:cs="Arial"/>
                  </w:rPr>
                </w:pPr>
                <w:r>
                  <w:rPr>
                    <w:rFonts w:ascii="Arial" w:hAnsi="Arial" w:cs="Arial"/>
                  </w:rPr>
                  <w:tab/>
                </w:r>
                <w:r w:rsidR="006E3F73">
                  <w:rPr>
                    <w:rFonts w:ascii="Arial" w:hAnsi="Arial" w:cs="Arial"/>
                  </w:rPr>
                  <w:t>Sixth Revision Sheet 90A</w:t>
                </w:r>
              </w:p>
              <w:p w:rsidR="00EA1067" w:rsidRDefault="00EA1067">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EA1067" w:rsidRDefault="00EA1067">
                <w:pPr>
                  <w:tabs>
                    <w:tab w:val="left" w:pos="180"/>
                    <w:tab w:val="right" w:pos="6300"/>
                  </w:tabs>
                  <w:rPr>
                    <w:rFonts w:ascii="Arial" w:hAnsi="Arial" w:cs="Arial"/>
                  </w:rPr>
                </w:pPr>
                <w:r>
                  <w:rPr>
                    <w:rFonts w:ascii="Arial" w:hAnsi="Arial" w:cs="Arial"/>
                  </w:rPr>
                  <w:tab/>
                  <w:t>WN U-28</w:t>
                </w:r>
                <w:r>
                  <w:rPr>
                    <w:rFonts w:ascii="Arial" w:hAnsi="Arial" w:cs="Arial"/>
                  </w:rPr>
                  <w:tab/>
                </w:r>
                <w:r w:rsidR="006E3F73">
                  <w:rPr>
                    <w:rFonts w:ascii="Arial" w:hAnsi="Arial" w:cs="Arial"/>
                  </w:rPr>
                  <w:t>Fifth Revision Sheet 90A</w:t>
                </w:r>
              </w:p>
            </w:txbxContent>
          </v:textbox>
        </v:shape>
      </w:pict>
    </w:r>
    <w:r>
      <w:rPr>
        <w:noProof/>
      </w:rPr>
      <w:pict>
        <v:rect id="_x0000_s2056" style="position:absolute;margin-left:-10.8pt;margin-top:64.8pt;width:460.8pt;height:583.2pt;z-index:251653120" o:allowincell="f" fill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rsids>
    <w:rsidRoot w:val="00EA1067"/>
    <w:rsid w:val="0002057C"/>
    <w:rsid w:val="00033FE9"/>
    <w:rsid w:val="0003672B"/>
    <w:rsid w:val="000377ED"/>
    <w:rsid w:val="00046E3E"/>
    <w:rsid w:val="0007292C"/>
    <w:rsid w:val="000839F7"/>
    <w:rsid w:val="000D5824"/>
    <w:rsid w:val="00110218"/>
    <w:rsid w:val="0013069F"/>
    <w:rsid w:val="0018025A"/>
    <w:rsid w:val="00253801"/>
    <w:rsid w:val="00263020"/>
    <w:rsid w:val="00277C59"/>
    <w:rsid w:val="00292DB7"/>
    <w:rsid w:val="002C4DCA"/>
    <w:rsid w:val="00330045"/>
    <w:rsid w:val="003450AD"/>
    <w:rsid w:val="00352AB6"/>
    <w:rsid w:val="003578D4"/>
    <w:rsid w:val="003C4324"/>
    <w:rsid w:val="00416B15"/>
    <w:rsid w:val="00416C6E"/>
    <w:rsid w:val="00431B94"/>
    <w:rsid w:val="00462ED3"/>
    <w:rsid w:val="004860DB"/>
    <w:rsid w:val="004D37F1"/>
    <w:rsid w:val="004F079B"/>
    <w:rsid w:val="004F3759"/>
    <w:rsid w:val="00571E61"/>
    <w:rsid w:val="00577F0C"/>
    <w:rsid w:val="00592569"/>
    <w:rsid w:val="005F5CD1"/>
    <w:rsid w:val="00641B9C"/>
    <w:rsid w:val="006E3F73"/>
    <w:rsid w:val="007435CD"/>
    <w:rsid w:val="007506B2"/>
    <w:rsid w:val="00753897"/>
    <w:rsid w:val="00783DD5"/>
    <w:rsid w:val="00801F27"/>
    <w:rsid w:val="00817439"/>
    <w:rsid w:val="0094165B"/>
    <w:rsid w:val="00976A64"/>
    <w:rsid w:val="009C1512"/>
    <w:rsid w:val="009C1CC3"/>
    <w:rsid w:val="009F30FB"/>
    <w:rsid w:val="00A56B84"/>
    <w:rsid w:val="00B06172"/>
    <w:rsid w:val="00B15236"/>
    <w:rsid w:val="00B35C1B"/>
    <w:rsid w:val="00B615CF"/>
    <w:rsid w:val="00B73EF9"/>
    <w:rsid w:val="00C062EA"/>
    <w:rsid w:val="00C962F8"/>
    <w:rsid w:val="00D30B07"/>
    <w:rsid w:val="00D33D08"/>
    <w:rsid w:val="00D36BE2"/>
    <w:rsid w:val="00D44298"/>
    <w:rsid w:val="00D44872"/>
    <w:rsid w:val="00E44567"/>
    <w:rsid w:val="00EA1067"/>
    <w:rsid w:val="00EB4E1E"/>
    <w:rsid w:val="00EB6003"/>
    <w:rsid w:val="00EC0A60"/>
    <w:rsid w:val="00EC2A2B"/>
    <w:rsid w:val="00ED7404"/>
    <w:rsid w:val="00EE76D5"/>
    <w:rsid w:val="00F22592"/>
    <w:rsid w:val="00F73819"/>
    <w:rsid w:val="00FA5A60"/>
    <w:rsid w:val="00FC4624"/>
    <w:rsid w:val="00FF1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2EA"/>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0377ED"/>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0377E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62EA"/>
    <w:pPr>
      <w:tabs>
        <w:tab w:val="center" w:pos="4320"/>
        <w:tab w:val="right" w:pos="8640"/>
      </w:tabs>
    </w:pPr>
  </w:style>
  <w:style w:type="character" w:customStyle="1" w:styleId="HeaderChar">
    <w:name w:val="Header Char"/>
    <w:basedOn w:val="DefaultParagraphFont"/>
    <w:link w:val="Header"/>
    <w:uiPriority w:val="99"/>
    <w:locked/>
    <w:rsid w:val="00C062EA"/>
    <w:rPr>
      <w:rFonts w:cs="Times New Roman"/>
      <w:sz w:val="20"/>
      <w:szCs w:val="20"/>
    </w:rPr>
  </w:style>
  <w:style w:type="paragraph" w:styleId="Footer">
    <w:name w:val="footer"/>
    <w:basedOn w:val="Normal"/>
    <w:link w:val="FooterChar"/>
    <w:uiPriority w:val="99"/>
    <w:rsid w:val="00C062EA"/>
    <w:pPr>
      <w:tabs>
        <w:tab w:val="center" w:pos="4320"/>
        <w:tab w:val="right" w:pos="8640"/>
      </w:tabs>
    </w:pPr>
  </w:style>
  <w:style w:type="character" w:customStyle="1" w:styleId="FooterChar">
    <w:name w:val="Footer Char"/>
    <w:basedOn w:val="DefaultParagraphFont"/>
    <w:link w:val="Footer"/>
    <w:uiPriority w:val="99"/>
    <w:locked/>
    <w:rsid w:val="00C062EA"/>
    <w:rPr>
      <w:rFonts w:cs="Times New Roman"/>
      <w:sz w:val="20"/>
      <w:szCs w:val="20"/>
    </w:rPr>
  </w:style>
  <w:style w:type="paragraph" w:styleId="BodyText">
    <w:name w:val="Body Text"/>
    <w:basedOn w:val="Normal"/>
    <w:link w:val="BodyTextChar"/>
    <w:uiPriority w:val="99"/>
    <w:rsid w:val="00C062EA"/>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C062EA"/>
    <w:rPr>
      <w:rFonts w:cs="Times New Roman"/>
      <w:sz w:val="20"/>
      <w:szCs w:val="20"/>
    </w:rPr>
  </w:style>
  <w:style w:type="paragraph" w:customStyle="1" w:styleId="Items1">
    <w:name w:val="Items 1"/>
    <w:basedOn w:val="Normal"/>
    <w:uiPriority w:val="99"/>
    <w:rsid w:val="00C062EA"/>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C062EA"/>
    <w:pPr>
      <w:ind w:right="-360"/>
    </w:pPr>
    <w:rPr>
      <w:rFonts w:ascii="Arial" w:hAnsi="Arial" w:cs="Arial"/>
      <w:sz w:val="24"/>
      <w:szCs w:val="24"/>
    </w:rPr>
  </w:style>
  <w:style w:type="character" w:customStyle="1" w:styleId="BodyText2Char">
    <w:name w:val="Body Text 2 Char"/>
    <w:basedOn w:val="DefaultParagraphFont"/>
    <w:link w:val="BodyText2"/>
    <w:uiPriority w:val="99"/>
    <w:semiHidden/>
    <w:locked/>
    <w:rsid w:val="00C062EA"/>
    <w:rPr>
      <w:rFonts w:cs="Times New Roman"/>
      <w:sz w:val="20"/>
      <w:szCs w:val="20"/>
    </w:rPr>
  </w:style>
  <w:style w:type="paragraph" w:styleId="Title">
    <w:name w:val="Title"/>
    <w:basedOn w:val="Normal"/>
    <w:link w:val="TitleChar"/>
    <w:uiPriority w:val="99"/>
    <w:qFormat/>
    <w:rsid w:val="00C062EA"/>
    <w:pPr>
      <w:jc w:val="center"/>
    </w:pPr>
    <w:rPr>
      <w:rFonts w:ascii="Arial" w:hAnsi="Arial" w:cs="Arial"/>
      <w:sz w:val="24"/>
      <w:szCs w:val="24"/>
    </w:rPr>
  </w:style>
  <w:style w:type="character" w:customStyle="1" w:styleId="TitleChar">
    <w:name w:val="Title Char"/>
    <w:basedOn w:val="DefaultParagraphFont"/>
    <w:link w:val="Title"/>
    <w:uiPriority w:val="10"/>
    <w:locked/>
    <w:rsid w:val="00C062EA"/>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5F5C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62EA"/>
    <w:rPr>
      <w:rFonts w:ascii="Tahoma" w:hAnsi="Tahoma" w:cs="Tahoma"/>
      <w:sz w:val="16"/>
      <w:szCs w:val="16"/>
    </w:rPr>
  </w:style>
  <w:style w:type="paragraph" w:styleId="BodyTextIndent2">
    <w:name w:val="Body Text Indent 2"/>
    <w:basedOn w:val="Normal"/>
    <w:link w:val="BodyTextIndent2Char"/>
    <w:uiPriority w:val="99"/>
    <w:semiHidden/>
    <w:unhideWhenUsed/>
    <w:rsid w:val="000377ED"/>
    <w:pPr>
      <w:spacing w:after="120" w:line="480" w:lineRule="auto"/>
      <w:ind w:left="360"/>
    </w:pPr>
  </w:style>
  <w:style w:type="character" w:customStyle="1" w:styleId="BodyTextIndent2Char">
    <w:name w:val="Body Text Indent 2 Char"/>
    <w:basedOn w:val="DefaultParagraphFont"/>
    <w:link w:val="BodyTextIndent2"/>
    <w:uiPriority w:val="99"/>
    <w:semiHidden/>
    <w:rsid w:val="000377ED"/>
    <w:rPr>
      <w:sz w:val="20"/>
      <w:szCs w:val="20"/>
    </w:rPr>
  </w:style>
  <w:style w:type="character" w:customStyle="1" w:styleId="Heading1Char">
    <w:name w:val="Heading 1 Char"/>
    <w:basedOn w:val="DefaultParagraphFont"/>
    <w:link w:val="Heading1"/>
    <w:uiPriority w:val="99"/>
    <w:rsid w:val="000377ED"/>
    <w:rPr>
      <w:rFonts w:ascii="Arial" w:hAnsi="Arial" w:cs="Arial"/>
      <w:sz w:val="24"/>
      <w:szCs w:val="24"/>
    </w:rPr>
  </w:style>
  <w:style w:type="character" w:customStyle="1" w:styleId="Heading2Char">
    <w:name w:val="Heading 2 Char"/>
    <w:basedOn w:val="DefaultParagraphFont"/>
    <w:link w:val="Heading2"/>
    <w:uiPriority w:val="99"/>
    <w:rsid w:val="000377ED"/>
    <w:rPr>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C32E9693A5F94459BA4025416F10092" ma:contentTypeVersion="119" ma:contentTypeDescription="" ma:contentTypeScope="" ma:versionID="7a62837ff9a401c0e041eaa26e170d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2015-12-07T08:00:00+00:00</OpenedDate>
    <Date1 xmlns="dc463f71-b30c-4ab2-9473-d307f9d35888">2015-12-07T08:00:00+00:00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152309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7F702AE-FA6C-44CB-BF72-AFC2B5CED62A}"/>
</file>

<file path=customXml/itemProps2.xml><?xml version="1.0" encoding="utf-8"?>
<ds:datastoreItem xmlns:ds="http://schemas.openxmlformats.org/officeDocument/2006/customXml" ds:itemID="{B5F73103-08CF-47D5-84B2-7959B37F70E9}"/>
</file>

<file path=customXml/itemProps3.xml><?xml version="1.0" encoding="utf-8"?>
<ds:datastoreItem xmlns:ds="http://schemas.openxmlformats.org/officeDocument/2006/customXml" ds:itemID="{30263717-8CF6-4BF0-BC44-B08BC4169BB7}"/>
</file>

<file path=customXml/itemProps4.xml><?xml version="1.0" encoding="utf-8"?>
<ds:datastoreItem xmlns:ds="http://schemas.openxmlformats.org/officeDocument/2006/customXml" ds:itemID="{3061F34E-F609-4624-BA74-B421835DF816}"/>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1415</Characters>
  <Application>Microsoft Office Word</Application>
  <DocSecurity>0</DocSecurity>
  <Lines>11</Lines>
  <Paragraphs>3</Paragraphs>
  <ScaleCrop>false</ScaleCrop>
  <Company>Avista Corp</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Linda Gervais</cp:lastModifiedBy>
  <cp:revision>7</cp:revision>
  <cp:lastPrinted>2015-12-03T17:16:00Z</cp:lastPrinted>
  <dcterms:created xsi:type="dcterms:W3CDTF">2015-12-03T00:06:00Z</dcterms:created>
  <dcterms:modified xsi:type="dcterms:W3CDTF">2015-12-07T16:37:00Z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0x0101006E56B4D1795A2E4DB2F0B01679ED314A003C32E9693A5F94459BA4025416F10092</vt:lpwstr>
  </property>
  <property fmtid="{D5CDD505-2E9C-101B-9397-08002B2CF9AE}" pid="3" name="_docset_NoMedatataSyncRequired">
    <vt:lpwstr>False</vt:lpwstr>
  </property>
</Properties>
</file>