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288"/>
      </w:tblGrid>
      <w:tr w:rsidR="00931DAE" w:rsidRPr="00770E9A" w:rsidTr="00A9672A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8E12D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8E12D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8E12D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8E12D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Pr="00770E9A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C54BC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DAE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31DAE" w:rsidRDefault="00931DA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2A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2A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2A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2A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2A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2A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2A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2A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2A" w:rsidRPr="00770E9A" w:rsidTr="00A9672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9672A" w:rsidRDefault="00A9672A" w:rsidP="00A96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1E21A22DC0C48619A1CBA38CE29BC6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31DAE" w:rsidP="00931DA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NO. 183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31DAE" w:rsidP="00931DA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Natural Gas Conservation Service </w:t>
            </w:r>
            <w:r w:rsidRPr="00931DA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931DAE" w:rsidP="00931DAE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Low Income</w:t>
      </w:r>
      <w:r>
        <w:rPr>
          <w:rFonts w:ascii="Arial" w:hAnsi="Arial" w:cs="Arial"/>
          <w:sz w:val="20"/>
          <w:szCs w:val="20"/>
        </w:rPr>
        <w:t xml:space="preserve"> means those residential households served by the Company that meet income and other requirements that are published in the current U.S. Department of Energy – Washington State Low-Income Weatherization Assistance Plan prepared by the Washington State Department of Commerce (also “Commerce”).</w:t>
      </w:r>
    </w:p>
    <w:p w:rsidR="007A1D4D" w:rsidRDefault="007A1D4D" w:rsidP="007A1D4D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7A1D4D" w:rsidRPr="007A1D4D" w:rsidRDefault="007D01E0" w:rsidP="007A1D4D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7A1D4D">
        <w:rPr>
          <w:rFonts w:ascii="Arial" w:hAnsi="Arial" w:cs="Arial"/>
          <w:b/>
          <w:sz w:val="20"/>
          <w:szCs w:val="20"/>
        </w:rPr>
        <w:t>Market Transformation</w:t>
      </w:r>
      <w:r w:rsidRPr="007A1D4D">
        <w:rPr>
          <w:rFonts w:ascii="Arial" w:hAnsi="Arial" w:cs="Arial"/>
          <w:sz w:val="20"/>
          <w:szCs w:val="20"/>
        </w:rPr>
        <w:t xml:space="preserve"> means effecting permanent changes in the markets for targeted, cost-effective, energy efficiency products and services that will result in sustainable market penetration, without the need for long-term utility incentives.  Market Transformation is a temporary market intervention with a clear expectation that involvement will end.</w:t>
      </w:r>
    </w:p>
    <w:p w:rsidR="007A1D4D" w:rsidRDefault="007A1D4D" w:rsidP="007A1D4D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7A1D4D" w:rsidRPr="007A1D4D" w:rsidRDefault="007D01E0" w:rsidP="007A1D4D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7A1D4D">
        <w:rPr>
          <w:rFonts w:ascii="Arial" w:hAnsi="Arial" w:cs="Arial"/>
          <w:b/>
          <w:sz w:val="20"/>
          <w:szCs w:val="20"/>
        </w:rPr>
        <w:t>Measure</w:t>
      </w:r>
      <w:r w:rsidRPr="007A1D4D">
        <w:rPr>
          <w:rFonts w:ascii="Arial" w:hAnsi="Arial" w:cs="Arial"/>
          <w:sz w:val="20"/>
          <w:szCs w:val="20"/>
        </w:rPr>
        <w:t xml:space="preserve"> is a product, device, piece of equipment, system or building design or operational practice used to achieve greater energy efficiency.  Unless otherwise enumerated in a specific Energy Efficiency Program, all Measures, proposed by Customers or otherwise, shall meet or exceed the efficiency standards set forth in the applicable</w:t>
      </w:r>
      <w:r w:rsidR="00D56246" w:rsidRPr="007A1D4D">
        <w:rPr>
          <w:rFonts w:ascii="Arial" w:hAnsi="Arial" w:cs="Arial"/>
          <w:sz w:val="20"/>
          <w:szCs w:val="20"/>
        </w:rPr>
        <w:t xml:space="preserve"> energy codes, or, where none exists, “standard industry practice” as determined by the Company.  Measures will meet common construction practices, and meet industry standards for quality and energy efficiency.</w:t>
      </w:r>
    </w:p>
    <w:p w:rsidR="007A1D4D" w:rsidRDefault="007A1D4D" w:rsidP="007A1D4D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7A1D4D" w:rsidRPr="007A1D4D" w:rsidRDefault="00281118" w:rsidP="007A1D4D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7A1D4D">
        <w:rPr>
          <w:rFonts w:ascii="Arial" w:hAnsi="Arial" w:cs="Arial"/>
          <w:b/>
          <w:sz w:val="20"/>
          <w:szCs w:val="20"/>
        </w:rPr>
        <w:t>Measure Cost</w:t>
      </w:r>
      <w:r w:rsidRPr="007A1D4D">
        <w:rPr>
          <w:rFonts w:ascii="Arial" w:hAnsi="Arial" w:cs="Arial"/>
          <w:sz w:val="20"/>
          <w:szCs w:val="20"/>
        </w:rPr>
        <w:t xml:space="preserve"> is the know</w:t>
      </w:r>
      <w:r w:rsidR="00A9672A">
        <w:rPr>
          <w:rFonts w:ascii="Arial" w:hAnsi="Arial" w:cs="Arial"/>
          <w:sz w:val="20"/>
          <w:szCs w:val="20"/>
        </w:rPr>
        <w:t>n</w:t>
      </w:r>
      <w:r w:rsidRPr="007A1D4D">
        <w:rPr>
          <w:rFonts w:ascii="Arial" w:hAnsi="Arial" w:cs="Arial"/>
          <w:sz w:val="20"/>
          <w:szCs w:val="20"/>
        </w:rPr>
        <w:t xml:space="preserve"> and measurable costs to all parties of purchasing and installing an energy-efficiency Measure at a Customer’s facility, not to include the Company’s administrative costs.</w:t>
      </w:r>
    </w:p>
    <w:p w:rsidR="007A1D4D" w:rsidRDefault="007A1D4D" w:rsidP="007A1D4D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7A1D4D" w:rsidRPr="007A1D4D" w:rsidRDefault="00281118" w:rsidP="007A1D4D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7A1D4D">
        <w:rPr>
          <w:rFonts w:ascii="Arial" w:hAnsi="Arial" w:cs="Arial"/>
          <w:b/>
          <w:sz w:val="20"/>
          <w:szCs w:val="20"/>
        </w:rPr>
        <w:t>Measure Life</w:t>
      </w:r>
      <w:r w:rsidRPr="007A1D4D">
        <w:rPr>
          <w:rFonts w:ascii="Arial" w:hAnsi="Arial" w:cs="Arial"/>
          <w:sz w:val="20"/>
          <w:szCs w:val="20"/>
        </w:rPr>
        <w:t xml:space="preserve"> is the expected life (in years) of the savings of a Measure.</w:t>
      </w:r>
    </w:p>
    <w:p w:rsidR="007A1D4D" w:rsidRDefault="007A1D4D" w:rsidP="007A1D4D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281118" w:rsidRDefault="00281118" w:rsidP="00931DAE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Non-quantifiable Benefits (or Costs</w:t>
      </w:r>
      <w:r w:rsidR="007A1D4D">
        <w:rPr>
          <w:rFonts w:ascii="Arial" w:hAnsi="Arial" w:cs="Arial"/>
          <w:b/>
          <w:sz w:val="20"/>
          <w:szCs w:val="20"/>
        </w:rPr>
        <w:t>):</w:t>
      </w:r>
      <w:r w:rsidR="007A1D4D">
        <w:rPr>
          <w:rFonts w:ascii="Arial" w:hAnsi="Arial" w:cs="Arial"/>
          <w:sz w:val="20"/>
          <w:szCs w:val="20"/>
        </w:rPr>
        <w:t xml:space="preserve">  Benefits (or costs) of undertaking energy efficiency improvements, as determined by society </w:t>
      </w:r>
      <w:r w:rsidR="00C54BCC">
        <w:rPr>
          <w:rFonts w:ascii="Arial" w:hAnsi="Arial" w:cs="Arial"/>
          <w:sz w:val="20"/>
          <w:szCs w:val="20"/>
        </w:rPr>
        <w:t>and the utility.  Benefits (or c</w:t>
      </w:r>
      <w:r w:rsidR="007A1D4D">
        <w:rPr>
          <w:rFonts w:ascii="Arial" w:hAnsi="Arial" w:cs="Arial"/>
          <w:sz w:val="20"/>
          <w:szCs w:val="20"/>
        </w:rPr>
        <w:t>osts) may include, but are not limited to: legislative or regulatory mandates, support for regional Market Transformation programs, low income health and safety, low income energy efficiency or experimental and pilot programs.  The Company may use these Non-quantifiable Benefits (or costs) to demonstrate cost-effectiveness based on the Total Resource Cost Test.</w:t>
      </w:r>
    </w:p>
    <w:p w:rsidR="007A1D4D" w:rsidRPr="007A1D4D" w:rsidRDefault="007A1D4D" w:rsidP="007A1D4D">
      <w:pPr>
        <w:pStyle w:val="ListParagraph"/>
        <w:rPr>
          <w:rFonts w:ascii="Arial" w:hAnsi="Arial" w:cs="Arial"/>
          <w:sz w:val="20"/>
          <w:szCs w:val="20"/>
        </w:rPr>
      </w:pPr>
    </w:p>
    <w:p w:rsidR="007A1D4D" w:rsidRPr="00931DAE" w:rsidRDefault="007A1D4D" w:rsidP="00931DAE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Optimization</w:t>
      </w:r>
      <w:r>
        <w:rPr>
          <w:rFonts w:ascii="Arial" w:hAnsi="Arial" w:cs="Arial"/>
          <w:sz w:val="20"/>
          <w:szCs w:val="20"/>
        </w:rPr>
        <w:t xml:space="preserve"> refers to improving the energy efficiency performance of existing buildings and in existing processes, typically through low-cost operational and maintenance strategies.</w:t>
      </w:r>
    </w:p>
    <w:p w:rsidR="008E12D7" w:rsidRDefault="008E12D7" w:rsidP="007A1D4D">
      <w:pPr>
        <w:spacing w:after="0" w:line="240" w:lineRule="auto"/>
        <w:rPr>
          <w:rStyle w:val="Custom2"/>
        </w:rPr>
      </w:pPr>
    </w:p>
    <w:p w:rsidR="008E12D7" w:rsidRDefault="008E12D7" w:rsidP="007A1D4D">
      <w:pPr>
        <w:spacing w:after="0" w:line="240" w:lineRule="auto"/>
        <w:rPr>
          <w:rStyle w:val="Custom2"/>
        </w:rPr>
      </w:pPr>
    </w:p>
    <w:p w:rsidR="00DB3D30" w:rsidRDefault="007A1D4D" w:rsidP="007A1D4D">
      <w:pPr>
        <w:spacing w:after="0" w:line="240" w:lineRule="auto"/>
        <w:rPr>
          <w:rStyle w:val="Custom2"/>
        </w:rPr>
      </w:pPr>
      <w:r>
        <w:rPr>
          <w:rStyle w:val="Custom2"/>
        </w:rPr>
        <w:t>(</w:t>
      </w:r>
      <w:r w:rsidR="008E12D7">
        <w:rPr>
          <w:rStyle w:val="Custom2"/>
        </w:rPr>
        <w:t>M) Tr</w:t>
      </w:r>
      <w:r w:rsidR="00C54BCC">
        <w:rPr>
          <w:rStyle w:val="Custom2"/>
        </w:rPr>
        <w:t>ansferred from Sheet No. 1183-A</w:t>
      </w:r>
    </w:p>
    <w:p w:rsidR="008E12D7" w:rsidRPr="00BC7E42" w:rsidRDefault="008E12D7" w:rsidP="007A1D4D">
      <w:pPr>
        <w:spacing w:after="0" w:line="240" w:lineRule="auto"/>
        <w:rPr>
          <w:rStyle w:val="Custom2"/>
        </w:rPr>
      </w:pPr>
      <w:r>
        <w:rPr>
          <w:rStyle w:val="Custom2"/>
        </w:rPr>
        <w:t xml:space="preserve">(K) </w:t>
      </w:r>
      <w:r w:rsidR="00C54BCC">
        <w:rPr>
          <w:rStyle w:val="Custom2"/>
        </w:rPr>
        <w:t>Transferred to Sheet No, 1183-C</w:t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  <w:t>(Continued on Sheet No. 1183-C)</w:t>
      </w:r>
    </w:p>
    <w:sectPr w:rsidR="008E12D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AE" w:rsidRDefault="00931DAE" w:rsidP="00B963E0">
      <w:pPr>
        <w:spacing w:after="0" w:line="240" w:lineRule="auto"/>
      </w:pPr>
      <w:r>
        <w:separator/>
      </w:r>
    </w:p>
  </w:endnote>
  <w:endnote w:type="continuationSeparator" w:id="0">
    <w:p w:rsidR="00931DAE" w:rsidRDefault="00931DA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0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04262">
          <w:rPr>
            <w:rFonts w:ascii="Arial" w:hAnsi="Arial" w:cs="Arial"/>
            <w:sz w:val="20"/>
            <w:szCs w:val="20"/>
          </w:rPr>
          <w:t>October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9672A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672A">
          <w:rPr>
            <w:rFonts w:ascii="Arial" w:hAnsi="Arial" w:cs="Arial"/>
            <w:sz w:val="20"/>
            <w:szCs w:val="20"/>
          </w:rPr>
          <w:t>2015</w:t>
        </w:r>
        <w:r w:rsidR="00931DAE">
          <w:rPr>
            <w:rFonts w:ascii="Arial" w:hAnsi="Arial" w:cs="Arial"/>
            <w:sz w:val="20"/>
            <w:szCs w:val="20"/>
          </w:rPr>
          <w:t>-</w:t>
        </w:r>
        <w:r w:rsidR="00B04262">
          <w:rPr>
            <w:rFonts w:ascii="Arial" w:hAnsi="Arial" w:cs="Arial"/>
            <w:sz w:val="20"/>
            <w:szCs w:val="20"/>
          </w:rPr>
          <w:t>29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0426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98FDD0" wp14:editId="214E191D">
                <wp:extent cx="1024986" cy="281940"/>
                <wp:effectExtent l="0" t="0" r="3810" b="381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82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A9672A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931DAE">
            <w:rPr>
              <w:rFonts w:ascii="Arial" w:hAnsi="Arial" w:cs="Arial"/>
              <w:b/>
              <w:sz w:val="20"/>
              <w:szCs w:val="20"/>
            </w:rPr>
            <w:t xml:space="preserve">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882FF5"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AE" w:rsidRDefault="00931DAE" w:rsidP="00B963E0">
      <w:pPr>
        <w:spacing w:after="0" w:line="240" w:lineRule="auto"/>
      </w:pPr>
      <w:r>
        <w:separator/>
      </w:r>
    </w:p>
  </w:footnote>
  <w:footnote w:type="continuationSeparator" w:id="0">
    <w:p w:rsidR="00931DAE" w:rsidRDefault="00931DA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9672A" w:rsidP="00D02C25">
    <w:pPr>
      <w:pStyle w:val="NoSpacing"/>
      <w:ind w:right="3600"/>
      <w:jc w:val="right"/>
    </w:pPr>
    <w:r>
      <w:t>3</w:t>
    </w:r>
    <w:r w:rsidRPr="00A9672A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01E21A22DC0C48619A1CBA38CE29BC65"/>
        </w:placeholder>
        <w:text/>
      </w:sdtPr>
      <w:sdtEndPr/>
      <w:sdtContent>
        <w:r w:rsidR="00931DAE">
          <w:t>1183-B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9672A">
      <w:t>2</w:t>
    </w:r>
    <w:r w:rsidR="00A9672A" w:rsidRPr="00A9672A">
      <w:rPr>
        <w:vertAlign w:val="superscript"/>
      </w:rPr>
      <w:t>nd</w:t>
    </w:r>
    <w:r w:rsidR="00A9672A">
      <w:t xml:space="preserve"> </w:t>
    </w:r>
    <w:r>
      <w:t>Revision</w:t>
    </w:r>
  </w:p>
  <w:p w:rsidR="00B963E0" w:rsidRPr="00E61AEC" w:rsidRDefault="00931DA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1183-B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931DAE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41FD2C" wp14:editId="359A38E2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52673"/>
    <w:multiLevelType w:val="hybridMultilevel"/>
    <w:tmpl w:val="25E40846"/>
    <w:lvl w:ilvl="0" w:tplc="9E7A4F0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A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118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1D4D"/>
    <w:rsid w:val="007A48CC"/>
    <w:rsid w:val="007B3F61"/>
    <w:rsid w:val="007D01E0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12D7"/>
    <w:rsid w:val="008E58E7"/>
    <w:rsid w:val="00931DAE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09EA"/>
    <w:rsid w:val="00A742E6"/>
    <w:rsid w:val="00A839AA"/>
    <w:rsid w:val="00A9672A"/>
    <w:rsid w:val="00AA55FC"/>
    <w:rsid w:val="00AB4028"/>
    <w:rsid w:val="00AB5920"/>
    <w:rsid w:val="00B04262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54BCC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6246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31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31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E21A22DC0C48619A1CBA38CE29B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D50B-9500-4A65-B29C-87787320E716}"/>
      </w:docPartPr>
      <w:docPartBody>
        <w:p w:rsidR="002F1ACD" w:rsidRDefault="002F1ACD">
          <w:pPr>
            <w:pStyle w:val="01E21A22DC0C48619A1CBA38CE29BC6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CD"/>
    <w:rsid w:val="002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E21A22DC0C48619A1CBA38CE29BC65">
    <w:name w:val="01E21A22DC0C48619A1CBA38CE29BC65"/>
  </w:style>
  <w:style w:type="paragraph" w:customStyle="1" w:styleId="462576E65CA54B2CB175394606CE133E">
    <w:name w:val="462576E65CA54B2CB175394606CE133E"/>
  </w:style>
  <w:style w:type="paragraph" w:customStyle="1" w:styleId="5A1231D7F2A34F54ADAFBF8785C25651">
    <w:name w:val="5A1231D7F2A34F54ADAFBF8785C25651"/>
  </w:style>
  <w:style w:type="paragraph" w:customStyle="1" w:styleId="83138D18C66E4AAEBADE2C585BEDD050">
    <w:name w:val="83138D18C66E4AAEBADE2C585BEDD0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E21A22DC0C48619A1CBA38CE29BC65">
    <w:name w:val="01E21A22DC0C48619A1CBA38CE29BC65"/>
  </w:style>
  <w:style w:type="paragraph" w:customStyle="1" w:styleId="462576E65CA54B2CB175394606CE133E">
    <w:name w:val="462576E65CA54B2CB175394606CE133E"/>
  </w:style>
  <w:style w:type="paragraph" w:customStyle="1" w:styleId="5A1231D7F2A34F54ADAFBF8785C25651">
    <w:name w:val="5A1231D7F2A34F54ADAFBF8785C25651"/>
  </w:style>
  <w:style w:type="paragraph" w:customStyle="1" w:styleId="83138D18C66E4AAEBADE2C585BEDD050">
    <w:name w:val="83138D18C66E4AAEBADE2C585BEDD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2015-10-27T07:00:00+00:00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48E6A908EEE9478A3F4564F2EBD8CE" ma:contentTypeVersion="119" ma:contentTypeDescription="" ma:contentTypeScope="" ma:versionID="990ae4dd20cb51ae7fb96ade0a1c17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B1565-F407-459B-8A84-DE04434ADD69}"/>
</file>

<file path=customXml/itemProps2.xml><?xml version="1.0" encoding="utf-8"?>
<ds:datastoreItem xmlns:ds="http://schemas.openxmlformats.org/officeDocument/2006/customXml" ds:itemID="{BB6AFCC9-5561-4FCD-9C85-94C46BCDF39A}"/>
</file>

<file path=customXml/itemProps3.xml><?xml version="1.0" encoding="utf-8"?>
<ds:datastoreItem xmlns:ds="http://schemas.openxmlformats.org/officeDocument/2006/customXml" ds:itemID="{04F77122-F3D1-4E87-B92A-CF2715B94991}"/>
</file>

<file path=customXml/itemProps4.xml><?xml version="1.0" encoding="utf-8"?>
<ds:datastoreItem xmlns:ds="http://schemas.openxmlformats.org/officeDocument/2006/customXml" ds:itemID="{D1F919D6-504D-4A64-AD65-6A7D45B98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5</cp:revision>
  <cp:lastPrinted>2011-08-19T16:17:00Z</cp:lastPrinted>
  <dcterms:created xsi:type="dcterms:W3CDTF">2015-10-06T19:01:00Z</dcterms:created>
  <dcterms:modified xsi:type="dcterms:W3CDTF">2015-10-23T20:40:00Z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0x0101006E56B4D1795A2E4DB2F0B01679ED314A007C48E6A908EEE9478A3F4564F2EBD8CE</vt:lpwstr>
  </property>
  <property fmtid="{D5CDD505-2E9C-101B-9397-08002B2CF9AE}" pid="3" name="_docset_NoMedatataSyncRequired">
    <vt:lpwstr>False</vt:lpwstr>
  </property>
</Properties>
</file>