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06047" w14:textId="77777777" w:rsidR="00057D88" w:rsidRPr="00D42C16" w:rsidRDefault="00057D88" w:rsidP="00057D88">
      <w:pPr>
        <w:ind w:left="540"/>
        <w:rPr>
          <w:rFonts w:ascii="Arial" w:hAnsi="Arial" w:cs="Arial"/>
          <w:i/>
          <w:sz w:val="18"/>
          <w:szCs w:val="18"/>
        </w:rPr>
      </w:pPr>
      <w:bookmarkStart w:id="0" w:name="_GoBack"/>
      <w:bookmarkEnd w:id="0"/>
      <w:r w:rsidRPr="00D42C16">
        <w:rPr>
          <w:rFonts w:ascii="Arial" w:hAnsi="Arial" w:cs="Arial"/>
          <w:i/>
          <w:sz w:val="18"/>
          <w:szCs w:val="18"/>
        </w:rPr>
        <w:t>www.pse.com</w:t>
      </w:r>
    </w:p>
    <w:p w14:paraId="00C06048" w14:textId="77777777" w:rsidR="00057D88" w:rsidRPr="000D58D1" w:rsidRDefault="00057D88" w:rsidP="00057D88">
      <w:pPr>
        <w:ind w:left="540" w:hanging="1170"/>
        <w:rPr>
          <w:sz w:val="24"/>
          <w:szCs w:val="24"/>
        </w:rPr>
      </w:pPr>
      <w:r w:rsidRPr="000D58D1">
        <w:rPr>
          <w:noProof/>
          <w:sz w:val="24"/>
          <w:szCs w:val="24"/>
        </w:rPr>
        <w:drawing>
          <wp:inline distT="0" distB="0" distL="0" distR="0" wp14:anchorId="00C060AB" wp14:editId="00C060AC">
            <wp:extent cx="3009900" cy="495300"/>
            <wp:effectExtent l="0" t="0" r="0" b="0"/>
            <wp:docPr id="5" name="Picture 5"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495300"/>
                    </a:xfrm>
                    <a:prstGeom prst="rect">
                      <a:avLst/>
                    </a:prstGeom>
                    <a:noFill/>
                    <a:ln>
                      <a:noFill/>
                    </a:ln>
                  </pic:spPr>
                </pic:pic>
              </a:graphicData>
            </a:graphic>
          </wp:inline>
        </w:drawing>
      </w:r>
    </w:p>
    <w:p w14:paraId="00C06049" w14:textId="77777777" w:rsidR="003C2F03" w:rsidRDefault="003C2F03" w:rsidP="00057D88">
      <w:pPr>
        <w:ind w:left="540"/>
        <w:rPr>
          <w:rFonts w:ascii="Arial" w:hAnsi="Arial" w:cs="Arial"/>
          <w:i/>
          <w:sz w:val="18"/>
          <w:szCs w:val="18"/>
        </w:rPr>
      </w:pPr>
    </w:p>
    <w:p w14:paraId="00C0604A" w14:textId="77777777" w:rsidR="00057D88" w:rsidRPr="00D42C16" w:rsidRDefault="00057D88" w:rsidP="00057D88">
      <w:pPr>
        <w:ind w:left="540"/>
        <w:rPr>
          <w:rFonts w:ascii="Arial" w:hAnsi="Arial" w:cs="Arial"/>
          <w:i/>
          <w:sz w:val="18"/>
          <w:szCs w:val="18"/>
        </w:rPr>
      </w:pPr>
      <w:r w:rsidRPr="00D42C16">
        <w:rPr>
          <w:rFonts w:ascii="Arial" w:hAnsi="Arial" w:cs="Arial"/>
          <w:i/>
          <w:sz w:val="18"/>
          <w:szCs w:val="18"/>
        </w:rPr>
        <w:t>Puget Sound Energy</w:t>
      </w:r>
    </w:p>
    <w:p w14:paraId="00C0604B" w14:textId="77777777" w:rsidR="00057D88" w:rsidRPr="00D42C16" w:rsidRDefault="00057D88" w:rsidP="00057D88">
      <w:pPr>
        <w:pStyle w:val="Heading3"/>
        <w:tabs>
          <w:tab w:val="left" w:pos="540"/>
        </w:tabs>
        <w:spacing w:before="0"/>
        <w:ind w:left="540"/>
        <w:rPr>
          <w:rFonts w:ascii="Arial" w:hAnsi="Arial" w:cs="Arial"/>
          <w:b w:val="0"/>
          <w:bCs w:val="0"/>
          <w:i/>
          <w:sz w:val="18"/>
          <w:szCs w:val="18"/>
        </w:rPr>
      </w:pPr>
      <w:r w:rsidRPr="00D42C16">
        <w:rPr>
          <w:rFonts w:ascii="Arial" w:hAnsi="Arial" w:cs="Arial"/>
          <w:b w:val="0"/>
          <w:i/>
          <w:sz w:val="18"/>
          <w:szCs w:val="18"/>
        </w:rPr>
        <w:t>P.O. Box 97034</w:t>
      </w:r>
    </w:p>
    <w:p w14:paraId="00C0604C" w14:textId="77777777" w:rsidR="00057D88" w:rsidRDefault="00057D88" w:rsidP="00057D88">
      <w:pPr>
        <w:pStyle w:val="Heading3"/>
        <w:tabs>
          <w:tab w:val="left" w:pos="540"/>
        </w:tabs>
        <w:spacing w:before="0"/>
        <w:ind w:left="540"/>
      </w:pPr>
      <w:r w:rsidRPr="00D42C16">
        <w:rPr>
          <w:rFonts w:ascii="Arial" w:hAnsi="Arial" w:cs="Arial"/>
          <w:b w:val="0"/>
          <w:i/>
          <w:sz w:val="18"/>
          <w:szCs w:val="18"/>
        </w:rPr>
        <w:t>Bellevue, WA  98009-9734</w:t>
      </w:r>
    </w:p>
    <w:p w14:paraId="00C0604D" w14:textId="77777777" w:rsidR="00787FBD" w:rsidRDefault="00787FBD" w:rsidP="00787FBD">
      <w:pPr>
        <w:pStyle w:val="Default"/>
        <w:spacing w:after="56"/>
        <w:rPr>
          <w:sz w:val="23"/>
          <w:szCs w:val="23"/>
        </w:rPr>
      </w:pPr>
    </w:p>
    <w:p w14:paraId="00C0604E" w14:textId="77777777" w:rsidR="00A4382E" w:rsidRDefault="00A4382E" w:rsidP="00787FBD">
      <w:pPr>
        <w:pStyle w:val="Default"/>
        <w:spacing w:after="56"/>
        <w:rPr>
          <w:sz w:val="23"/>
          <w:szCs w:val="23"/>
        </w:rPr>
      </w:pPr>
    </w:p>
    <w:p w14:paraId="00C0604F" w14:textId="77777777" w:rsidR="00A4382E" w:rsidRPr="00CA1D9F" w:rsidRDefault="00A4382E" w:rsidP="00A4382E">
      <w:pPr>
        <w:pStyle w:val="Default"/>
        <w:spacing w:after="56"/>
      </w:pPr>
      <w:r w:rsidRPr="00CA1D9F">
        <w:t>August 21, 2017</w:t>
      </w:r>
    </w:p>
    <w:p w14:paraId="00C06050" w14:textId="77777777" w:rsidR="00A4382E" w:rsidRDefault="00A4382E" w:rsidP="00A4382E">
      <w:pPr>
        <w:pStyle w:val="Default"/>
        <w:spacing w:after="56"/>
      </w:pPr>
    </w:p>
    <w:p w14:paraId="00C06051" w14:textId="77777777" w:rsidR="00A4382E" w:rsidRPr="006A50E2" w:rsidRDefault="00A4382E" w:rsidP="00A4382E">
      <w:pPr>
        <w:pStyle w:val="Default"/>
        <w:spacing w:after="56"/>
        <w:jc w:val="both"/>
        <w:rPr>
          <w:b/>
        </w:rPr>
      </w:pPr>
      <w:r w:rsidRPr="006A50E2">
        <w:rPr>
          <w:b/>
        </w:rPr>
        <w:t>Filed Via Web Portal</w:t>
      </w:r>
    </w:p>
    <w:p w14:paraId="00C06052" w14:textId="77777777" w:rsidR="00787FBD" w:rsidRPr="00CA1D9F" w:rsidRDefault="00787FBD" w:rsidP="00787FBD">
      <w:pPr>
        <w:pStyle w:val="Default"/>
        <w:spacing w:after="56"/>
      </w:pPr>
    </w:p>
    <w:p w14:paraId="00C06053" w14:textId="77777777" w:rsidR="00787FBD" w:rsidRPr="00CA1D9F" w:rsidRDefault="00787FBD" w:rsidP="00787FBD">
      <w:pPr>
        <w:pStyle w:val="Default"/>
        <w:spacing w:after="56"/>
      </w:pPr>
      <w:r w:rsidRPr="00CA1D9F">
        <w:t>Mr. Steven King</w:t>
      </w:r>
    </w:p>
    <w:p w14:paraId="00C06054" w14:textId="77777777" w:rsidR="00787FBD" w:rsidRPr="00CA1D9F" w:rsidRDefault="00787FBD" w:rsidP="00787FBD">
      <w:pPr>
        <w:pStyle w:val="Default"/>
        <w:spacing w:after="56"/>
      </w:pPr>
      <w:r w:rsidRPr="00CA1D9F">
        <w:t>Executive Director and Secretary</w:t>
      </w:r>
    </w:p>
    <w:p w14:paraId="00C06055" w14:textId="77777777" w:rsidR="00787FBD" w:rsidRPr="00CA1D9F" w:rsidRDefault="00787FBD" w:rsidP="00787FBD">
      <w:pPr>
        <w:pStyle w:val="Default"/>
        <w:spacing w:after="56"/>
      </w:pPr>
      <w:r w:rsidRPr="00CA1D9F">
        <w:t>Washington Utilities and Transportation Commission</w:t>
      </w:r>
    </w:p>
    <w:p w14:paraId="00C06056" w14:textId="77777777" w:rsidR="00787FBD" w:rsidRPr="00CA1D9F" w:rsidRDefault="00787FBD" w:rsidP="00787FBD">
      <w:pPr>
        <w:pStyle w:val="Default"/>
        <w:spacing w:after="56"/>
      </w:pPr>
      <w:r w:rsidRPr="00CA1D9F">
        <w:t>P.O. Box 47250</w:t>
      </w:r>
    </w:p>
    <w:p w14:paraId="00C06057" w14:textId="77777777" w:rsidR="00787FBD" w:rsidRPr="00CA1D9F" w:rsidRDefault="00787FBD" w:rsidP="00787FBD">
      <w:pPr>
        <w:pStyle w:val="Default"/>
        <w:spacing w:after="56"/>
      </w:pPr>
      <w:r w:rsidRPr="00CA1D9F">
        <w:t>Olympia, Washington 98504-7250</w:t>
      </w:r>
    </w:p>
    <w:p w14:paraId="00C06058" w14:textId="77777777" w:rsidR="00787FBD" w:rsidRPr="00CA1D9F" w:rsidRDefault="00787FBD" w:rsidP="00787FBD">
      <w:pPr>
        <w:pStyle w:val="Default"/>
        <w:spacing w:after="56"/>
      </w:pPr>
    </w:p>
    <w:p w14:paraId="00C06059" w14:textId="77777777" w:rsidR="00A4382E" w:rsidRPr="007F7695" w:rsidRDefault="00787FBD" w:rsidP="00787FBD">
      <w:pPr>
        <w:pStyle w:val="Default"/>
        <w:spacing w:after="56"/>
        <w:rPr>
          <w:b/>
        </w:rPr>
      </w:pPr>
      <w:r w:rsidRPr="007F7695">
        <w:rPr>
          <w:b/>
        </w:rPr>
        <w:t>Re:</w:t>
      </w:r>
      <w:r w:rsidRPr="007F7695">
        <w:rPr>
          <w:b/>
        </w:rPr>
        <w:tab/>
        <w:t>Docket U-151958</w:t>
      </w:r>
    </w:p>
    <w:p w14:paraId="00C0605A" w14:textId="77777777" w:rsidR="00787FBD" w:rsidRPr="00A4382E" w:rsidRDefault="00787FBD" w:rsidP="00A4382E">
      <w:pPr>
        <w:pStyle w:val="Default"/>
        <w:spacing w:after="56"/>
        <w:ind w:firstLine="720"/>
        <w:rPr>
          <w:b/>
        </w:rPr>
      </w:pPr>
      <w:r w:rsidRPr="00A4382E">
        <w:rPr>
          <w:b/>
        </w:rPr>
        <w:t>Investigation into Reliability Benchmarking</w:t>
      </w:r>
    </w:p>
    <w:p w14:paraId="00C0605B" w14:textId="77777777" w:rsidR="00787FBD" w:rsidRPr="00CA1D9F" w:rsidRDefault="00787FBD" w:rsidP="00787FBD">
      <w:pPr>
        <w:pStyle w:val="Default"/>
        <w:spacing w:after="56"/>
      </w:pPr>
    </w:p>
    <w:p w14:paraId="00C0605C" w14:textId="77777777" w:rsidR="00787FBD" w:rsidRPr="00CA1D9F" w:rsidRDefault="00787FBD" w:rsidP="00787FBD">
      <w:pPr>
        <w:pStyle w:val="Default"/>
        <w:spacing w:after="56"/>
      </w:pPr>
      <w:r w:rsidRPr="00CA1D9F">
        <w:t>Dear Mr. King,</w:t>
      </w:r>
    </w:p>
    <w:p w14:paraId="00C0605D" w14:textId="77777777" w:rsidR="00787FBD" w:rsidRPr="00CA1D9F" w:rsidRDefault="00787FBD" w:rsidP="00787FBD">
      <w:pPr>
        <w:pStyle w:val="Default"/>
        <w:spacing w:after="56"/>
      </w:pPr>
    </w:p>
    <w:p w14:paraId="00C0605E" w14:textId="77777777" w:rsidR="00AC52A7" w:rsidRDefault="00787FBD" w:rsidP="009C34D8">
      <w:pPr>
        <w:pStyle w:val="Default"/>
        <w:spacing w:after="56"/>
      </w:pPr>
      <w:r w:rsidRPr="00CA1D9F">
        <w:t xml:space="preserve">Puget Sound Energy is providing these comments on </w:t>
      </w:r>
      <w:r w:rsidR="00A87F7E">
        <w:t>reliability performance benchmarking</w:t>
      </w:r>
      <w:r w:rsidRPr="00CA1D9F">
        <w:t xml:space="preserve"> in the above</w:t>
      </w:r>
      <w:r w:rsidR="00A4382E">
        <w:t>-referenced</w:t>
      </w:r>
      <w:r w:rsidRPr="00CA1D9F">
        <w:t xml:space="preserve"> docket pursuant to the Commission's Notice of Opportunity to File Written Comments dated </w:t>
      </w:r>
      <w:r w:rsidR="00780EE3" w:rsidRPr="00CA1D9F">
        <w:t>July 7</w:t>
      </w:r>
      <w:r w:rsidRPr="00CA1D9F">
        <w:t>, 201</w:t>
      </w:r>
      <w:r w:rsidR="00780EE3" w:rsidRPr="00CA1D9F">
        <w:t>7</w:t>
      </w:r>
      <w:r w:rsidR="00A87F7E">
        <w:t>,</w:t>
      </w:r>
      <w:r w:rsidRPr="00CA1D9F">
        <w:t xml:space="preserve"> and its Notice </w:t>
      </w:r>
      <w:r w:rsidR="00780EE3" w:rsidRPr="00CA1D9F">
        <w:t>of Workshop</w:t>
      </w:r>
      <w:r w:rsidRPr="00CA1D9F">
        <w:t xml:space="preserve"> (collectively "Notice").  </w:t>
      </w:r>
      <w:r w:rsidR="00C60830" w:rsidRPr="00CA1D9F">
        <w:t>Puget Sound Energy</w:t>
      </w:r>
      <w:r w:rsidR="009C34D8" w:rsidRPr="00CA1D9F">
        <w:t xml:space="preserve"> appreciates the opportunity to collaborate and participate in the</w:t>
      </w:r>
      <w:r w:rsidR="009C34D8">
        <w:t xml:space="preserve"> </w:t>
      </w:r>
      <w:r w:rsidR="00A87F7E">
        <w:t>Commission</w:t>
      </w:r>
      <w:r w:rsidR="006A1D06" w:rsidRPr="00CA1D9F">
        <w:t xml:space="preserve">’s investigation of electric reliability </w:t>
      </w:r>
      <w:r w:rsidR="00A87F7E">
        <w:t xml:space="preserve">performance benchmarking, including </w:t>
      </w:r>
      <w:r w:rsidR="005E325E">
        <w:t>econometric</w:t>
      </w:r>
      <w:r w:rsidR="00A87F7E">
        <w:t xml:space="preserve"> benchmarking</w:t>
      </w:r>
      <w:r w:rsidR="006A1D06" w:rsidRPr="00CA1D9F">
        <w:t xml:space="preserve"> in Docket U-151958</w:t>
      </w:r>
      <w:r w:rsidR="009C34D8" w:rsidRPr="00CA1D9F">
        <w:t xml:space="preserve">.  Generally, </w:t>
      </w:r>
      <w:r w:rsidR="00A87F7E">
        <w:t>Puget Sound Energy</w:t>
      </w:r>
      <w:r w:rsidR="009C34D8" w:rsidRPr="00CA1D9F">
        <w:t xml:space="preserve"> supports a collaborative way of determining the acceptable level of </w:t>
      </w:r>
      <w:r w:rsidR="006A1D06" w:rsidRPr="00CA1D9F">
        <w:t xml:space="preserve">electric </w:t>
      </w:r>
      <w:r w:rsidR="009C34D8" w:rsidRPr="00CA1D9F">
        <w:t xml:space="preserve">reliability which then </w:t>
      </w:r>
      <w:r w:rsidR="00E17B5F">
        <w:t>informs</w:t>
      </w:r>
      <w:r w:rsidR="00E17B5F" w:rsidRPr="00CA1D9F">
        <w:t xml:space="preserve"> </w:t>
      </w:r>
      <w:r w:rsidR="006A1D06" w:rsidRPr="00CA1D9F">
        <w:t xml:space="preserve">system </w:t>
      </w:r>
      <w:r w:rsidR="009C34D8" w:rsidRPr="00CA1D9F">
        <w:t xml:space="preserve">investment decisions.  </w:t>
      </w:r>
      <w:r w:rsidR="009F350A">
        <w:t>Puget Sound Energy</w:t>
      </w:r>
      <w:r w:rsidR="009C34D8" w:rsidRPr="00CA1D9F">
        <w:t xml:space="preserve"> also recognizes that what is acceptable </w:t>
      </w:r>
      <w:r w:rsidR="004B728D" w:rsidRPr="00CA1D9F">
        <w:t xml:space="preserve">electric reliability </w:t>
      </w:r>
      <w:r w:rsidR="009C34D8" w:rsidRPr="00CA1D9F">
        <w:t xml:space="preserve">one year may not be in a future year as </w:t>
      </w:r>
      <w:r w:rsidR="004B728D" w:rsidRPr="00CA1D9F">
        <w:t xml:space="preserve">the service </w:t>
      </w:r>
      <w:r w:rsidR="00CB5A91" w:rsidRPr="00CB5A91">
        <w:t>territory</w:t>
      </w:r>
      <w:r w:rsidR="004B728D" w:rsidRPr="00CA1D9F">
        <w:t xml:space="preserve"> </w:t>
      </w:r>
      <w:r w:rsidR="005E325E">
        <w:t>characteristics</w:t>
      </w:r>
      <w:r w:rsidR="00CD550F">
        <w:t xml:space="preserve"> </w:t>
      </w:r>
      <w:r w:rsidR="004B728D" w:rsidRPr="00CA1D9F">
        <w:t>change</w:t>
      </w:r>
      <w:r w:rsidR="00E17B5F">
        <w:t>,</w:t>
      </w:r>
      <w:r w:rsidR="004B728D" w:rsidRPr="00CA1D9F">
        <w:t xml:space="preserve"> </w:t>
      </w:r>
      <w:r w:rsidR="009C34D8" w:rsidRPr="00CA1D9F">
        <w:t>customer expectations</w:t>
      </w:r>
      <w:r w:rsidR="00E17B5F">
        <w:t xml:space="preserve"> and dependencies</w:t>
      </w:r>
      <w:r w:rsidR="009C34D8" w:rsidRPr="00CA1D9F">
        <w:t xml:space="preserve"> </w:t>
      </w:r>
      <w:r w:rsidR="00AF0DDC">
        <w:t>evolv</w:t>
      </w:r>
      <w:r w:rsidR="00E17B5F">
        <w:t>e</w:t>
      </w:r>
      <w:r w:rsidR="00AF0DDC" w:rsidRPr="00CA1D9F">
        <w:t xml:space="preserve"> </w:t>
      </w:r>
      <w:r w:rsidR="009C34D8" w:rsidRPr="00CA1D9F">
        <w:t>with increasing technology maturity and societal pressures</w:t>
      </w:r>
      <w:r w:rsidR="00E17B5F">
        <w:t>, and the demands on and capabilities of the electric grid expand.</w:t>
      </w:r>
      <w:r w:rsidR="009C34D8" w:rsidRPr="00CA1D9F">
        <w:t xml:space="preserve">  For example, as traffic congestion increases in an area, customer</w:t>
      </w:r>
      <w:r w:rsidR="00E23F1B">
        <w:t>s may</w:t>
      </w:r>
      <w:r w:rsidR="009C34D8" w:rsidRPr="00CA1D9F">
        <w:t xml:space="preserve"> expect </w:t>
      </w:r>
      <w:r w:rsidR="00E23F1B">
        <w:t xml:space="preserve">better </w:t>
      </w:r>
      <w:r w:rsidR="009C34D8" w:rsidRPr="00CA1D9F">
        <w:t xml:space="preserve">reliability as they </w:t>
      </w:r>
      <w:r w:rsidR="00211B64">
        <w:t>choose</w:t>
      </w:r>
      <w:r w:rsidR="00E23F1B">
        <w:t xml:space="preserve"> to </w:t>
      </w:r>
      <w:r w:rsidR="009C34D8" w:rsidRPr="00CA1D9F">
        <w:t>work from home</w:t>
      </w:r>
      <w:r w:rsidR="00E23F1B">
        <w:t>.</w:t>
      </w:r>
      <w:r w:rsidR="009C34D8" w:rsidRPr="00CA1D9F">
        <w:t xml:space="preserve">  P</w:t>
      </w:r>
      <w:r w:rsidR="005E325E">
        <w:t>uget Sound Energy</w:t>
      </w:r>
      <w:r w:rsidR="00AC52A7">
        <w:t xml:space="preserve"> does not believe that there will ever be one consideration, tool, or method from which regulatory performance and investments decisions can be </w:t>
      </w:r>
      <w:r w:rsidR="00F00240">
        <w:t>solely</w:t>
      </w:r>
      <w:r w:rsidR="00AC52A7">
        <w:t xml:space="preserve"> based upon</w:t>
      </w:r>
      <w:r w:rsidR="00F00240">
        <w:t>.</w:t>
      </w:r>
      <w:r w:rsidR="00A42DC0">
        <w:t xml:space="preserve"> </w:t>
      </w:r>
      <w:r w:rsidR="00F00240">
        <w:t xml:space="preserve"> W</w:t>
      </w:r>
      <w:r w:rsidR="00A42DC0">
        <w:t>ith these types of decisions</w:t>
      </w:r>
      <w:r w:rsidR="00F00240">
        <w:t>,</w:t>
      </w:r>
      <w:r w:rsidR="00A42DC0">
        <w:t xml:space="preserve"> there must be consider</w:t>
      </w:r>
      <w:r w:rsidR="00E42054">
        <w:t>a</w:t>
      </w:r>
      <w:r w:rsidR="00A42DC0">
        <w:t>tions of ratemaking treatment as well</w:t>
      </w:r>
      <w:r w:rsidR="00AC52A7">
        <w:t xml:space="preserve">.  </w:t>
      </w:r>
    </w:p>
    <w:p w14:paraId="00C0605F" w14:textId="77777777" w:rsidR="00AC52A7" w:rsidRDefault="00AC52A7" w:rsidP="009C34D8">
      <w:pPr>
        <w:pStyle w:val="Default"/>
        <w:spacing w:after="56"/>
      </w:pPr>
    </w:p>
    <w:p w14:paraId="00C06060" w14:textId="77777777" w:rsidR="009C34D8" w:rsidRDefault="00AC52A7" w:rsidP="00E40DAF">
      <w:pPr>
        <w:pStyle w:val="Default"/>
        <w:spacing w:after="56"/>
      </w:pPr>
      <w:r>
        <w:t>Puget Sound Energy</w:t>
      </w:r>
      <w:r w:rsidR="005E325E">
        <w:t xml:space="preserve"> </w:t>
      </w:r>
      <w:r w:rsidR="009C34D8" w:rsidRPr="00CA1D9F">
        <w:t>generally find</w:t>
      </w:r>
      <w:r w:rsidR="005E325E">
        <w:t>s</w:t>
      </w:r>
      <w:r w:rsidR="009C34D8" w:rsidRPr="00CA1D9F">
        <w:t xml:space="preserve"> </w:t>
      </w:r>
      <w:r w:rsidR="005E325E">
        <w:t>that</w:t>
      </w:r>
      <w:r w:rsidR="009C34D8">
        <w:t xml:space="preserve"> </w:t>
      </w:r>
      <w:r w:rsidR="009C34D8" w:rsidRPr="00CA1D9F">
        <w:t xml:space="preserve">the </w:t>
      </w:r>
      <w:r w:rsidR="004B728D" w:rsidRPr="00CA1D9F">
        <w:t xml:space="preserve">econometric </w:t>
      </w:r>
      <w:r w:rsidR="005E325E">
        <w:t xml:space="preserve">benchmarking </w:t>
      </w:r>
      <w:r w:rsidR="009C34D8" w:rsidRPr="00CA1D9F">
        <w:t xml:space="preserve">approach to be only one </w:t>
      </w:r>
      <w:r w:rsidR="004B728D" w:rsidRPr="00CA1D9F">
        <w:t xml:space="preserve">of the </w:t>
      </w:r>
      <w:r w:rsidR="009C34D8" w:rsidRPr="00CA1D9F">
        <w:t>consideration</w:t>
      </w:r>
      <w:r w:rsidR="004B728D" w:rsidRPr="00CA1D9F">
        <w:t>s</w:t>
      </w:r>
      <w:r w:rsidR="009C34D8" w:rsidRPr="00CA1D9F">
        <w:t xml:space="preserve"> for regulatory</w:t>
      </w:r>
      <w:r w:rsidR="009C34D8">
        <w:t xml:space="preserve"> </w:t>
      </w:r>
      <w:r w:rsidR="005E325E">
        <w:t>electric reliability</w:t>
      </w:r>
      <w:r w:rsidR="009C34D8" w:rsidRPr="00CA1D9F">
        <w:t xml:space="preserve"> performance and </w:t>
      </w:r>
      <w:r w:rsidR="005E325E">
        <w:t xml:space="preserve">system </w:t>
      </w:r>
      <w:r w:rsidR="009C34D8" w:rsidRPr="00CA1D9F">
        <w:t xml:space="preserve">investment targets.  </w:t>
      </w:r>
      <w:r w:rsidR="00E17B5F">
        <w:t xml:space="preserve">Other considerations are described in later comments.  </w:t>
      </w:r>
      <w:r w:rsidR="009C34D8" w:rsidRPr="00CA1D9F">
        <w:t>Additionally</w:t>
      </w:r>
      <w:r w:rsidR="004B728D" w:rsidRPr="00CA1D9F">
        <w:t>,</w:t>
      </w:r>
      <w:r w:rsidR="009C34D8" w:rsidRPr="00CA1D9F">
        <w:t xml:space="preserve"> the </w:t>
      </w:r>
      <w:r w:rsidR="005E325E">
        <w:t>current</w:t>
      </w:r>
      <w:r w:rsidR="009C34D8" w:rsidRPr="00CA1D9F">
        <w:t xml:space="preserve"> </w:t>
      </w:r>
      <w:r w:rsidR="004B728D" w:rsidRPr="00CA1D9F">
        <w:t xml:space="preserve">econometric </w:t>
      </w:r>
      <w:r w:rsidR="005E325E">
        <w:t xml:space="preserve">reliability benchmarking </w:t>
      </w:r>
      <w:r w:rsidR="009C34D8" w:rsidRPr="00CA1D9F">
        <w:t xml:space="preserve">model and study </w:t>
      </w:r>
      <w:r w:rsidR="005E325E">
        <w:t xml:space="preserve">prepared by the Commission’s consultant </w:t>
      </w:r>
      <w:r w:rsidR="005E325E">
        <w:lastRenderedPageBreak/>
        <w:t>Power System Engineering, Inc.</w:t>
      </w:r>
      <w:r w:rsidR="00BF30D0">
        <w:t xml:space="preserve"> (“the Study”)</w:t>
      </w:r>
      <w:r w:rsidR="005E325E">
        <w:t xml:space="preserve"> </w:t>
      </w:r>
      <w:r w:rsidR="009C34D8" w:rsidRPr="00CA1D9F">
        <w:t>needs further refinement for variables that</w:t>
      </w:r>
      <w:r>
        <w:t xml:space="preserve"> typically would be in an “econometric” model</w:t>
      </w:r>
      <w:r w:rsidR="009C34D8" w:rsidRPr="00CA1D9F">
        <w:t xml:space="preserve"> includ</w:t>
      </w:r>
      <w:r>
        <w:t>ing</w:t>
      </w:r>
      <w:r w:rsidR="009C34D8" w:rsidRPr="00CA1D9F">
        <w:t xml:space="preserve"> </w:t>
      </w:r>
      <w:r w:rsidR="00BF30D0">
        <w:t xml:space="preserve">costs, </w:t>
      </w:r>
      <w:r w:rsidR="009C34D8" w:rsidRPr="00CA1D9F">
        <w:t xml:space="preserve">economic conditions and </w:t>
      </w:r>
      <w:r w:rsidR="004B728D" w:rsidRPr="00CA1D9F">
        <w:t>characteristics</w:t>
      </w:r>
      <w:r w:rsidR="008D4C1E">
        <w:t>,</w:t>
      </w:r>
      <w:r w:rsidR="004B728D" w:rsidRPr="00CA1D9F">
        <w:t xml:space="preserve"> and </w:t>
      </w:r>
      <w:r w:rsidR="009C34D8" w:rsidRPr="00CA1D9F">
        <w:t xml:space="preserve">trends of the </w:t>
      </w:r>
      <w:r w:rsidR="004B728D" w:rsidRPr="00CA1D9F">
        <w:t xml:space="preserve">particular service </w:t>
      </w:r>
      <w:r w:rsidR="009C34D8" w:rsidRPr="00CA1D9F">
        <w:t xml:space="preserve">territory as well as customer expectations.   </w:t>
      </w:r>
      <w:r w:rsidR="00211B64" w:rsidRPr="00CA1D9F">
        <w:t>P</w:t>
      </w:r>
      <w:r w:rsidR="00211B64">
        <w:t>uget Sound Energy</w:t>
      </w:r>
      <w:r w:rsidR="00211B64" w:rsidRPr="00CA1D9F">
        <w:t xml:space="preserve"> </w:t>
      </w:r>
      <w:r w:rsidR="00E17B5F">
        <w:t>recognizes</w:t>
      </w:r>
      <w:r w:rsidR="00E17B5F" w:rsidRPr="00CA1D9F">
        <w:t xml:space="preserve"> </w:t>
      </w:r>
      <w:r w:rsidR="009C34D8" w:rsidRPr="00CA1D9F">
        <w:t xml:space="preserve">that the </w:t>
      </w:r>
      <w:r w:rsidR="004B728D" w:rsidRPr="00CA1D9F">
        <w:t xml:space="preserve">initial econometric </w:t>
      </w:r>
      <w:r w:rsidR="00BF30D0">
        <w:t>Study</w:t>
      </w:r>
      <w:r w:rsidR="009C34D8" w:rsidRPr="00CA1D9F">
        <w:t xml:space="preserve"> was performed with </w:t>
      </w:r>
      <w:r w:rsidR="00E17B5F">
        <w:t xml:space="preserve">certain </w:t>
      </w:r>
      <w:r w:rsidR="009C34D8" w:rsidRPr="00CA1D9F">
        <w:t xml:space="preserve">limitations relative to the </w:t>
      </w:r>
      <w:r w:rsidR="00E17B5F">
        <w:t xml:space="preserve">resources </w:t>
      </w:r>
      <w:r w:rsidR="009C34D8" w:rsidRPr="00CA1D9F">
        <w:t xml:space="preserve">that </w:t>
      </w:r>
      <w:r w:rsidR="00BF30D0">
        <w:t>the Commission</w:t>
      </w:r>
      <w:r w:rsidR="009345D9" w:rsidRPr="00CA1D9F">
        <w:t xml:space="preserve"> </w:t>
      </w:r>
      <w:r w:rsidR="009C34D8" w:rsidRPr="00CA1D9F">
        <w:t>could devote to it</w:t>
      </w:r>
      <w:r w:rsidR="008D4C1E">
        <w:t>.  The Study</w:t>
      </w:r>
      <w:r w:rsidR="009C34D8" w:rsidRPr="00CA1D9F">
        <w:t xml:space="preserve"> access</w:t>
      </w:r>
      <w:r w:rsidR="008D4C1E">
        <w:t>ed</w:t>
      </w:r>
      <w:r w:rsidR="009C34D8" w:rsidRPr="00CA1D9F">
        <w:t xml:space="preserve"> data that was only publicly available which limited the type of information </w:t>
      </w:r>
      <w:r w:rsidR="00316E91">
        <w:t xml:space="preserve">that could be used </w:t>
      </w:r>
      <w:r w:rsidR="009C34D8" w:rsidRPr="00CA1D9F">
        <w:t xml:space="preserve">and </w:t>
      </w:r>
      <w:r w:rsidR="00316E91">
        <w:t>an</w:t>
      </w:r>
      <w:r w:rsidR="00316E91" w:rsidRPr="00CA1D9F">
        <w:t xml:space="preserve"> </w:t>
      </w:r>
      <w:r w:rsidR="009345D9" w:rsidRPr="00CA1D9F">
        <w:t xml:space="preserve">outside party’s </w:t>
      </w:r>
      <w:r w:rsidR="009C34D8" w:rsidRPr="00CA1D9F">
        <w:t xml:space="preserve">ability to verify </w:t>
      </w:r>
      <w:r w:rsidR="00CB0EB9">
        <w:t>the data.</w:t>
      </w:r>
      <w:r>
        <w:t xml:space="preserve"> </w:t>
      </w:r>
      <w:r w:rsidR="00CB0EB9">
        <w:t>A</w:t>
      </w:r>
      <w:r>
        <w:t>s such</w:t>
      </w:r>
      <w:r w:rsidR="00CB0EB9">
        <w:t>,</w:t>
      </w:r>
      <w:r>
        <w:t xml:space="preserve"> t</w:t>
      </w:r>
      <w:r w:rsidR="009345D9" w:rsidRPr="00CA1D9F">
        <w:t xml:space="preserve">he </w:t>
      </w:r>
      <w:r w:rsidR="00A54744" w:rsidRPr="00CA1D9F">
        <w:t xml:space="preserve">resulting </w:t>
      </w:r>
      <w:r w:rsidR="00BF30D0">
        <w:t>S</w:t>
      </w:r>
      <w:r w:rsidR="00A54744" w:rsidRPr="00CA1D9F">
        <w:t xml:space="preserve">tudy </w:t>
      </w:r>
      <w:r w:rsidR="009C34D8" w:rsidRPr="00CA1D9F">
        <w:t xml:space="preserve">provides </w:t>
      </w:r>
      <w:r w:rsidR="00316E91">
        <w:t>a</w:t>
      </w:r>
      <w:r w:rsidR="00E17B5F">
        <w:t xml:space="preserve">n incomplete </w:t>
      </w:r>
      <w:r w:rsidR="00796BD5" w:rsidRPr="00CA1D9F">
        <w:t xml:space="preserve">view </w:t>
      </w:r>
      <w:r w:rsidR="00E17B5F">
        <w:t xml:space="preserve">of </w:t>
      </w:r>
      <w:r w:rsidR="00CB0EB9">
        <w:t>Puget Sound Energy</w:t>
      </w:r>
      <w:r>
        <w:t xml:space="preserve">’s </w:t>
      </w:r>
      <w:r w:rsidR="00796BD5" w:rsidRPr="00CA1D9F">
        <w:t>electric reliability</w:t>
      </w:r>
      <w:r w:rsidR="00CB0EB9">
        <w:t>.</w:t>
      </w:r>
      <w:r>
        <w:t xml:space="preserve"> </w:t>
      </w:r>
      <w:r w:rsidR="00CB0EB9">
        <w:t>The Study</w:t>
      </w:r>
      <w:r w:rsidR="00796BD5" w:rsidRPr="00CA1D9F">
        <w:t xml:space="preserve"> </w:t>
      </w:r>
      <w:r w:rsidR="009C34D8" w:rsidRPr="00CA1D9F">
        <w:t>should not be used to make regulatory decisions in isolation</w:t>
      </w:r>
      <w:r w:rsidR="00CB0EB9">
        <w:t xml:space="preserve"> given its restricted scope</w:t>
      </w:r>
      <w:r w:rsidR="009C34D8" w:rsidRPr="00CA1D9F">
        <w:t>.</w:t>
      </w:r>
      <w:r w:rsidR="005D38E5">
        <w:t xml:space="preserve">  </w:t>
      </w:r>
      <w:r>
        <w:t>Finally</w:t>
      </w:r>
      <w:r w:rsidR="005D38E5">
        <w:t xml:space="preserve">, </w:t>
      </w:r>
      <w:r>
        <w:t>with that view in mind, P</w:t>
      </w:r>
      <w:r w:rsidR="00CB0EB9">
        <w:t xml:space="preserve">uget </w:t>
      </w:r>
      <w:r>
        <w:t>S</w:t>
      </w:r>
      <w:r w:rsidR="00CB0EB9">
        <w:t xml:space="preserve">ound </w:t>
      </w:r>
      <w:r>
        <w:t>E</w:t>
      </w:r>
      <w:r w:rsidR="00CB0EB9">
        <w:t>nergy</w:t>
      </w:r>
      <w:r>
        <w:t xml:space="preserve"> is not sure </w:t>
      </w:r>
      <w:r w:rsidR="00CB0EB9">
        <w:t xml:space="preserve">if </w:t>
      </w:r>
      <w:r w:rsidR="005D38E5">
        <w:t xml:space="preserve">more time </w:t>
      </w:r>
      <w:r>
        <w:t xml:space="preserve">or </w:t>
      </w:r>
      <w:r w:rsidR="005D38E5">
        <w:t>cost should be spe</w:t>
      </w:r>
      <w:r>
        <w:t xml:space="preserve">nt to develop </w:t>
      </w:r>
      <w:r w:rsidR="005D38E5">
        <w:t xml:space="preserve">more accuracy as it is unlikely it would </w:t>
      </w:r>
      <w:r w:rsidR="00316E91">
        <w:t>be robust</w:t>
      </w:r>
      <w:r w:rsidR="00E17B5F">
        <w:t xml:space="preserve"> </w:t>
      </w:r>
      <w:r w:rsidR="005D38E5">
        <w:t xml:space="preserve">enough to be used as a sole determiner of evaluating utility reliability efforts.  </w:t>
      </w:r>
    </w:p>
    <w:p w14:paraId="00C06061" w14:textId="77777777" w:rsidR="00F00240" w:rsidRPr="00CA1D9F" w:rsidRDefault="00F00240" w:rsidP="00E40DAF">
      <w:pPr>
        <w:pStyle w:val="Default"/>
        <w:spacing w:after="56"/>
      </w:pPr>
    </w:p>
    <w:p w14:paraId="00C06062" w14:textId="77777777" w:rsidR="00383483" w:rsidRPr="00CA1D9F" w:rsidRDefault="00565233" w:rsidP="00E40DAF">
      <w:pPr>
        <w:pStyle w:val="Default"/>
        <w:spacing w:after="56"/>
      </w:pPr>
      <w:r w:rsidRPr="00565233">
        <w:t xml:space="preserve">Puget Sound Energy’s preliminary comments in response to the ten questions in the Notice are listed below.  Please note that these responses are based upon Puget Sound Energy’s own interpretation of the Commission’s questions, which are indefinite without description of specific context.  For example, Puget Sound Energy assumes that terms like “benchmark” and “target” have the same meaning as they are used interchangeably in these questions whereas they could have very different meaning </w:t>
      </w:r>
      <w:r>
        <w:t xml:space="preserve">if they </w:t>
      </w:r>
      <w:r w:rsidRPr="00565233">
        <w:t xml:space="preserve">have </w:t>
      </w:r>
      <w:r>
        <w:t xml:space="preserve">associated </w:t>
      </w:r>
      <w:r w:rsidRPr="00565233">
        <w:t>rewards and penalties.  To answer these questions about reliability benchmarking tools/approaches, it is important to know in what venue or context the Commission would evaluate the need for reliability investments or would determine whether a utility’s reliability performance is appropriate given its unique service territory characteristics</w:t>
      </w:r>
      <w:r>
        <w:t xml:space="preserve">, such as whether </w:t>
      </w:r>
      <w:r w:rsidR="00566E1F">
        <w:t xml:space="preserve">questions about </w:t>
      </w:r>
      <w:r>
        <w:t xml:space="preserve">investment </w:t>
      </w:r>
      <w:r w:rsidR="00566E1F">
        <w:t xml:space="preserve">are </w:t>
      </w:r>
      <w:r>
        <w:t xml:space="preserve">in the context of </w:t>
      </w:r>
      <w:r w:rsidR="00566E1F">
        <w:t>a general rate case or in the context of pre-approval.</w:t>
      </w:r>
    </w:p>
    <w:p w14:paraId="00C06063" w14:textId="77777777" w:rsidR="00057D88" w:rsidRDefault="00057D88" w:rsidP="00E40DAF">
      <w:pPr>
        <w:pStyle w:val="Default"/>
        <w:spacing w:after="56"/>
      </w:pPr>
    </w:p>
    <w:p w14:paraId="00C06064" w14:textId="77777777" w:rsidR="00565233" w:rsidRPr="00CA1D9F" w:rsidRDefault="00565233" w:rsidP="00E40DAF">
      <w:pPr>
        <w:pStyle w:val="Default"/>
        <w:spacing w:after="56"/>
      </w:pPr>
    </w:p>
    <w:p w14:paraId="00C06065" w14:textId="77777777" w:rsidR="00E40DAF" w:rsidRPr="007B6C87" w:rsidRDefault="00E40DAF" w:rsidP="00E40DAF">
      <w:pPr>
        <w:pStyle w:val="Default"/>
        <w:spacing w:after="56"/>
        <w:rPr>
          <w:b/>
        </w:rPr>
      </w:pPr>
      <w:r w:rsidRPr="007B6C87">
        <w:rPr>
          <w:b/>
        </w:rPr>
        <w:t xml:space="preserve">1. Does an econometric approach, in general, provide a sound basis for establishing targets for SAIDI and SAIFI? </w:t>
      </w:r>
    </w:p>
    <w:p w14:paraId="00C06066" w14:textId="77777777" w:rsidR="00435E54" w:rsidRPr="007B6C87" w:rsidRDefault="00A42DC0" w:rsidP="00435E54">
      <w:pPr>
        <w:pStyle w:val="Default"/>
        <w:rPr>
          <w:color w:val="auto"/>
        </w:rPr>
      </w:pPr>
      <w:r>
        <w:rPr>
          <w:color w:val="auto"/>
        </w:rPr>
        <w:t xml:space="preserve">Under a regulatory process, the intention of </w:t>
      </w:r>
      <w:r w:rsidR="00EA382F">
        <w:rPr>
          <w:color w:val="auto"/>
        </w:rPr>
        <w:t xml:space="preserve">establishing </w:t>
      </w:r>
      <w:r>
        <w:rPr>
          <w:color w:val="auto"/>
        </w:rPr>
        <w:t>a target must be clear</w:t>
      </w:r>
      <w:r w:rsidR="00EA382F">
        <w:rPr>
          <w:color w:val="auto"/>
        </w:rPr>
        <w:t xml:space="preserve">, </w:t>
      </w:r>
      <w:r>
        <w:rPr>
          <w:color w:val="auto"/>
        </w:rPr>
        <w:t xml:space="preserve">depending on </w:t>
      </w:r>
      <w:r w:rsidR="00EA382F">
        <w:rPr>
          <w:color w:val="auto"/>
        </w:rPr>
        <w:t xml:space="preserve">whether establishing a target is for mere benchmarking or for </w:t>
      </w:r>
      <w:r>
        <w:rPr>
          <w:color w:val="auto"/>
        </w:rPr>
        <w:t xml:space="preserve">the application of </w:t>
      </w:r>
      <w:r w:rsidR="00EA382F">
        <w:rPr>
          <w:color w:val="auto"/>
        </w:rPr>
        <w:t xml:space="preserve">a monetary incentive or </w:t>
      </w:r>
      <w:r>
        <w:rPr>
          <w:color w:val="auto"/>
        </w:rPr>
        <w:t xml:space="preserve">penalty </w:t>
      </w:r>
      <w:r w:rsidR="00EA382F">
        <w:rPr>
          <w:color w:val="auto"/>
        </w:rPr>
        <w:t>for being above or below such targets. Therefore</w:t>
      </w:r>
      <w:r>
        <w:rPr>
          <w:color w:val="auto"/>
        </w:rPr>
        <w:t xml:space="preserve">, how </w:t>
      </w:r>
      <w:r w:rsidR="00EA382F">
        <w:rPr>
          <w:color w:val="auto"/>
        </w:rPr>
        <w:t>any targets</w:t>
      </w:r>
      <w:r>
        <w:rPr>
          <w:color w:val="auto"/>
        </w:rPr>
        <w:t xml:space="preserve"> are established and what they are </w:t>
      </w:r>
      <w:r w:rsidR="00EA382F">
        <w:rPr>
          <w:color w:val="auto"/>
        </w:rPr>
        <w:t xml:space="preserve">used for could and </w:t>
      </w:r>
      <w:r>
        <w:rPr>
          <w:color w:val="auto"/>
        </w:rPr>
        <w:t xml:space="preserve">should vary.  </w:t>
      </w:r>
      <w:r w:rsidR="00435E54" w:rsidRPr="007B6C87">
        <w:rPr>
          <w:color w:val="auto"/>
        </w:rPr>
        <w:t xml:space="preserve">Generally, an econometric approach provides one lens for viewing reliability performance which should be considered with other information such as historic performance, operating and construction landscape, age of infrastructure, weather severity, level of modernization, regulatory interests and policies, and customer expectations relative to reliability and rates.  An econometric study best shows how a utility’s reliability compares to the industry and Puget Sound Energy would expect such a study to be used in combination with information associated with operating costs as well as details that drive customer expectations when establishing SAIDI and SAIFI </w:t>
      </w:r>
      <w:r w:rsidR="00CC760F">
        <w:rPr>
          <w:color w:val="auto"/>
        </w:rPr>
        <w:t xml:space="preserve">and system investment </w:t>
      </w:r>
      <w:r w:rsidR="00435E54" w:rsidRPr="007B6C87">
        <w:rPr>
          <w:color w:val="auto"/>
        </w:rPr>
        <w:t xml:space="preserve">targets.  </w:t>
      </w:r>
    </w:p>
    <w:p w14:paraId="00C06067" w14:textId="77777777" w:rsidR="00662798" w:rsidRPr="00662798" w:rsidRDefault="00662798" w:rsidP="00662798">
      <w:pPr>
        <w:jc w:val="center"/>
      </w:pPr>
    </w:p>
    <w:p w14:paraId="00C06068" w14:textId="77777777" w:rsidR="00E40DAF" w:rsidRPr="007B6C87" w:rsidRDefault="00E40DAF" w:rsidP="00E40DAF">
      <w:pPr>
        <w:pStyle w:val="Default"/>
        <w:spacing w:after="56"/>
        <w:rPr>
          <w:b/>
        </w:rPr>
      </w:pPr>
      <w:r w:rsidRPr="007B6C87">
        <w:rPr>
          <w:b/>
        </w:rPr>
        <w:t xml:space="preserve">2. In the absence of an econometric benchmarking study, how should the commission evaluate whether a utility is providing an economically efficient level of reliability? </w:t>
      </w:r>
    </w:p>
    <w:p w14:paraId="00C06069" w14:textId="77777777" w:rsidR="00662798" w:rsidRPr="007B6C87" w:rsidRDefault="00EA382F" w:rsidP="00662798">
      <w:pPr>
        <w:pStyle w:val="Default"/>
        <w:rPr>
          <w:color w:val="auto"/>
        </w:rPr>
      </w:pPr>
      <w:r>
        <w:rPr>
          <w:color w:val="auto"/>
        </w:rPr>
        <w:t>To a</w:t>
      </w:r>
      <w:r w:rsidR="00F47EDA">
        <w:rPr>
          <w:color w:val="auto"/>
        </w:rPr>
        <w:t xml:space="preserve">sk </w:t>
      </w:r>
      <w:r>
        <w:rPr>
          <w:color w:val="auto"/>
        </w:rPr>
        <w:t>this question</w:t>
      </w:r>
      <w:r w:rsidR="007C6C29">
        <w:rPr>
          <w:color w:val="auto"/>
        </w:rPr>
        <w:t>,</w:t>
      </w:r>
      <w:r>
        <w:rPr>
          <w:color w:val="auto"/>
        </w:rPr>
        <w:t xml:space="preserve"> it is important to clarify in what venue or context would “the commission evaluate whether a </w:t>
      </w:r>
      <w:r w:rsidR="007C6C29">
        <w:rPr>
          <w:color w:val="auto"/>
        </w:rPr>
        <w:t>utility</w:t>
      </w:r>
      <w:r>
        <w:rPr>
          <w:color w:val="auto"/>
        </w:rPr>
        <w:t xml:space="preserve"> is providing an </w:t>
      </w:r>
      <w:r w:rsidR="007C6C29">
        <w:rPr>
          <w:color w:val="auto"/>
        </w:rPr>
        <w:t>economically</w:t>
      </w:r>
      <w:r>
        <w:rPr>
          <w:color w:val="auto"/>
        </w:rPr>
        <w:t xml:space="preserve"> efficient level of reliability”. </w:t>
      </w:r>
      <w:r w:rsidR="00662798" w:rsidRPr="007B6C87">
        <w:rPr>
          <w:color w:val="auto"/>
        </w:rPr>
        <w:t xml:space="preserve">Power System Engineering, the authors of the econometric </w:t>
      </w:r>
      <w:r w:rsidR="004A32F3">
        <w:rPr>
          <w:color w:val="auto"/>
        </w:rPr>
        <w:t>S</w:t>
      </w:r>
      <w:r w:rsidR="00662798" w:rsidRPr="007B6C87">
        <w:rPr>
          <w:color w:val="auto"/>
        </w:rPr>
        <w:t xml:space="preserve">tudy, suggest that the best way to </w:t>
      </w:r>
      <w:r w:rsidR="00662798" w:rsidRPr="007B6C87">
        <w:rPr>
          <w:color w:val="auto"/>
        </w:rPr>
        <w:lastRenderedPageBreak/>
        <w:t>determine an optimal level of reliability is to find the level at which the cost of reliability matches the willingness of customers to pay for</w:t>
      </w:r>
      <w:r w:rsidR="003A2774" w:rsidRPr="007B6C87">
        <w:rPr>
          <w:color w:val="auto"/>
        </w:rPr>
        <w:t xml:space="preserve"> that level of </w:t>
      </w:r>
      <w:r w:rsidR="00662798" w:rsidRPr="007B6C87">
        <w:rPr>
          <w:color w:val="auto"/>
        </w:rPr>
        <w:t>reliability.  On page 4 of Power System Engineering’s “</w:t>
      </w:r>
      <w:hyperlink r:id="rId12" w:history="1">
        <w:r w:rsidR="00662798" w:rsidRPr="007B6C87">
          <w:rPr>
            <w:rStyle w:val="Hyperlink"/>
          </w:rPr>
          <w:t>How is My Utility Performing</w:t>
        </w:r>
      </w:hyperlink>
      <w:r w:rsidR="00662798" w:rsidRPr="007B6C87">
        <w:rPr>
          <w:color w:val="auto"/>
        </w:rPr>
        <w:t>”</w:t>
      </w:r>
      <w:r w:rsidR="00CB5A91">
        <w:rPr>
          <w:rStyle w:val="FootnoteReference"/>
          <w:color w:val="auto"/>
        </w:rPr>
        <w:footnoteReference w:id="2"/>
      </w:r>
      <w:r w:rsidR="00662798" w:rsidRPr="007B6C87">
        <w:rPr>
          <w:color w:val="auto"/>
        </w:rPr>
        <w:t xml:space="preserve"> analysis, they state with respect to the </w:t>
      </w:r>
      <w:r w:rsidR="00CB5A91">
        <w:rPr>
          <w:color w:val="auto"/>
        </w:rPr>
        <w:t>f</w:t>
      </w:r>
      <w:r w:rsidR="00662798" w:rsidRPr="007B6C87">
        <w:rPr>
          <w:color w:val="auto"/>
        </w:rPr>
        <w:t xml:space="preserve">igure below “In this figure, the vertical axis represents cost, and the horizontal axis represents increased reliability. The purple “supply” line represents how much it costs a utility to add an extra “unit” of reliability, and the red “demand” line represents how much a customer </w:t>
      </w:r>
      <w:r w:rsidR="00662798" w:rsidRPr="005B63BF">
        <w:rPr>
          <w:color w:val="auto"/>
        </w:rPr>
        <w:t>would be willing to pay for another unit of reliability. The optimal reliability point for a utility is where the two lines intersect.”</w:t>
      </w:r>
      <w:r w:rsidR="005D38E5" w:rsidRPr="005B63BF">
        <w:rPr>
          <w:color w:val="auto"/>
        </w:rPr>
        <w:t xml:space="preserve">  The econometric </w:t>
      </w:r>
      <w:r w:rsidR="004A32F3">
        <w:rPr>
          <w:color w:val="auto"/>
        </w:rPr>
        <w:t>S</w:t>
      </w:r>
      <w:r w:rsidR="005D38E5" w:rsidRPr="005B63BF">
        <w:rPr>
          <w:color w:val="auto"/>
        </w:rPr>
        <w:t xml:space="preserve">tudy that Power System Engineering performed for the </w:t>
      </w:r>
      <w:r w:rsidR="00F51DA7" w:rsidRPr="005B63BF">
        <w:rPr>
          <w:color w:val="auto"/>
        </w:rPr>
        <w:t xml:space="preserve">Commission </w:t>
      </w:r>
      <w:r w:rsidR="005D38E5" w:rsidRPr="005B63BF">
        <w:rPr>
          <w:color w:val="auto"/>
        </w:rPr>
        <w:t>does</w:t>
      </w:r>
      <w:r w:rsidR="005D38E5">
        <w:rPr>
          <w:color w:val="auto"/>
        </w:rPr>
        <w:t xml:space="preserve"> not seem to align with this suggestion fully as it seems only to address one aspect of this optimal level.</w:t>
      </w:r>
      <w:r>
        <w:rPr>
          <w:color w:val="auto"/>
        </w:rPr>
        <w:t xml:space="preserve"> </w:t>
      </w:r>
    </w:p>
    <w:p w14:paraId="00C0606A" w14:textId="77777777" w:rsidR="00662798" w:rsidRDefault="00662798" w:rsidP="00662798">
      <w:pPr>
        <w:pStyle w:val="Default"/>
        <w:rPr>
          <w:color w:val="auto"/>
          <w:sz w:val="23"/>
          <w:szCs w:val="23"/>
        </w:rPr>
      </w:pPr>
    </w:p>
    <w:p w14:paraId="00C0606B" w14:textId="77777777" w:rsidR="00662798" w:rsidRDefault="00662798" w:rsidP="00662798">
      <w:pPr>
        <w:pStyle w:val="Caption"/>
        <w:keepNext/>
      </w:pPr>
    </w:p>
    <w:p w14:paraId="00C0606C" w14:textId="77777777" w:rsidR="00662798" w:rsidRDefault="00662798" w:rsidP="00662798">
      <w:pPr>
        <w:pStyle w:val="Caption"/>
        <w:keepNext/>
        <w:jc w:val="center"/>
      </w:pPr>
      <w:r>
        <w:t xml:space="preserve">Figure </w:t>
      </w:r>
      <w:fldSimple w:instr=" SEQ Figure \* ARABIC ">
        <w:r w:rsidR="007F7695">
          <w:rPr>
            <w:noProof/>
          </w:rPr>
          <w:t>1</w:t>
        </w:r>
      </w:fldSimple>
      <w:r>
        <w:t xml:space="preserve">. </w:t>
      </w:r>
      <w:r w:rsidRPr="004A71ED">
        <w:t>Figure from page 4 of "How is My Utility Performing" by Power System Engineering Inc.</w:t>
      </w:r>
    </w:p>
    <w:p w14:paraId="00C0606D" w14:textId="77777777" w:rsidR="00662798" w:rsidRDefault="00662798" w:rsidP="00662798">
      <w:pPr>
        <w:pStyle w:val="Default"/>
        <w:spacing w:after="56"/>
        <w:jc w:val="center"/>
        <w:rPr>
          <w:sz w:val="23"/>
          <w:szCs w:val="23"/>
        </w:rPr>
      </w:pPr>
      <w:r>
        <w:rPr>
          <w:noProof/>
        </w:rPr>
        <w:drawing>
          <wp:inline distT="0" distB="0" distL="0" distR="0" wp14:anchorId="00C060AD" wp14:editId="00C060AE">
            <wp:extent cx="440055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00550" cy="2762250"/>
                    </a:xfrm>
                    <a:prstGeom prst="rect">
                      <a:avLst/>
                    </a:prstGeom>
                  </pic:spPr>
                </pic:pic>
              </a:graphicData>
            </a:graphic>
          </wp:inline>
        </w:drawing>
      </w:r>
    </w:p>
    <w:p w14:paraId="00C0606E" w14:textId="77777777" w:rsidR="00662798" w:rsidRDefault="00662798" w:rsidP="00E40DAF">
      <w:pPr>
        <w:pStyle w:val="Default"/>
        <w:spacing w:after="56"/>
        <w:rPr>
          <w:sz w:val="23"/>
          <w:szCs w:val="23"/>
        </w:rPr>
      </w:pPr>
    </w:p>
    <w:p w14:paraId="00C0606F" w14:textId="77777777" w:rsidR="00E40DAF" w:rsidRPr="00CA1D9F" w:rsidRDefault="00E40DAF" w:rsidP="00E40DAF">
      <w:pPr>
        <w:pStyle w:val="Default"/>
        <w:spacing w:after="56"/>
        <w:rPr>
          <w:b/>
        </w:rPr>
      </w:pPr>
      <w:r w:rsidRPr="00CA1D9F">
        <w:rPr>
          <w:b/>
        </w:rPr>
        <w:t xml:space="preserve">3. Does an econometric approach, in general, provide a sound basis for evaluating the need for reliability investments? </w:t>
      </w:r>
    </w:p>
    <w:p w14:paraId="00C06070" w14:textId="77777777" w:rsidR="00A60DCF" w:rsidRPr="007B6C87" w:rsidRDefault="00A60DCF" w:rsidP="00A60DCF">
      <w:pPr>
        <w:pStyle w:val="Default"/>
        <w:spacing w:after="56"/>
        <w:rPr>
          <w:color w:val="auto"/>
        </w:rPr>
      </w:pPr>
      <w:r w:rsidRPr="007B6C87">
        <w:rPr>
          <w:color w:val="auto"/>
        </w:rPr>
        <w:t xml:space="preserve">As mentioned in the response to </w:t>
      </w:r>
      <w:r w:rsidR="00CB5A91">
        <w:rPr>
          <w:color w:val="auto"/>
        </w:rPr>
        <w:t>Q</w:t>
      </w:r>
      <w:r w:rsidRPr="007B6C87">
        <w:rPr>
          <w:color w:val="auto"/>
        </w:rPr>
        <w:t>uestion</w:t>
      </w:r>
      <w:r w:rsidR="003A2774" w:rsidRPr="007B6C87">
        <w:rPr>
          <w:color w:val="auto"/>
        </w:rPr>
        <w:t xml:space="preserve"> </w:t>
      </w:r>
      <w:r w:rsidR="00CB5A91">
        <w:rPr>
          <w:color w:val="auto"/>
        </w:rPr>
        <w:t xml:space="preserve">No. </w:t>
      </w:r>
      <w:r w:rsidR="003A2774" w:rsidRPr="007B6C87">
        <w:rPr>
          <w:color w:val="auto"/>
        </w:rPr>
        <w:t>1</w:t>
      </w:r>
      <w:r w:rsidRPr="007B6C87">
        <w:rPr>
          <w:color w:val="auto"/>
        </w:rPr>
        <w:t xml:space="preserve">, </w:t>
      </w:r>
      <w:r w:rsidR="003A2774" w:rsidRPr="007B6C87">
        <w:rPr>
          <w:color w:val="auto"/>
        </w:rPr>
        <w:t>an econometric</w:t>
      </w:r>
      <w:r w:rsidRPr="007B6C87">
        <w:rPr>
          <w:color w:val="auto"/>
        </w:rPr>
        <w:t xml:space="preserve"> approach</w:t>
      </w:r>
      <w:r w:rsidR="00B96166">
        <w:rPr>
          <w:color w:val="auto"/>
        </w:rPr>
        <w:t xml:space="preserve"> that is built upon the historical SAIDI and SAIFI performance of electric utilities</w:t>
      </w:r>
      <w:r w:rsidRPr="007B6C87">
        <w:rPr>
          <w:color w:val="auto"/>
        </w:rPr>
        <w:t xml:space="preserve"> </w:t>
      </w:r>
      <w:r w:rsidR="00435E54" w:rsidRPr="007B6C87">
        <w:rPr>
          <w:color w:val="auto"/>
        </w:rPr>
        <w:t xml:space="preserve">is </w:t>
      </w:r>
      <w:r w:rsidR="00B47406" w:rsidRPr="007B6C87">
        <w:rPr>
          <w:color w:val="auto"/>
        </w:rPr>
        <w:t xml:space="preserve">only </w:t>
      </w:r>
      <w:r w:rsidR="00AF0DDC">
        <w:rPr>
          <w:color w:val="auto"/>
        </w:rPr>
        <w:t xml:space="preserve">one </w:t>
      </w:r>
      <w:r w:rsidRPr="007B6C87">
        <w:rPr>
          <w:color w:val="auto"/>
        </w:rPr>
        <w:t xml:space="preserve">input in </w:t>
      </w:r>
      <w:r w:rsidR="00435E54" w:rsidRPr="007B6C87">
        <w:rPr>
          <w:color w:val="auto"/>
        </w:rPr>
        <w:t>evaluating</w:t>
      </w:r>
      <w:r w:rsidRPr="007B6C87">
        <w:rPr>
          <w:color w:val="auto"/>
        </w:rPr>
        <w:t xml:space="preserve"> what level </w:t>
      </w:r>
      <w:r w:rsidR="00FD3384" w:rsidRPr="007B6C87">
        <w:rPr>
          <w:color w:val="auto"/>
        </w:rPr>
        <w:t>of investment is appropriate</w:t>
      </w:r>
      <w:r w:rsidRPr="007B6C87">
        <w:rPr>
          <w:color w:val="auto"/>
        </w:rPr>
        <w:t xml:space="preserve">.  </w:t>
      </w:r>
      <w:r w:rsidR="00D86F97">
        <w:rPr>
          <w:color w:val="auto"/>
        </w:rPr>
        <w:t>As mentioned in response to Question</w:t>
      </w:r>
      <w:r w:rsidR="00B17C1B">
        <w:rPr>
          <w:color w:val="auto"/>
        </w:rPr>
        <w:t xml:space="preserve"> No.</w:t>
      </w:r>
      <w:r w:rsidR="00D86F97">
        <w:rPr>
          <w:color w:val="auto"/>
        </w:rPr>
        <w:t xml:space="preserve"> 2, the study performed for the </w:t>
      </w:r>
      <w:r w:rsidR="00B96166">
        <w:rPr>
          <w:color w:val="auto"/>
        </w:rPr>
        <w:t>Commission</w:t>
      </w:r>
      <w:r w:rsidR="00D86F97">
        <w:rPr>
          <w:color w:val="auto"/>
        </w:rPr>
        <w:t xml:space="preserve"> does not fully address what is needed to evaluat</w:t>
      </w:r>
      <w:r w:rsidR="00E17B5F">
        <w:rPr>
          <w:color w:val="auto"/>
        </w:rPr>
        <w:t>e</w:t>
      </w:r>
      <w:r w:rsidR="00D86F97">
        <w:rPr>
          <w:color w:val="auto"/>
        </w:rPr>
        <w:t xml:space="preserve"> reliability investments.  </w:t>
      </w:r>
      <w:r w:rsidRPr="007B6C87">
        <w:rPr>
          <w:color w:val="auto"/>
        </w:rPr>
        <w:t xml:space="preserve">Costs and customer expectations are not uniform across utilities.  Utility A customers may value high reliability while Utility B customers may value low cost.  </w:t>
      </w:r>
      <w:r w:rsidR="008D4C1E">
        <w:rPr>
          <w:color w:val="auto"/>
        </w:rPr>
        <w:t>Targeting</w:t>
      </w:r>
      <w:r w:rsidRPr="007B6C87">
        <w:rPr>
          <w:color w:val="auto"/>
        </w:rPr>
        <w:t xml:space="preserve"> an industry average level of reliability to determine investment would likely lead to underinvestment for Utility A and overinvestment for Utility B.  </w:t>
      </w:r>
      <w:r w:rsidR="00F5050D" w:rsidRPr="007B6C87">
        <w:rPr>
          <w:color w:val="auto"/>
        </w:rPr>
        <w:t xml:space="preserve">The same issue may occur if </w:t>
      </w:r>
      <w:r w:rsidRPr="007B6C87">
        <w:rPr>
          <w:color w:val="auto"/>
        </w:rPr>
        <w:t xml:space="preserve">Utility A </w:t>
      </w:r>
      <w:r w:rsidR="00F5050D" w:rsidRPr="007B6C87">
        <w:rPr>
          <w:color w:val="auto"/>
        </w:rPr>
        <w:t>has</w:t>
      </w:r>
      <w:r w:rsidRPr="007B6C87">
        <w:rPr>
          <w:color w:val="auto"/>
        </w:rPr>
        <w:t xml:space="preserve"> low operating costs while Utility B has high operating</w:t>
      </w:r>
      <w:r w:rsidR="00F5050D" w:rsidRPr="007B6C87">
        <w:rPr>
          <w:color w:val="auto"/>
        </w:rPr>
        <w:t xml:space="preserve"> costs.</w:t>
      </w:r>
      <w:r w:rsidRPr="007B6C87">
        <w:rPr>
          <w:color w:val="auto"/>
        </w:rPr>
        <w:t xml:space="preserve"> </w:t>
      </w:r>
      <w:r w:rsidR="00A42DC0">
        <w:rPr>
          <w:color w:val="auto"/>
        </w:rPr>
        <w:t xml:space="preserve">  The approach only </w:t>
      </w:r>
      <w:r w:rsidR="00A94E20">
        <w:rPr>
          <w:color w:val="auto"/>
        </w:rPr>
        <w:t xml:space="preserve">provides a sense of reliability need at a </w:t>
      </w:r>
      <w:r w:rsidR="00A42DC0">
        <w:rPr>
          <w:color w:val="auto"/>
        </w:rPr>
        <w:t xml:space="preserve">macro level </w:t>
      </w:r>
      <w:r w:rsidR="00A94E20">
        <w:rPr>
          <w:color w:val="auto"/>
        </w:rPr>
        <w:t xml:space="preserve">and </w:t>
      </w:r>
      <w:r w:rsidR="00A42DC0">
        <w:rPr>
          <w:color w:val="auto"/>
        </w:rPr>
        <w:t xml:space="preserve">doesn’t </w:t>
      </w:r>
      <w:r w:rsidR="00A94E20">
        <w:rPr>
          <w:color w:val="auto"/>
        </w:rPr>
        <w:t xml:space="preserve">highlight localized reliability </w:t>
      </w:r>
      <w:r w:rsidR="00A94E20">
        <w:rPr>
          <w:color w:val="auto"/>
        </w:rPr>
        <w:lastRenderedPageBreak/>
        <w:t xml:space="preserve">needs at all so by itself it is not a sound basis for evaluating all the needs for reliability investment.  </w:t>
      </w:r>
    </w:p>
    <w:p w14:paraId="00C06071" w14:textId="77777777" w:rsidR="00AF6663" w:rsidRDefault="00AF6663" w:rsidP="00E40DAF">
      <w:pPr>
        <w:pStyle w:val="Default"/>
        <w:spacing w:after="56"/>
        <w:rPr>
          <w:sz w:val="23"/>
          <w:szCs w:val="23"/>
        </w:rPr>
      </w:pPr>
    </w:p>
    <w:p w14:paraId="00C06072" w14:textId="77777777" w:rsidR="00E40DAF" w:rsidRPr="00CA1D9F" w:rsidRDefault="00E40DAF" w:rsidP="00E40DAF">
      <w:pPr>
        <w:pStyle w:val="Default"/>
        <w:spacing w:after="56"/>
        <w:rPr>
          <w:b/>
        </w:rPr>
      </w:pPr>
      <w:r w:rsidRPr="00CA1D9F">
        <w:rPr>
          <w:b/>
        </w:rPr>
        <w:t xml:space="preserve">4. In the absence of an econometric benchmarking study, how should the commission evaluate whether a utility’s reliability performance is appropriate given its unique service territory characteristics? </w:t>
      </w:r>
    </w:p>
    <w:p w14:paraId="00C06073" w14:textId="77777777" w:rsidR="00435E54" w:rsidRPr="00CA1D9F" w:rsidRDefault="00435E54" w:rsidP="00435E54">
      <w:pPr>
        <w:pStyle w:val="Default"/>
        <w:rPr>
          <w:color w:val="auto"/>
        </w:rPr>
      </w:pPr>
      <w:r w:rsidRPr="00CA1D9F">
        <w:rPr>
          <w:color w:val="auto"/>
        </w:rPr>
        <w:t xml:space="preserve">Puget Sound Energy </w:t>
      </w:r>
      <w:r w:rsidRPr="00716BFE">
        <w:rPr>
          <w:color w:val="auto"/>
          <w:sz w:val="23"/>
          <w:szCs w:val="23"/>
        </w:rPr>
        <w:t>believe</w:t>
      </w:r>
      <w:r w:rsidR="003A2774">
        <w:rPr>
          <w:color w:val="auto"/>
          <w:sz w:val="23"/>
          <w:szCs w:val="23"/>
        </w:rPr>
        <w:t>s</w:t>
      </w:r>
      <w:r w:rsidRPr="00CA1D9F">
        <w:rPr>
          <w:color w:val="auto"/>
        </w:rPr>
        <w:t xml:space="preserve"> a utility’s reliability performance </w:t>
      </w:r>
      <w:r w:rsidR="00B84EFF">
        <w:rPr>
          <w:color w:val="auto"/>
          <w:sz w:val="23"/>
          <w:szCs w:val="23"/>
        </w:rPr>
        <w:t xml:space="preserve">should </w:t>
      </w:r>
      <w:r w:rsidR="003A2774">
        <w:rPr>
          <w:color w:val="auto"/>
          <w:sz w:val="23"/>
          <w:szCs w:val="23"/>
        </w:rPr>
        <w:t xml:space="preserve">be evaluated </w:t>
      </w:r>
      <w:r w:rsidR="006B24E9">
        <w:rPr>
          <w:color w:val="auto"/>
          <w:sz w:val="23"/>
          <w:szCs w:val="23"/>
        </w:rPr>
        <w:t>using multiple</w:t>
      </w:r>
      <w:r w:rsidR="006B24E9" w:rsidRPr="00CA1D9F">
        <w:rPr>
          <w:color w:val="auto"/>
        </w:rPr>
        <w:t xml:space="preserve"> considerations </w:t>
      </w:r>
      <w:r w:rsidR="006B24E9">
        <w:rPr>
          <w:color w:val="auto"/>
          <w:sz w:val="23"/>
          <w:szCs w:val="23"/>
        </w:rPr>
        <w:t>and that those</w:t>
      </w:r>
      <w:r w:rsidRPr="00716BFE">
        <w:rPr>
          <w:color w:val="auto"/>
          <w:sz w:val="23"/>
          <w:szCs w:val="23"/>
        </w:rPr>
        <w:t xml:space="preserve"> </w:t>
      </w:r>
      <w:r w:rsidRPr="00CA1D9F">
        <w:rPr>
          <w:color w:val="auto"/>
        </w:rPr>
        <w:t xml:space="preserve">may be different for </w:t>
      </w:r>
      <w:r w:rsidR="00B84EFF">
        <w:rPr>
          <w:color w:val="auto"/>
          <w:sz w:val="23"/>
          <w:szCs w:val="23"/>
        </w:rPr>
        <w:t>each</w:t>
      </w:r>
      <w:r w:rsidR="00B84EFF" w:rsidRPr="00716BFE">
        <w:rPr>
          <w:color w:val="auto"/>
          <w:sz w:val="23"/>
          <w:szCs w:val="23"/>
        </w:rPr>
        <w:t xml:space="preserve"> </w:t>
      </w:r>
      <w:r w:rsidRPr="00716BFE">
        <w:rPr>
          <w:color w:val="auto"/>
          <w:sz w:val="23"/>
          <w:szCs w:val="23"/>
        </w:rPr>
        <w:t>utilit</w:t>
      </w:r>
      <w:r w:rsidR="00B84EFF">
        <w:rPr>
          <w:color w:val="auto"/>
          <w:sz w:val="23"/>
          <w:szCs w:val="23"/>
        </w:rPr>
        <w:t>y</w:t>
      </w:r>
      <w:r w:rsidRPr="00716BFE">
        <w:rPr>
          <w:color w:val="auto"/>
          <w:sz w:val="23"/>
          <w:szCs w:val="23"/>
        </w:rPr>
        <w:t xml:space="preserve">. </w:t>
      </w:r>
      <w:r>
        <w:rPr>
          <w:color w:val="auto"/>
          <w:sz w:val="23"/>
          <w:szCs w:val="23"/>
        </w:rPr>
        <w:t xml:space="preserve"> </w:t>
      </w:r>
      <w:r w:rsidR="00B84EFF">
        <w:rPr>
          <w:color w:val="auto"/>
          <w:sz w:val="23"/>
          <w:szCs w:val="23"/>
        </w:rPr>
        <w:t>I</w:t>
      </w:r>
      <w:r w:rsidRPr="00716BFE">
        <w:rPr>
          <w:color w:val="auto"/>
          <w:sz w:val="23"/>
          <w:szCs w:val="23"/>
        </w:rPr>
        <w:t>n</w:t>
      </w:r>
      <w:r w:rsidRPr="00CA1D9F">
        <w:rPr>
          <w:color w:val="auto"/>
        </w:rPr>
        <w:t xml:space="preserve"> addition to this econometric study, the commission should consider customer feedback regarding reliability, reliability valuation (such as</w:t>
      </w:r>
      <w:r w:rsidR="00A94E20">
        <w:rPr>
          <w:color w:val="auto"/>
        </w:rPr>
        <w:t xml:space="preserve"> the Lawrence Berk</w:t>
      </w:r>
      <w:r w:rsidR="00BC1F3D">
        <w:rPr>
          <w:color w:val="auto"/>
        </w:rPr>
        <w:t>e</w:t>
      </w:r>
      <w:r w:rsidR="00A94E20">
        <w:rPr>
          <w:color w:val="auto"/>
        </w:rPr>
        <w:t>ley Lab</w:t>
      </w:r>
      <w:r w:rsidR="00BC1F3D">
        <w:rPr>
          <w:color w:val="auto"/>
        </w:rPr>
        <w:t>’</w:t>
      </w:r>
      <w:r w:rsidR="00A94E20">
        <w:rPr>
          <w:color w:val="auto"/>
        </w:rPr>
        <w:t xml:space="preserve">s </w:t>
      </w:r>
      <w:r w:rsidR="00BC1F3D">
        <w:rPr>
          <w:color w:val="auto"/>
        </w:rPr>
        <w:t xml:space="preserve">research on </w:t>
      </w:r>
      <w:r w:rsidR="00A94E20">
        <w:rPr>
          <w:color w:val="auto"/>
        </w:rPr>
        <w:t xml:space="preserve">economic value </w:t>
      </w:r>
      <w:r w:rsidR="00BC1F3D">
        <w:rPr>
          <w:color w:val="auto"/>
        </w:rPr>
        <w:t>of reliability to consumers</w:t>
      </w:r>
      <w:r w:rsidR="00BC1F3D">
        <w:rPr>
          <w:rStyle w:val="FootnoteReference"/>
          <w:color w:val="auto"/>
        </w:rPr>
        <w:footnoteReference w:id="3"/>
      </w:r>
      <w:r w:rsidR="00A94E20">
        <w:rPr>
          <w:color w:val="auto"/>
        </w:rPr>
        <w:t xml:space="preserve"> which resulted in </w:t>
      </w:r>
      <w:r w:rsidR="00211B64">
        <w:rPr>
          <w:color w:val="auto"/>
        </w:rPr>
        <w:t xml:space="preserve">the </w:t>
      </w:r>
      <w:r w:rsidR="00F152E6">
        <w:rPr>
          <w:color w:val="auto"/>
        </w:rPr>
        <w:t>U.S. Department of Energy’s</w:t>
      </w:r>
      <w:r w:rsidRPr="00CA1D9F">
        <w:rPr>
          <w:color w:val="auto"/>
        </w:rPr>
        <w:t xml:space="preserve"> </w:t>
      </w:r>
      <w:r w:rsidR="00F152E6" w:rsidRPr="00F152E6">
        <w:rPr>
          <w:color w:val="auto"/>
        </w:rPr>
        <w:t>Interruption Cost Estimate Calculator</w:t>
      </w:r>
      <w:r w:rsidR="00F152E6">
        <w:rPr>
          <w:rStyle w:val="FootnoteReference"/>
          <w:color w:val="auto"/>
        </w:rPr>
        <w:footnoteReference w:id="4"/>
      </w:r>
      <w:r w:rsidRPr="00CA1D9F">
        <w:rPr>
          <w:color w:val="auto"/>
        </w:rPr>
        <w:t>), local economy and business make up (</w:t>
      </w:r>
      <w:r w:rsidR="00AF0DDC">
        <w:rPr>
          <w:color w:val="auto"/>
        </w:rPr>
        <w:t>e.g</w:t>
      </w:r>
      <w:r w:rsidRPr="00CA1D9F">
        <w:rPr>
          <w:color w:val="auto"/>
        </w:rPr>
        <w:t>., high tech requires high reliability), age and make up of infrastructure</w:t>
      </w:r>
      <w:r w:rsidR="00E17B5F">
        <w:rPr>
          <w:color w:val="auto"/>
        </w:rPr>
        <w:t xml:space="preserve">, grid capability to support future needs, </w:t>
      </w:r>
      <w:r w:rsidRPr="00CA1D9F">
        <w:rPr>
          <w:color w:val="auto"/>
        </w:rPr>
        <w:t xml:space="preserve">and local weather severity (including wind).  </w:t>
      </w:r>
    </w:p>
    <w:p w14:paraId="00C06074" w14:textId="77777777" w:rsidR="0037483B" w:rsidRPr="00CA1D9F" w:rsidRDefault="0037483B" w:rsidP="00E40DAF">
      <w:pPr>
        <w:pStyle w:val="Default"/>
        <w:spacing w:after="56"/>
      </w:pPr>
    </w:p>
    <w:p w14:paraId="00C06075" w14:textId="77777777" w:rsidR="00E40DAF" w:rsidRPr="00CA1D9F" w:rsidRDefault="00E40DAF" w:rsidP="00E40DAF">
      <w:pPr>
        <w:pStyle w:val="Default"/>
        <w:spacing w:after="56"/>
        <w:rPr>
          <w:b/>
        </w:rPr>
      </w:pPr>
      <w:r w:rsidRPr="00CA1D9F">
        <w:rPr>
          <w:b/>
        </w:rPr>
        <w:t xml:space="preserve">5. What other statistically measurable and valid approaches should the commission consider in evaluating SAIDI and SAIFI targets? </w:t>
      </w:r>
    </w:p>
    <w:p w14:paraId="00C06076" w14:textId="77777777" w:rsidR="00134805" w:rsidRPr="00CA1D9F" w:rsidRDefault="00F47EDA" w:rsidP="00E40DAF">
      <w:pPr>
        <w:pStyle w:val="Default"/>
        <w:spacing w:after="56"/>
        <w:rPr>
          <w:color w:val="auto"/>
        </w:rPr>
      </w:pPr>
      <w:r>
        <w:rPr>
          <w:color w:val="auto"/>
        </w:rPr>
        <w:t>The intention of establishing a target must be clear</w:t>
      </w:r>
      <w:r w:rsidR="007C6C29">
        <w:rPr>
          <w:color w:val="auto"/>
        </w:rPr>
        <w:t>, depending</w:t>
      </w:r>
      <w:r>
        <w:rPr>
          <w:color w:val="auto"/>
        </w:rPr>
        <w:t xml:space="preserve"> on whether establishing a target is for mere benchmarking or for the application of a monetary incentive or penalty for being above or below such targets. </w:t>
      </w:r>
      <w:r w:rsidR="00C82E6C" w:rsidRPr="00CA1D9F">
        <w:rPr>
          <w:color w:val="auto"/>
        </w:rPr>
        <w:t xml:space="preserve">The </w:t>
      </w:r>
      <w:r w:rsidR="00F152E6">
        <w:rPr>
          <w:color w:val="auto"/>
        </w:rPr>
        <w:t>C</w:t>
      </w:r>
      <w:r w:rsidR="00C82E6C" w:rsidRPr="00CA1D9F">
        <w:rPr>
          <w:color w:val="auto"/>
        </w:rPr>
        <w:t xml:space="preserve">ommission should </w:t>
      </w:r>
      <w:r w:rsidR="00435E54" w:rsidRPr="00CA1D9F">
        <w:rPr>
          <w:color w:val="auto"/>
        </w:rPr>
        <w:t xml:space="preserve">note </w:t>
      </w:r>
      <w:r w:rsidR="00C82E6C" w:rsidRPr="00CA1D9F">
        <w:rPr>
          <w:color w:val="auto"/>
        </w:rPr>
        <w:t xml:space="preserve">that reliability </w:t>
      </w:r>
      <w:r w:rsidR="00C7002B" w:rsidRPr="00CA1D9F">
        <w:rPr>
          <w:color w:val="auto"/>
        </w:rPr>
        <w:t>levels are</w:t>
      </w:r>
      <w:r w:rsidR="00A62C13" w:rsidRPr="00CA1D9F">
        <w:rPr>
          <w:color w:val="auto"/>
        </w:rPr>
        <w:t xml:space="preserve"> subject to</w:t>
      </w:r>
      <w:r w:rsidR="00C82E6C" w:rsidRPr="00CA1D9F">
        <w:rPr>
          <w:color w:val="auto"/>
        </w:rPr>
        <w:t xml:space="preserve"> a great deal of </w:t>
      </w:r>
      <w:r w:rsidR="00134805" w:rsidRPr="00CA1D9F">
        <w:rPr>
          <w:color w:val="auto"/>
        </w:rPr>
        <w:t>variability</w:t>
      </w:r>
      <w:r w:rsidR="00C7002B" w:rsidRPr="00CA1D9F">
        <w:rPr>
          <w:color w:val="auto"/>
        </w:rPr>
        <w:t xml:space="preserve">.  </w:t>
      </w:r>
      <w:r w:rsidR="00A62C13" w:rsidRPr="00CA1D9F">
        <w:rPr>
          <w:color w:val="auto"/>
        </w:rPr>
        <w:t xml:space="preserve">A utility </w:t>
      </w:r>
      <w:r w:rsidR="00435E54" w:rsidRPr="00CA1D9F">
        <w:rPr>
          <w:color w:val="auto"/>
        </w:rPr>
        <w:t>aiming at a specific</w:t>
      </w:r>
      <w:r w:rsidR="00A62C13" w:rsidRPr="00CA1D9F">
        <w:rPr>
          <w:color w:val="auto"/>
        </w:rPr>
        <w:t xml:space="preserve"> reliability</w:t>
      </w:r>
      <w:r w:rsidR="00435E54" w:rsidRPr="00CA1D9F">
        <w:rPr>
          <w:color w:val="auto"/>
        </w:rPr>
        <w:t xml:space="preserve"> target</w:t>
      </w:r>
      <w:r w:rsidR="00A62C13" w:rsidRPr="00CA1D9F">
        <w:rPr>
          <w:color w:val="auto"/>
        </w:rPr>
        <w:t xml:space="preserve"> is going to be worse than </w:t>
      </w:r>
      <w:r w:rsidR="00534F91" w:rsidRPr="00CA1D9F">
        <w:rPr>
          <w:color w:val="auto"/>
        </w:rPr>
        <w:t>the target</w:t>
      </w:r>
      <w:r w:rsidR="00A62C13" w:rsidRPr="00CA1D9F">
        <w:rPr>
          <w:color w:val="auto"/>
        </w:rPr>
        <w:t xml:space="preserve"> some of the time and better than </w:t>
      </w:r>
      <w:r w:rsidR="00534F91" w:rsidRPr="00CA1D9F">
        <w:rPr>
          <w:color w:val="auto"/>
        </w:rPr>
        <w:t>the target</w:t>
      </w:r>
      <w:r w:rsidR="00A62C13" w:rsidRPr="00CA1D9F">
        <w:rPr>
          <w:color w:val="auto"/>
        </w:rPr>
        <w:t xml:space="preserve"> some of the time due to </w:t>
      </w:r>
      <w:r w:rsidR="00C7002B" w:rsidRPr="00CA1D9F">
        <w:rPr>
          <w:color w:val="auto"/>
        </w:rPr>
        <w:t>factors</w:t>
      </w:r>
      <w:r w:rsidR="00435E54" w:rsidRPr="00CA1D9F">
        <w:rPr>
          <w:color w:val="auto"/>
        </w:rPr>
        <w:t xml:space="preserve"> outside the utility’s control</w:t>
      </w:r>
      <w:r w:rsidR="00A62C13" w:rsidRPr="00CA1D9F">
        <w:rPr>
          <w:color w:val="auto"/>
        </w:rPr>
        <w:t xml:space="preserve">.  To guarantee that </w:t>
      </w:r>
      <w:r w:rsidR="00435E54" w:rsidRPr="00CA1D9F">
        <w:rPr>
          <w:color w:val="auto"/>
        </w:rPr>
        <w:t>this</w:t>
      </w:r>
      <w:r w:rsidR="00A62C13" w:rsidRPr="00CA1D9F">
        <w:rPr>
          <w:color w:val="auto"/>
        </w:rPr>
        <w:t xml:space="preserve"> utility always performs at least at the </w:t>
      </w:r>
      <w:r w:rsidR="00534F91" w:rsidRPr="00CA1D9F">
        <w:rPr>
          <w:color w:val="auto"/>
        </w:rPr>
        <w:t>target</w:t>
      </w:r>
      <w:r w:rsidR="00A62C13" w:rsidRPr="00CA1D9F">
        <w:rPr>
          <w:color w:val="auto"/>
        </w:rPr>
        <w:t xml:space="preserve"> level, it would have to </w:t>
      </w:r>
      <w:r w:rsidR="00534F91" w:rsidRPr="00CA1D9F">
        <w:rPr>
          <w:color w:val="auto"/>
        </w:rPr>
        <w:t>aim for</w:t>
      </w:r>
      <w:r w:rsidR="00A62C13" w:rsidRPr="00CA1D9F">
        <w:rPr>
          <w:color w:val="auto"/>
        </w:rPr>
        <w:t xml:space="preserve"> a </w:t>
      </w:r>
      <w:r w:rsidR="00435E54" w:rsidRPr="00CA1D9F">
        <w:rPr>
          <w:color w:val="auto"/>
        </w:rPr>
        <w:t xml:space="preserve">much </w:t>
      </w:r>
      <w:r w:rsidR="00B17C1B">
        <w:rPr>
          <w:color w:val="auto"/>
        </w:rPr>
        <w:t>better</w:t>
      </w:r>
      <w:r w:rsidR="00435E54" w:rsidRPr="00CA1D9F">
        <w:rPr>
          <w:color w:val="auto"/>
        </w:rPr>
        <w:t xml:space="preserve"> </w:t>
      </w:r>
      <w:r w:rsidR="00A62C13" w:rsidRPr="00CA1D9F">
        <w:rPr>
          <w:color w:val="auto"/>
        </w:rPr>
        <w:t xml:space="preserve">level of reliability to account for this variability.  </w:t>
      </w:r>
      <w:r w:rsidR="00534F91" w:rsidRPr="00CA1D9F">
        <w:rPr>
          <w:color w:val="auto"/>
        </w:rPr>
        <w:t>Even a 5 year rolling average SAIDI can change by more than 5% in one year.</w:t>
      </w:r>
      <w:r w:rsidR="00A94E20">
        <w:rPr>
          <w:color w:val="auto"/>
        </w:rPr>
        <w:t xml:space="preserve">  Puget Sound Energy suggests research into how other states approach this may be helpful.</w:t>
      </w:r>
    </w:p>
    <w:p w14:paraId="00C06077" w14:textId="77777777" w:rsidR="00417AC2" w:rsidRPr="00CA1D9F" w:rsidRDefault="00417AC2" w:rsidP="00E40DAF">
      <w:pPr>
        <w:pStyle w:val="Default"/>
        <w:spacing w:after="56"/>
      </w:pPr>
    </w:p>
    <w:p w14:paraId="00C06078" w14:textId="77777777" w:rsidR="00E40DAF" w:rsidRPr="00CA1D9F" w:rsidRDefault="00E40DAF" w:rsidP="00E40DAF">
      <w:pPr>
        <w:pStyle w:val="Default"/>
        <w:spacing w:after="56"/>
        <w:rPr>
          <w:b/>
        </w:rPr>
      </w:pPr>
      <w:r w:rsidRPr="00CA1D9F">
        <w:rPr>
          <w:b/>
        </w:rPr>
        <w:t xml:space="preserve">6. Should the econometric benchmarking study performed by Power System Engineering be used to establish utility-specific targets for SAIDI and/or SAIFI? Why or why not? </w:t>
      </w:r>
    </w:p>
    <w:p w14:paraId="00C06079" w14:textId="77777777" w:rsidR="00435E54" w:rsidRDefault="00F47EDA" w:rsidP="00435E54">
      <w:pPr>
        <w:pStyle w:val="Default"/>
        <w:rPr>
          <w:color w:val="auto"/>
        </w:rPr>
      </w:pPr>
      <w:r>
        <w:rPr>
          <w:color w:val="auto"/>
        </w:rPr>
        <w:t>The intention of establishing a target must be clear</w:t>
      </w:r>
      <w:r w:rsidR="007C6C29">
        <w:rPr>
          <w:color w:val="auto"/>
        </w:rPr>
        <w:t>, depending</w:t>
      </w:r>
      <w:r>
        <w:rPr>
          <w:color w:val="auto"/>
        </w:rPr>
        <w:t xml:space="preserve"> on whether establishing a target is for mere benchmarking or for the application of a monetary incentive or penalty for being above or below such targets. </w:t>
      </w:r>
      <w:r w:rsidR="00B17C1B">
        <w:rPr>
          <w:color w:val="auto"/>
        </w:rPr>
        <w:t xml:space="preserve"> </w:t>
      </w:r>
      <w:r w:rsidR="00F152E6">
        <w:rPr>
          <w:color w:val="auto"/>
        </w:rPr>
        <w:t>After further enhance</w:t>
      </w:r>
      <w:r w:rsidR="00AF0DDC">
        <w:rPr>
          <w:color w:val="auto"/>
        </w:rPr>
        <w:t>ment</w:t>
      </w:r>
      <w:r w:rsidR="00F152E6">
        <w:rPr>
          <w:color w:val="auto"/>
        </w:rPr>
        <w:t xml:space="preserve"> and modification of the Study, it might be helpful as one of the considerations in establishing utility-specific electric reliability targets.  Puget Sound Energy </w:t>
      </w:r>
      <w:r w:rsidR="00435E54" w:rsidRPr="00CA1D9F">
        <w:rPr>
          <w:color w:val="auto"/>
        </w:rPr>
        <w:t xml:space="preserve">has the following concerns </w:t>
      </w:r>
      <w:r w:rsidR="0088357E">
        <w:rPr>
          <w:color w:val="auto"/>
        </w:rPr>
        <w:t>regarding the current Study</w:t>
      </w:r>
      <w:r w:rsidR="00435E54" w:rsidRPr="00CA1D9F">
        <w:rPr>
          <w:color w:val="auto"/>
        </w:rPr>
        <w:t xml:space="preserve">: </w:t>
      </w:r>
    </w:p>
    <w:p w14:paraId="00C0607A" w14:textId="77777777" w:rsidR="00BC1F3D" w:rsidRDefault="00BC1F3D" w:rsidP="00435E54">
      <w:pPr>
        <w:pStyle w:val="Default"/>
        <w:rPr>
          <w:color w:val="auto"/>
        </w:rPr>
      </w:pPr>
    </w:p>
    <w:p w14:paraId="00C0607B" w14:textId="77777777" w:rsidR="00ED4F99" w:rsidRPr="00B17C1B" w:rsidRDefault="00ED4F99" w:rsidP="00B17C1B">
      <w:pPr>
        <w:pStyle w:val="Default"/>
        <w:numPr>
          <w:ilvl w:val="0"/>
          <w:numId w:val="15"/>
        </w:numPr>
        <w:rPr>
          <w:color w:val="auto"/>
        </w:rPr>
      </w:pPr>
      <w:r w:rsidRPr="007B6C87">
        <w:t>The</w:t>
      </w:r>
      <w:r w:rsidR="0047431E" w:rsidRPr="007B6C87">
        <w:t xml:space="preserve"> </w:t>
      </w:r>
      <w:r w:rsidR="0088357E" w:rsidRPr="007B6C87">
        <w:t>S</w:t>
      </w:r>
      <w:r w:rsidR="0047431E" w:rsidRPr="007B6C87">
        <w:t xml:space="preserve">tudy </w:t>
      </w:r>
      <w:r w:rsidR="00435E54" w:rsidRPr="007B6C87">
        <w:t xml:space="preserve">does not account for customer expectations or operating costs (see </w:t>
      </w:r>
      <w:r w:rsidR="0088357E" w:rsidRPr="007B6C87">
        <w:t xml:space="preserve">the </w:t>
      </w:r>
      <w:r w:rsidR="00435E54" w:rsidRPr="007B6C87">
        <w:t xml:space="preserve">responses to </w:t>
      </w:r>
      <w:r w:rsidR="0088357E" w:rsidRPr="007B6C87">
        <w:t>Q</w:t>
      </w:r>
      <w:r w:rsidR="00435E54" w:rsidRPr="007B6C87">
        <w:t>uestion</w:t>
      </w:r>
      <w:r w:rsidR="0088357E" w:rsidRPr="007B6C87">
        <w:t xml:space="preserve"> No</w:t>
      </w:r>
      <w:r w:rsidR="00435E54" w:rsidRPr="007B6C87">
        <w:t>s</w:t>
      </w:r>
      <w:r w:rsidR="0088357E" w:rsidRPr="007B6C87">
        <w:t>.</w:t>
      </w:r>
      <w:r w:rsidR="00435E54" w:rsidRPr="007B6C87">
        <w:t xml:space="preserve"> 1 </w:t>
      </w:r>
      <w:r w:rsidR="0088357E" w:rsidRPr="007B6C87">
        <w:t>–</w:t>
      </w:r>
      <w:r w:rsidR="00435E54" w:rsidRPr="007B6C87">
        <w:t xml:space="preserve"> 4</w:t>
      </w:r>
      <w:r w:rsidR="0088357E" w:rsidRPr="007B6C87">
        <w:t xml:space="preserve"> above</w:t>
      </w:r>
      <w:r w:rsidR="00435E54" w:rsidRPr="007B6C87">
        <w:t>).</w:t>
      </w:r>
      <w:r w:rsidR="0088357E" w:rsidRPr="007B6C87">
        <w:t xml:space="preserve">  </w:t>
      </w:r>
    </w:p>
    <w:p w14:paraId="00C0607C" w14:textId="77777777" w:rsidR="00BC1F3D" w:rsidRPr="007B6C87" w:rsidRDefault="00BC1F3D" w:rsidP="00B17C1B">
      <w:pPr>
        <w:pStyle w:val="Default"/>
        <w:ind w:left="720"/>
        <w:rPr>
          <w:color w:val="auto"/>
        </w:rPr>
      </w:pPr>
    </w:p>
    <w:p w14:paraId="00C0607D" w14:textId="77777777" w:rsidR="0047431E" w:rsidRPr="00B17C1B" w:rsidRDefault="00ED4F99" w:rsidP="00B17C1B">
      <w:pPr>
        <w:pStyle w:val="Default"/>
        <w:numPr>
          <w:ilvl w:val="0"/>
          <w:numId w:val="15"/>
        </w:numPr>
        <w:rPr>
          <w:color w:val="auto"/>
          <w:sz w:val="23"/>
          <w:szCs w:val="23"/>
        </w:rPr>
      </w:pPr>
      <w:r>
        <w:rPr>
          <w:color w:val="auto"/>
        </w:rPr>
        <w:t>T</w:t>
      </w:r>
      <w:r w:rsidR="0047431E" w:rsidRPr="00CA1D9F">
        <w:rPr>
          <w:color w:val="auto"/>
        </w:rPr>
        <w:t>he analysis does not consider some important factors that affect reliability, including animal populations, vegetation type, directional wind speed, precipitation type and amount, traffic, age of infrastructure</w:t>
      </w:r>
      <w:r w:rsidR="0088357E">
        <w:rPr>
          <w:color w:val="auto"/>
        </w:rPr>
        <w:t>,</w:t>
      </w:r>
      <w:r w:rsidR="0047431E" w:rsidRPr="00CA1D9F">
        <w:rPr>
          <w:color w:val="auto"/>
        </w:rPr>
        <w:t xml:space="preserve"> and customer type.  Puget Sound Energy previously submitted a list of </w:t>
      </w:r>
      <w:r w:rsidR="0088357E">
        <w:rPr>
          <w:color w:val="auto"/>
        </w:rPr>
        <w:t xml:space="preserve">about </w:t>
      </w:r>
      <w:r w:rsidR="0047431E" w:rsidRPr="00CA1D9F">
        <w:rPr>
          <w:color w:val="auto"/>
        </w:rPr>
        <w:t xml:space="preserve">40 variables that affect reliability, many of which were not </w:t>
      </w:r>
      <w:r w:rsidR="0047431E" w:rsidRPr="00CA1D9F">
        <w:rPr>
          <w:color w:val="auto"/>
        </w:rPr>
        <w:lastRenderedPageBreak/>
        <w:t xml:space="preserve">accounted for in the </w:t>
      </w:r>
      <w:r w:rsidR="0088357E">
        <w:rPr>
          <w:color w:val="auto"/>
        </w:rPr>
        <w:t>S</w:t>
      </w:r>
      <w:r w:rsidR="0047431E" w:rsidRPr="00CA1D9F">
        <w:rPr>
          <w:color w:val="auto"/>
        </w:rPr>
        <w:t xml:space="preserve">tudy.  As a result, this </w:t>
      </w:r>
      <w:r w:rsidR="0088357E">
        <w:rPr>
          <w:color w:val="auto"/>
        </w:rPr>
        <w:t>S</w:t>
      </w:r>
      <w:r w:rsidR="0047431E" w:rsidRPr="00CA1D9F">
        <w:rPr>
          <w:color w:val="auto"/>
        </w:rPr>
        <w:t xml:space="preserve">tudy’s findings are skewed toward factors that have a lower impact on Puget Sound Energy’s </w:t>
      </w:r>
      <w:r w:rsidR="0088357E">
        <w:rPr>
          <w:color w:val="auto"/>
        </w:rPr>
        <w:t xml:space="preserve">electric </w:t>
      </w:r>
      <w:r w:rsidR="0047431E" w:rsidRPr="00CA1D9F">
        <w:rPr>
          <w:color w:val="auto"/>
        </w:rPr>
        <w:t xml:space="preserve">reliability.  </w:t>
      </w:r>
    </w:p>
    <w:p w14:paraId="00C0607E" w14:textId="77777777" w:rsidR="00BC1F3D" w:rsidRDefault="00BC1F3D" w:rsidP="00B17C1B">
      <w:pPr>
        <w:pStyle w:val="Default"/>
        <w:ind w:left="720"/>
        <w:rPr>
          <w:color w:val="auto"/>
          <w:sz w:val="23"/>
          <w:szCs w:val="23"/>
        </w:rPr>
      </w:pPr>
    </w:p>
    <w:p w14:paraId="00C0607F" w14:textId="77777777" w:rsidR="0047431E" w:rsidRDefault="00ED4F99" w:rsidP="00B17C1B">
      <w:pPr>
        <w:pStyle w:val="Default"/>
        <w:numPr>
          <w:ilvl w:val="0"/>
          <w:numId w:val="15"/>
        </w:numPr>
        <w:rPr>
          <w:color w:val="auto"/>
          <w:sz w:val="23"/>
          <w:szCs w:val="23"/>
        </w:rPr>
      </w:pPr>
      <w:r>
        <w:rPr>
          <w:color w:val="auto"/>
          <w:sz w:val="23"/>
          <w:szCs w:val="23"/>
        </w:rPr>
        <w:t>The</w:t>
      </w:r>
      <w:r w:rsidR="0047431E" w:rsidRPr="00DB4A0A">
        <w:rPr>
          <w:color w:val="auto"/>
          <w:sz w:val="23"/>
          <w:szCs w:val="23"/>
        </w:rPr>
        <w:t xml:space="preserve"> </w:t>
      </w:r>
      <w:r w:rsidR="0047431E">
        <w:rPr>
          <w:color w:val="auto"/>
          <w:sz w:val="23"/>
          <w:szCs w:val="23"/>
        </w:rPr>
        <w:t xml:space="preserve">results do not appear to have a high degree of accuracy </w:t>
      </w:r>
      <w:r w:rsidR="0047431E" w:rsidRPr="00DB4A0A">
        <w:rPr>
          <w:color w:val="auto"/>
          <w:sz w:val="23"/>
          <w:szCs w:val="23"/>
        </w:rPr>
        <w:t xml:space="preserve">(see </w:t>
      </w:r>
      <w:r w:rsidR="0088357E">
        <w:rPr>
          <w:color w:val="auto"/>
          <w:sz w:val="23"/>
          <w:szCs w:val="23"/>
        </w:rPr>
        <w:t xml:space="preserve">Puget Sound Energy’s </w:t>
      </w:r>
      <w:r w:rsidR="0047431E" w:rsidRPr="00DB4A0A">
        <w:rPr>
          <w:color w:val="auto"/>
          <w:sz w:val="23"/>
          <w:szCs w:val="23"/>
        </w:rPr>
        <w:t xml:space="preserve">response to </w:t>
      </w:r>
      <w:r w:rsidR="0088357E">
        <w:rPr>
          <w:color w:val="auto"/>
          <w:sz w:val="23"/>
          <w:szCs w:val="23"/>
        </w:rPr>
        <w:t>Q</w:t>
      </w:r>
      <w:r w:rsidR="0047431E" w:rsidRPr="00DB4A0A">
        <w:rPr>
          <w:color w:val="auto"/>
          <w:sz w:val="23"/>
          <w:szCs w:val="23"/>
        </w:rPr>
        <w:t xml:space="preserve">uestion </w:t>
      </w:r>
      <w:r w:rsidR="0088357E">
        <w:rPr>
          <w:color w:val="auto"/>
          <w:sz w:val="23"/>
          <w:szCs w:val="23"/>
        </w:rPr>
        <w:t xml:space="preserve">No. </w:t>
      </w:r>
      <w:r w:rsidR="0047431E" w:rsidRPr="00DB4A0A">
        <w:rPr>
          <w:color w:val="auto"/>
          <w:sz w:val="23"/>
          <w:szCs w:val="23"/>
        </w:rPr>
        <w:t>9</w:t>
      </w:r>
      <w:r w:rsidR="0088357E">
        <w:rPr>
          <w:color w:val="auto"/>
          <w:sz w:val="23"/>
          <w:szCs w:val="23"/>
        </w:rPr>
        <w:t xml:space="preserve"> below</w:t>
      </w:r>
      <w:r w:rsidR="0047431E" w:rsidRPr="00DB4A0A">
        <w:rPr>
          <w:color w:val="auto"/>
          <w:sz w:val="23"/>
          <w:szCs w:val="23"/>
        </w:rPr>
        <w:t xml:space="preserve">).  </w:t>
      </w:r>
    </w:p>
    <w:p w14:paraId="00C06080" w14:textId="77777777" w:rsidR="00435E54" w:rsidRPr="00CA1D9F" w:rsidRDefault="00435E54" w:rsidP="00435E54">
      <w:pPr>
        <w:pStyle w:val="Default"/>
        <w:rPr>
          <w:color w:val="auto"/>
        </w:rPr>
      </w:pPr>
    </w:p>
    <w:p w14:paraId="00C06081" w14:textId="77777777" w:rsidR="00435E54" w:rsidRPr="00CA1D9F" w:rsidRDefault="00435E54" w:rsidP="00435E54">
      <w:pPr>
        <w:pStyle w:val="Default"/>
      </w:pPr>
      <w:r w:rsidRPr="00CA1D9F">
        <w:t xml:space="preserve">Though these are significant concerns, Puget Sound Energy recognizes that performing a study like this takes time and money and that gathering accurate data for all relevant inputs may not be feasible.  Puget Sound Energy believes that the intent of the </w:t>
      </w:r>
      <w:r w:rsidR="0088357E">
        <w:t>S</w:t>
      </w:r>
      <w:r w:rsidRPr="00CA1D9F">
        <w:t xml:space="preserve">tudy is sensible and that the </w:t>
      </w:r>
      <w:r w:rsidR="0088357E">
        <w:t>S</w:t>
      </w:r>
      <w:r w:rsidRPr="00CA1D9F">
        <w:t>tudy</w:t>
      </w:r>
      <w:r w:rsidR="0047431E">
        <w:rPr>
          <w:sz w:val="23"/>
          <w:szCs w:val="23"/>
        </w:rPr>
        <w:t>, when combined with other information,</w:t>
      </w:r>
      <w:r w:rsidR="0047431E" w:rsidRPr="00CA1D9F">
        <w:t xml:space="preserve"> is</w:t>
      </w:r>
      <w:r w:rsidRPr="00CA1D9F">
        <w:t xml:space="preserve"> useful for gaining general alignment regarding sense of </w:t>
      </w:r>
      <w:r w:rsidR="0088357E">
        <w:t xml:space="preserve">electric service reliability </w:t>
      </w:r>
      <w:r w:rsidRPr="00CA1D9F">
        <w:t xml:space="preserve">performance and investment needed. </w:t>
      </w:r>
    </w:p>
    <w:p w14:paraId="00C06082" w14:textId="77777777" w:rsidR="00E40DAF" w:rsidRPr="00CA1D9F" w:rsidRDefault="00E40DAF" w:rsidP="00E40DAF">
      <w:pPr>
        <w:pStyle w:val="Default"/>
        <w:spacing w:after="56"/>
      </w:pPr>
    </w:p>
    <w:p w14:paraId="00C06083" w14:textId="77777777" w:rsidR="00E40DAF" w:rsidRPr="00CA1D9F" w:rsidRDefault="00E40DAF" w:rsidP="00E40DAF">
      <w:pPr>
        <w:pStyle w:val="Default"/>
        <w:spacing w:after="56"/>
        <w:rPr>
          <w:b/>
        </w:rPr>
      </w:pPr>
      <w:r w:rsidRPr="00CA1D9F">
        <w:rPr>
          <w:b/>
        </w:rPr>
        <w:t xml:space="preserve">7. Should the econometric benchmarking study performed by Power System Engineering be used to evaluate the need for investments in reliability? Why or why not? </w:t>
      </w:r>
    </w:p>
    <w:p w14:paraId="00C06084" w14:textId="77777777" w:rsidR="00ED4F99" w:rsidRDefault="0088357E" w:rsidP="009B3A2C">
      <w:pPr>
        <w:pStyle w:val="Default"/>
        <w:rPr>
          <w:color w:val="auto"/>
        </w:rPr>
      </w:pPr>
      <w:r w:rsidRPr="0088357E">
        <w:rPr>
          <w:color w:val="auto"/>
        </w:rPr>
        <w:t>After further enhance</w:t>
      </w:r>
      <w:r w:rsidR="00E23F1B">
        <w:rPr>
          <w:color w:val="auto"/>
        </w:rPr>
        <w:t>ment</w:t>
      </w:r>
      <w:r w:rsidRPr="0088357E">
        <w:rPr>
          <w:color w:val="auto"/>
        </w:rPr>
        <w:t xml:space="preserve"> and modification of the Study, it might be helpful as one of the considerations in establishing utility-specific electric system reliability investment targets.  Puget Sound Energy has the following concerns regarding the </w:t>
      </w:r>
      <w:r>
        <w:rPr>
          <w:color w:val="auto"/>
        </w:rPr>
        <w:t xml:space="preserve">current </w:t>
      </w:r>
      <w:r w:rsidRPr="0088357E">
        <w:rPr>
          <w:color w:val="auto"/>
        </w:rPr>
        <w:t xml:space="preserve">Study: </w:t>
      </w:r>
    </w:p>
    <w:p w14:paraId="00C06085" w14:textId="77777777" w:rsidR="00BC1F3D" w:rsidRDefault="00BC1F3D" w:rsidP="009B3A2C">
      <w:pPr>
        <w:pStyle w:val="Default"/>
        <w:rPr>
          <w:color w:val="auto"/>
        </w:rPr>
      </w:pPr>
    </w:p>
    <w:p w14:paraId="00C06086" w14:textId="77777777" w:rsidR="009B3A2C" w:rsidRDefault="00ED4F99" w:rsidP="00C331DC">
      <w:pPr>
        <w:pStyle w:val="Default"/>
        <w:numPr>
          <w:ilvl w:val="0"/>
          <w:numId w:val="14"/>
        </w:numPr>
        <w:ind w:left="720"/>
        <w:rPr>
          <w:color w:val="auto"/>
        </w:rPr>
      </w:pPr>
      <w:r>
        <w:rPr>
          <w:color w:val="auto"/>
        </w:rPr>
        <w:t>The</w:t>
      </w:r>
      <w:r w:rsidR="009B3A2C" w:rsidRPr="00CA1D9F">
        <w:rPr>
          <w:color w:val="auto"/>
        </w:rPr>
        <w:t xml:space="preserve"> </w:t>
      </w:r>
      <w:r w:rsidR="0088357E">
        <w:rPr>
          <w:color w:val="auto"/>
        </w:rPr>
        <w:t>S</w:t>
      </w:r>
      <w:r w:rsidR="009B3A2C" w:rsidRPr="00CA1D9F">
        <w:rPr>
          <w:color w:val="auto"/>
        </w:rPr>
        <w:t xml:space="preserve">tudy does not address costs.  Like reliability, each utility has unique circumstances which affect the costs associated with maintaining and improving specific levels of reliability.  For example, utilities operating in urban areas may require a larger investment to achieve certain reliability targets than utilities operating in suburban or rural areas.  Though an investment need may be identified, determining the amount of investment requires information that is not included in this </w:t>
      </w:r>
      <w:r w:rsidR="0088357E">
        <w:rPr>
          <w:color w:val="auto"/>
        </w:rPr>
        <w:t>S</w:t>
      </w:r>
      <w:r w:rsidR="009B3A2C" w:rsidRPr="00CA1D9F">
        <w:rPr>
          <w:color w:val="auto"/>
        </w:rPr>
        <w:t>tudy.</w:t>
      </w:r>
    </w:p>
    <w:p w14:paraId="00C06087" w14:textId="77777777" w:rsidR="00BC1F3D" w:rsidRPr="00CA1D9F" w:rsidRDefault="00BC1F3D" w:rsidP="00C331DC">
      <w:pPr>
        <w:pStyle w:val="Default"/>
        <w:ind w:left="720"/>
        <w:rPr>
          <w:color w:val="auto"/>
        </w:rPr>
      </w:pPr>
    </w:p>
    <w:p w14:paraId="00C06088" w14:textId="77777777" w:rsidR="009B3A2C" w:rsidRDefault="00ED4F99" w:rsidP="00C331DC">
      <w:pPr>
        <w:pStyle w:val="Default"/>
        <w:numPr>
          <w:ilvl w:val="0"/>
          <w:numId w:val="14"/>
        </w:numPr>
        <w:ind w:left="720"/>
        <w:rPr>
          <w:color w:val="auto"/>
        </w:rPr>
      </w:pPr>
      <w:r>
        <w:rPr>
          <w:color w:val="auto"/>
        </w:rPr>
        <w:t>The</w:t>
      </w:r>
      <w:r w:rsidR="009B3A2C" w:rsidRPr="00CA1D9F">
        <w:rPr>
          <w:color w:val="auto"/>
        </w:rPr>
        <w:t xml:space="preserve"> </w:t>
      </w:r>
      <w:r w:rsidR="0088357E">
        <w:rPr>
          <w:color w:val="auto"/>
        </w:rPr>
        <w:t>S</w:t>
      </w:r>
      <w:r w:rsidR="009B3A2C" w:rsidRPr="00CA1D9F">
        <w:rPr>
          <w:color w:val="auto"/>
        </w:rPr>
        <w:t>tudy does not consider customer expectations.  Even if a utility is performing better than the expected industry average, customers may still want, and be willing to pay for, better reliability.</w:t>
      </w:r>
      <w:r w:rsidR="00A32100" w:rsidRPr="00CA1D9F">
        <w:rPr>
          <w:color w:val="auto"/>
        </w:rPr>
        <w:t xml:space="preserve">  </w:t>
      </w:r>
    </w:p>
    <w:p w14:paraId="00C06089" w14:textId="77777777" w:rsidR="00BC1F3D" w:rsidRPr="00CA1D9F" w:rsidRDefault="00BC1F3D" w:rsidP="00C331DC">
      <w:pPr>
        <w:pStyle w:val="Default"/>
        <w:ind w:left="720"/>
        <w:rPr>
          <w:color w:val="auto"/>
        </w:rPr>
      </w:pPr>
    </w:p>
    <w:p w14:paraId="00C0608A" w14:textId="77777777" w:rsidR="009B3A2C" w:rsidRPr="00C331DC" w:rsidRDefault="00ED4F99" w:rsidP="00C331DC">
      <w:pPr>
        <w:pStyle w:val="Default"/>
        <w:numPr>
          <w:ilvl w:val="0"/>
          <w:numId w:val="14"/>
        </w:numPr>
        <w:ind w:left="720"/>
        <w:rPr>
          <w:i/>
        </w:rPr>
      </w:pPr>
      <w:r>
        <w:rPr>
          <w:color w:val="auto"/>
        </w:rPr>
        <w:t>The</w:t>
      </w:r>
      <w:r w:rsidR="009B3A2C" w:rsidRPr="00CA1D9F">
        <w:rPr>
          <w:color w:val="auto"/>
        </w:rPr>
        <w:t xml:space="preserve"> </w:t>
      </w:r>
      <w:r w:rsidR="00CD7612">
        <w:rPr>
          <w:color w:val="auto"/>
        </w:rPr>
        <w:t>S</w:t>
      </w:r>
      <w:r w:rsidR="009B3A2C" w:rsidRPr="00CA1D9F">
        <w:rPr>
          <w:color w:val="auto"/>
        </w:rPr>
        <w:t xml:space="preserve">tudy results demonstrate that a range of reliability targets, and therefore investment levels, may be reasonable.  It wouldn’t make sense to use only this study to establish a specific level of investment. </w:t>
      </w:r>
    </w:p>
    <w:p w14:paraId="00C0608B" w14:textId="77777777" w:rsidR="00BC1F3D" w:rsidRPr="00211B64" w:rsidRDefault="00BC1F3D" w:rsidP="00C331DC">
      <w:pPr>
        <w:pStyle w:val="Default"/>
        <w:ind w:left="720"/>
        <w:rPr>
          <w:i/>
        </w:rPr>
      </w:pPr>
    </w:p>
    <w:p w14:paraId="00C0608C" w14:textId="77777777" w:rsidR="009B3A2C" w:rsidRPr="00CA1D9F" w:rsidRDefault="009B3A2C" w:rsidP="009B3A2C">
      <w:pPr>
        <w:pStyle w:val="Default"/>
      </w:pPr>
      <w:r w:rsidRPr="00CA1D9F">
        <w:t xml:space="preserve">As mentioned in the response to </w:t>
      </w:r>
      <w:r w:rsidR="00CD7612">
        <w:t>Q</w:t>
      </w:r>
      <w:r w:rsidRPr="00CA1D9F">
        <w:t xml:space="preserve">uestion </w:t>
      </w:r>
      <w:r w:rsidR="00CD7612">
        <w:t xml:space="preserve">No. </w:t>
      </w:r>
      <w:r w:rsidRPr="00CA1D9F">
        <w:t xml:space="preserve">6, </w:t>
      </w:r>
      <w:r w:rsidR="00CD7612">
        <w:t>Puget Sound Energy</w:t>
      </w:r>
      <w:r w:rsidRPr="00CA1D9F">
        <w:t xml:space="preserve"> recognizes the difficulty in performing this kind of study and finds that </w:t>
      </w:r>
      <w:r w:rsidR="00CD7612">
        <w:t xml:space="preserve">such </w:t>
      </w:r>
      <w:r w:rsidRPr="00CA1D9F">
        <w:t xml:space="preserve">study </w:t>
      </w:r>
      <w:r w:rsidR="00CD7612">
        <w:t>may</w:t>
      </w:r>
      <w:r w:rsidR="00E23F1B">
        <w:t xml:space="preserve"> </w:t>
      </w:r>
      <w:r w:rsidR="00CD7612">
        <w:t>be</w:t>
      </w:r>
      <w:r w:rsidRPr="00CA1D9F">
        <w:t xml:space="preserve"> useful, when combined with other information, for gaining general alignment regarding sense of performance and investment needed. </w:t>
      </w:r>
    </w:p>
    <w:p w14:paraId="00C0608D" w14:textId="77777777" w:rsidR="00152486" w:rsidRPr="00CA1D9F" w:rsidRDefault="00152486" w:rsidP="00E40DAF">
      <w:pPr>
        <w:pStyle w:val="Default"/>
        <w:spacing w:after="56"/>
      </w:pPr>
    </w:p>
    <w:p w14:paraId="00C0608E" w14:textId="77777777" w:rsidR="00E40DAF" w:rsidRPr="00CA1D9F" w:rsidRDefault="00E40DAF" w:rsidP="00E40DAF">
      <w:pPr>
        <w:pStyle w:val="Default"/>
        <w:spacing w:after="56"/>
        <w:rPr>
          <w:b/>
        </w:rPr>
      </w:pPr>
      <w:r w:rsidRPr="00CA1D9F">
        <w:rPr>
          <w:b/>
        </w:rPr>
        <w:t xml:space="preserve">8. Do you believe that additional policy guidance from the commission on the issue of reliability performance benchmarking is necessary? </w:t>
      </w:r>
    </w:p>
    <w:p w14:paraId="00C0608F" w14:textId="77777777" w:rsidR="009B3A2C" w:rsidRPr="00CA1D9F" w:rsidRDefault="00F47EDA" w:rsidP="009B3A2C">
      <w:pPr>
        <w:pStyle w:val="Default"/>
        <w:rPr>
          <w:color w:val="auto"/>
        </w:rPr>
      </w:pPr>
      <w:r>
        <w:rPr>
          <w:color w:val="auto"/>
        </w:rPr>
        <w:t>The intention of benchmarking must be clear</w:t>
      </w:r>
      <w:r w:rsidR="007C6C29">
        <w:rPr>
          <w:color w:val="auto"/>
        </w:rPr>
        <w:t>, depending</w:t>
      </w:r>
      <w:r>
        <w:rPr>
          <w:color w:val="auto"/>
        </w:rPr>
        <w:t xml:space="preserve"> on whether benchmarking is for mere benchmarking or for the application of a monetary incentive or penalty for being above or below such benchmarks. </w:t>
      </w:r>
      <w:r w:rsidR="009B3A2C" w:rsidRPr="00CA1D9F">
        <w:rPr>
          <w:color w:val="auto"/>
        </w:rPr>
        <w:t xml:space="preserve">Puget Sound Energy values documented guidance as it can eliminate changing interpretations simply due to </w:t>
      </w:r>
      <w:r w:rsidR="00CD7612">
        <w:rPr>
          <w:color w:val="auto"/>
        </w:rPr>
        <w:t xml:space="preserve">the </w:t>
      </w:r>
      <w:r w:rsidR="00E17B5F">
        <w:rPr>
          <w:color w:val="auto"/>
        </w:rPr>
        <w:t>personnel</w:t>
      </w:r>
      <w:r w:rsidR="009B3A2C" w:rsidRPr="00CA1D9F">
        <w:rPr>
          <w:color w:val="auto"/>
        </w:rPr>
        <w:t xml:space="preserve"> transitions.  Puget Sound Energy cautions that </w:t>
      </w:r>
      <w:r w:rsidR="00CD7612">
        <w:rPr>
          <w:color w:val="auto"/>
        </w:rPr>
        <w:t xml:space="preserve">electric </w:t>
      </w:r>
      <w:r w:rsidR="009B3A2C" w:rsidRPr="00CA1D9F">
        <w:rPr>
          <w:color w:val="auto"/>
        </w:rPr>
        <w:t xml:space="preserve">reliability performance as described above is impacted by many disparate factors over time and is therefore complex in nature.  </w:t>
      </w:r>
    </w:p>
    <w:p w14:paraId="00C06090" w14:textId="77777777" w:rsidR="00E40DAF" w:rsidRPr="00CA1D9F" w:rsidRDefault="00467FDA" w:rsidP="00E40DAF">
      <w:pPr>
        <w:pStyle w:val="Default"/>
        <w:spacing w:after="56"/>
      </w:pPr>
      <w:r w:rsidRPr="00CA1D9F">
        <w:rPr>
          <w:color w:val="C00000"/>
        </w:rPr>
        <w:lastRenderedPageBreak/>
        <w:t xml:space="preserve"> </w:t>
      </w:r>
    </w:p>
    <w:p w14:paraId="00C06091" w14:textId="77777777" w:rsidR="00E40DAF" w:rsidRPr="00CA1D9F" w:rsidRDefault="00E40DAF" w:rsidP="00E40DAF">
      <w:pPr>
        <w:pStyle w:val="Default"/>
        <w:spacing w:after="56"/>
        <w:rPr>
          <w:b/>
        </w:rPr>
      </w:pPr>
      <w:r w:rsidRPr="00CA1D9F">
        <w:rPr>
          <w:b/>
        </w:rPr>
        <w:t xml:space="preserve">9. (For utility representatives) Please comment on the reasonableness of the benchmarks produced by the study, specific to your utility. Please describe your perspective on both a) the point estimate reliability target, and b) the target range produced by the 90 percent confidence interval. </w:t>
      </w:r>
    </w:p>
    <w:p w14:paraId="00C06092" w14:textId="77777777" w:rsidR="00435E54" w:rsidRDefault="00211B64" w:rsidP="00435E54">
      <w:pPr>
        <w:pStyle w:val="Default"/>
        <w:rPr>
          <w:color w:val="auto"/>
        </w:rPr>
      </w:pPr>
      <w:r w:rsidRPr="00CA1D9F">
        <w:rPr>
          <w:color w:val="auto"/>
        </w:rPr>
        <w:t>P</w:t>
      </w:r>
      <w:r>
        <w:rPr>
          <w:color w:val="auto"/>
        </w:rPr>
        <w:t>uget Sound Energy</w:t>
      </w:r>
      <w:r w:rsidRPr="00CA1D9F">
        <w:rPr>
          <w:color w:val="auto"/>
        </w:rPr>
        <w:t xml:space="preserve"> </w:t>
      </w:r>
      <w:r w:rsidR="00435E54" w:rsidRPr="00CA1D9F">
        <w:rPr>
          <w:color w:val="auto"/>
        </w:rPr>
        <w:t>provides the following:</w:t>
      </w:r>
    </w:p>
    <w:p w14:paraId="00C06093" w14:textId="77777777" w:rsidR="007429E5" w:rsidRPr="00CA1D9F" w:rsidRDefault="007429E5" w:rsidP="00435E54">
      <w:pPr>
        <w:pStyle w:val="Default"/>
        <w:rPr>
          <w:color w:val="auto"/>
        </w:rPr>
      </w:pPr>
    </w:p>
    <w:p w14:paraId="00C06094" w14:textId="77777777" w:rsidR="00211B64" w:rsidRPr="00211B64" w:rsidRDefault="007429E5" w:rsidP="007B6C87">
      <w:pPr>
        <w:pStyle w:val="Default"/>
        <w:numPr>
          <w:ilvl w:val="0"/>
          <w:numId w:val="11"/>
        </w:numPr>
        <w:ind w:left="720"/>
        <w:rPr>
          <w:color w:val="auto"/>
        </w:rPr>
      </w:pPr>
      <w:r w:rsidRPr="00CA1D9F">
        <w:rPr>
          <w:color w:val="auto"/>
        </w:rPr>
        <w:t>Relative to the reasonableness</w:t>
      </w:r>
      <w:r>
        <w:rPr>
          <w:color w:val="auto"/>
          <w:sz w:val="23"/>
          <w:szCs w:val="23"/>
        </w:rPr>
        <w:t xml:space="preserve"> of the point targets</w:t>
      </w:r>
      <w:r w:rsidRPr="00CA1D9F">
        <w:rPr>
          <w:color w:val="auto"/>
        </w:rPr>
        <w:t xml:space="preserve">, </w:t>
      </w:r>
      <w:r>
        <w:rPr>
          <w:color w:val="auto"/>
        </w:rPr>
        <w:t>t</w:t>
      </w:r>
      <w:r w:rsidR="00435E54" w:rsidRPr="00CA1D9F">
        <w:rPr>
          <w:color w:val="auto"/>
        </w:rPr>
        <w:t xml:space="preserve">he 113 SAIDI value identified in the </w:t>
      </w:r>
      <w:r w:rsidR="00CD7612">
        <w:rPr>
          <w:color w:val="auto"/>
        </w:rPr>
        <w:t>Study</w:t>
      </w:r>
      <w:r w:rsidR="00435E54" w:rsidRPr="00CA1D9F">
        <w:rPr>
          <w:color w:val="auto"/>
        </w:rPr>
        <w:t xml:space="preserve"> for Puget Sound Energy is less than the median value for utilities reporting their SAIDI in the annual IEEE reliability survey</w:t>
      </w:r>
      <w:r w:rsidR="0085270C" w:rsidRPr="00CA1D9F">
        <w:rPr>
          <w:color w:val="auto"/>
        </w:rPr>
        <w:t xml:space="preserve"> </w:t>
      </w:r>
      <w:r w:rsidR="0085270C">
        <w:rPr>
          <w:color w:val="auto"/>
          <w:sz w:val="23"/>
          <w:szCs w:val="23"/>
        </w:rPr>
        <w:t>for 2016</w:t>
      </w:r>
      <w:r w:rsidR="00435E54" w:rsidRPr="00DB4A0A">
        <w:rPr>
          <w:color w:val="auto"/>
          <w:sz w:val="23"/>
          <w:szCs w:val="23"/>
        </w:rPr>
        <w:t xml:space="preserve"> </w:t>
      </w:r>
      <w:r w:rsidR="00435E54" w:rsidRPr="00CA1D9F">
        <w:rPr>
          <w:color w:val="auto"/>
        </w:rPr>
        <w:t>(see Figure 2 below).  In the case of SAIFI, the report identified a value 0.9 which would be 1</w:t>
      </w:r>
      <w:r w:rsidR="00435E54" w:rsidRPr="00CA1D9F">
        <w:rPr>
          <w:color w:val="auto"/>
          <w:vertAlign w:val="superscript"/>
        </w:rPr>
        <w:t>st</w:t>
      </w:r>
      <w:r w:rsidR="00435E54" w:rsidRPr="00CA1D9F">
        <w:rPr>
          <w:color w:val="auto"/>
        </w:rPr>
        <w:t xml:space="preserve"> quartile performance in the annual IEEE reliability survey </w:t>
      </w:r>
      <w:r w:rsidR="0085270C">
        <w:rPr>
          <w:color w:val="auto"/>
          <w:sz w:val="23"/>
          <w:szCs w:val="23"/>
        </w:rPr>
        <w:t>for 2016</w:t>
      </w:r>
      <w:r w:rsidR="00E057F1">
        <w:rPr>
          <w:color w:val="auto"/>
          <w:sz w:val="23"/>
          <w:szCs w:val="23"/>
        </w:rPr>
        <w:t xml:space="preserve"> </w:t>
      </w:r>
      <w:r w:rsidR="00435E54" w:rsidRPr="00CA1D9F">
        <w:rPr>
          <w:color w:val="auto"/>
        </w:rPr>
        <w:t xml:space="preserve">(see Figure 3 below).  These results suggest that a utility with a service territory in a densely forested, mountainous region that experiences regular storms has the characteristics of </w:t>
      </w:r>
      <w:r w:rsidR="00435E54" w:rsidRPr="00DB4A0A">
        <w:rPr>
          <w:color w:val="auto"/>
          <w:sz w:val="23"/>
          <w:szCs w:val="23"/>
        </w:rPr>
        <w:t>a</w:t>
      </w:r>
      <w:r w:rsidR="0085270C">
        <w:rPr>
          <w:color w:val="auto"/>
          <w:sz w:val="23"/>
          <w:szCs w:val="23"/>
        </w:rPr>
        <w:t xml:space="preserve"> </w:t>
      </w:r>
      <w:r w:rsidR="00435E54" w:rsidRPr="00DB4A0A">
        <w:rPr>
          <w:color w:val="auto"/>
          <w:sz w:val="23"/>
          <w:szCs w:val="23"/>
        </w:rPr>
        <w:t>utility</w:t>
      </w:r>
      <w:r w:rsidR="0085270C">
        <w:rPr>
          <w:color w:val="auto"/>
          <w:sz w:val="23"/>
          <w:szCs w:val="23"/>
        </w:rPr>
        <w:t xml:space="preserve"> with better than</w:t>
      </w:r>
      <w:r w:rsidR="0085270C" w:rsidRPr="00CA1D9F">
        <w:rPr>
          <w:color w:val="auto"/>
        </w:rPr>
        <w:t xml:space="preserve"> average </w:t>
      </w:r>
      <w:r w:rsidR="0085270C">
        <w:rPr>
          <w:color w:val="auto"/>
          <w:sz w:val="23"/>
          <w:szCs w:val="23"/>
        </w:rPr>
        <w:t>reliability</w:t>
      </w:r>
      <w:r w:rsidR="00435E54" w:rsidRPr="00DB4A0A">
        <w:rPr>
          <w:color w:val="auto"/>
          <w:sz w:val="23"/>
          <w:szCs w:val="23"/>
        </w:rPr>
        <w:t>.</w:t>
      </w:r>
      <w:r w:rsidR="00435E54" w:rsidRPr="00CA1D9F">
        <w:rPr>
          <w:color w:val="auto"/>
        </w:rPr>
        <w:t xml:space="preserve">  This does not make sense intuitively.  Puget Sound Energy estimates that to meet these </w:t>
      </w:r>
      <w:r w:rsidR="00CD7612">
        <w:rPr>
          <w:color w:val="auto"/>
        </w:rPr>
        <w:t>SAIDI and SAIFI benchmarks iden</w:t>
      </w:r>
      <w:r w:rsidR="00E23F1B">
        <w:rPr>
          <w:color w:val="auto"/>
        </w:rPr>
        <w:t>ti</w:t>
      </w:r>
      <w:r w:rsidR="00CD7612">
        <w:rPr>
          <w:color w:val="auto"/>
        </w:rPr>
        <w:t xml:space="preserve">fied in the Study </w:t>
      </w:r>
      <w:r w:rsidR="00435E54" w:rsidRPr="00CA1D9F">
        <w:rPr>
          <w:color w:val="auto"/>
        </w:rPr>
        <w:t xml:space="preserve">would require </w:t>
      </w:r>
      <w:r w:rsidR="00435E54" w:rsidRPr="00211B64">
        <w:rPr>
          <w:color w:val="auto"/>
        </w:rPr>
        <w:t xml:space="preserve">upwards of $1.5B - $2.0B in investment.  </w:t>
      </w:r>
      <w:r w:rsidR="004B7E17" w:rsidRPr="007B6C87">
        <w:rPr>
          <w:color w:val="auto"/>
        </w:rPr>
        <w:t xml:space="preserve">This is much greater than historical spending on reliability and would require resources that </w:t>
      </w:r>
      <w:r w:rsidR="00E23F1B" w:rsidRPr="007B6C87">
        <w:rPr>
          <w:color w:val="auto"/>
        </w:rPr>
        <w:t xml:space="preserve">are not </w:t>
      </w:r>
      <w:r w:rsidR="004B7E17" w:rsidRPr="007B6C87">
        <w:rPr>
          <w:color w:val="auto"/>
        </w:rPr>
        <w:t>currently available</w:t>
      </w:r>
      <w:r w:rsidR="00140E10" w:rsidRPr="007B6C87">
        <w:rPr>
          <w:color w:val="auto"/>
        </w:rPr>
        <w:t xml:space="preserve">. </w:t>
      </w:r>
      <w:r w:rsidR="004B7E17" w:rsidRPr="007B6C87">
        <w:rPr>
          <w:color w:val="auto"/>
        </w:rPr>
        <w:t xml:space="preserve"> </w:t>
      </w:r>
      <w:r w:rsidR="00140E10" w:rsidRPr="007B6C87">
        <w:rPr>
          <w:color w:val="auto"/>
        </w:rPr>
        <w:t>Given that it would take time to adjust to a significant increase in investment and that t</w:t>
      </w:r>
      <w:r w:rsidR="004B7E17" w:rsidRPr="007B6C87">
        <w:rPr>
          <w:color w:val="auto"/>
        </w:rPr>
        <w:t xml:space="preserve">he </w:t>
      </w:r>
      <w:r w:rsidR="00140E10" w:rsidRPr="007B6C87">
        <w:rPr>
          <w:color w:val="auto"/>
        </w:rPr>
        <w:t xml:space="preserve">targets in the </w:t>
      </w:r>
      <w:r w:rsidR="00CD7612" w:rsidRPr="007B6C87">
        <w:rPr>
          <w:color w:val="auto"/>
        </w:rPr>
        <w:t>Study</w:t>
      </w:r>
      <w:r w:rsidR="00140E10" w:rsidRPr="007B6C87">
        <w:rPr>
          <w:color w:val="auto"/>
        </w:rPr>
        <w:t xml:space="preserve"> </w:t>
      </w:r>
      <w:r w:rsidR="004B7E17" w:rsidRPr="007B6C87">
        <w:rPr>
          <w:color w:val="auto"/>
        </w:rPr>
        <w:t>are intended to be long term predictions of what a utility might achiev</w:t>
      </w:r>
      <w:r w:rsidR="00140E10" w:rsidRPr="007B6C87">
        <w:rPr>
          <w:color w:val="auto"/>
        </w:rPr>
        <w:t>e</w:t>
      </w:r>
      <w:r w:rsidR="00CD7612" w:rsidRPr="007B6C87">
        <w:rPr>
          <w:color w:val="auto"/>
        </w:rPr>
        <w:t xml:space="preserve"> as stated in the conclusion of the Study</w:t>
      </w:r>
      <w:r w:rsidR="00140E10" w:rsidRPr="007B6C87">
        <w:rPr>
          <w:color w:val="auto"/>
        </w:rPr>
        <w:t xml:space="preserve">, it would not be </w:t>
      </w:r>
      <w:r w:rsidR="00BC795D" w:rsidRPr="007B6C87">
        <w:rPr>
          <w:color w:val="auto"/>
        </w:rPr>
        <w:t>reasonable to use the benchmarks as short term targets</w:t>
      </w:r>
      <w:r w:rsidR="00140E10" w:rsidRPr="007B6C87">
        <w:rPr>
          <w:color w:val="auto"/>
        </w:rPr>
        <w:t>.</w:t>
      </w:r>
      <w:r w:rsidR="004B7E17" w:rsidRPr="00211B64">
        <w:rPr>
          <w:color w:val="auto"/>
        </w:rPr>
        <w:t xml:space="preserve"> </w:t>
      </w:r>
      <w:r w:rsidR="00BC795D" w:rsidRPr="00211B64">
        <w:rPr>
          <w:color w:val="auto"/>
        </w:rPr>
        <w:t xml:space="preserve"> Also, i</w:t>
      </w:r>
      <w:r w:rsidR="00E7667F" w:rsidRPr="00211B64">
        <w:rPr>
          <w:color w:val="auto"/>
        </w:rPr>
        <w:t xml:space="preserve">f the </w:t>
      </w:r>
      <w:r w:rsidR="00CD7612" w:rsidRPr="00211B64">
        <w:rPr>
          <w:color w:val="auto"/>
        </w:rPr>
        <w:t>S</w:t>
      </w:r>
      <w:r w:rsidR="00E7667F" w:rsidRPr="00211B64">
        <w:rPr>
          <w:color w:val="auto"/>
        </w:rPr>
        <w:t xml:space="preserve">tudy is used to set penalties when </w:t>
      </w:r>
      <w:r w:rsidR="00CD7612" w:rsidRPr="00211B64">
        <w:rPr>
          <w:color w:val="auto"/>
        </w:rPr>
        <w:t xml:space="preserve">long-term </w:t>
      </w:r>
      <w:r w:rsidR="00E7667F" w:rsidRPr="00211B64">
        <w:rPr>
          <w:color w:val="auto"/>
        </w:rPr>
        <w:t xml:space="preserve">performance is worse than the </w:t>
      </w:r>
      <w:r w:rsidR="00CD7612" w:rsidRPr="00211B64">
        <w:rPr>
          <w:color w:val="auto"/>
        </w:rPr>
        <w:t xml:space="preserve">Study’s </w:t>
      </w:r>
      <w:r w:rsidR="00F44F17" w:rsidRPr="00211B64">
        <w:rPr>
          <w:color w:val="auto"/>
        </w:rPr>
        <w:t xml:space="preserve">expected </w:t>
      </w:r>
      <w:r w:rsidR="00E7667F" w:rsidRPr="00211B64">
        <w:rPr>
          <w:color w:val="auto"/>
        </w:rPr>
        <w:t xml:space="preserve">reliability targets </w:t>
      </w:r>
      <w:r w:rsidR="008319D7" w:rsidRPr="00211B64">
        <w:rPr>
          <w:color w:val="auto"/>
        </w:rPr>
        <w:t xml:space="preserve">and there is no </w:t>
      </w:r>
      <w:r w:rsidR="00E7667F" w:rsidRPr="00211B64">
        <w:rPr>
          <w:color w:val="auto"/>
        </w:rPr>
        <w:t>fully supporting recovery of investments</w:t>
      </w:r>
      <w:r w:rsidR="008319D7" w:rsidRPr="00211B64">
        <w:rPr>
          <w:color w:val="auto"/>
        </w:rPr>
        <w:t xml:space="preserve"> from the Commission</w:t>
      </w:r>
      <w:r w:rsidR="00E7667F" w:rsidRPr="00211B64">
        <w:rPr>
          <w:color w:val="auto"/>
        </w:rPr>
        <w:t>, then the benchmarks are not reasonable targets.</w:t>
      </w:r>
      <w:r w:rsidR="00211B64" w:rsidRPr="00211B64">
        <w:rPr>
          <w:color w:val="auto"/>
        </w:rPr>
        <w:t xml:space="preserve"> </w:t>
      </w:r>
    </w:p>
    <w:p w14:paraId="00C06095" w14:textId="77777777" w:rsidR="00211B64" w:rsidRDefault="00211B64" w:rsidP="007B6C87">
      <w:pPr>
        <w:pStyle w:val="Default"/>
        <w:ind w:left="360"/>
        <w:rPr>
          <w:color w:val="auto"/>
        </w:rPr>
      </w:pPr>
    </w:p>
    <w:p w14:paraId="00C06096" w14:textId="77777777" w:rsidR="008D6BE0" w:rsidRPr="00CA1D9F" w:rsidRDefault="00EB4B34" w:rsidP="007B6C87">
      <w:pPr>
        <w:pStyle w:val="Default"/>
        <w:numPr>
          <w:ilvl w:val="0"/>
          <w:numId w:val="11"/>
        </w:numPr>
        <w:ind w:left="720"/>
        <w:rPr>
          <w:color w:val="auto"/>
        </w:rPr>
      </w:pPr>
      <w:r w:rsidRPr="00CA1D9F">
        <w:rPr>
          <w:color w:val="auto"/>
        </w:rPr>
        <w:t>Relative to the reasonableness</w:t>
      </w:r>
      <w:r w:rsidR="0085270C">
        <w:rPr>
          <w:color w:val="auto"/>
          <w:sz w:val="23"/>
          <w:szCs w:val="23"/>
        </w:rPr>
        <w:t xml:space="preserve"> of the target range</w:t>
      </w:r>
      <w:r w:rsidR="00211B64">
        <w:rPr>
          <w:color w:val="auto"/>
          <w:sz w:val="23"/>
          <w:szCs w:val="23"/>
        </w:rPr>
        <w:t xml:space="preserve">s, </w:t>
      </w:r>
      <w:r w:rsidR="00B82D8C">
        <w:rPr>
          <w:color w:val="auto"/>
          <w:sz w:val="23"/>
          <w:szCs w:val="23"/>
        </w:rPr>
        <w:t>p</w:t>
      </w:r>
      <w:r w:rsidR="008D6BE0" w:rsidRPr="00CA1D9F">
        <w:rPr>
          <w:color w:val="auto"/>
        </w:rPr>
        <w:t xml:space="preserve">age 25 of the </w:t>
      </w:r>
      <w:r w:rsidR="00F44F17">
        <w:rPr>
          <w:color w:val="auto"/>
        </w:rPr>
        <w:t>S</w:t>
      </w:r>
      <w:r w:rsidR="008D6BE0" w:rsidRPr="00CA1D9F">
        <w:rPr>
          <w:color w:val="auto"/>
        </w:rPr>
        <w:t>tudy states “…the model results possess a degree of uncertainty. Accordingly, the expected targets should be considered approximations</w:t>
      </w:r>
      <w:r w:rsidR="008D6BE0" w:rsidRPr="00C20A86">
        <w:t xml:space="preserve"> </w:t>
      </w:r>
      <w:r w:rsidR="008D6BE0" w:rsidRPr="00CA1D9F">
        <w:rPr>
          <w:color w:val="auto"/>
        </w:rPr>
        <w:t xml:space="preserve">while the confidence intervals surrounding each target give some sense of the degree of uncertainty for that target.”  The level of uncertainty for the SAIDI range given for Puget Sound Energy spans 3 quartiles of performance as defined by the annual IEEE reliability survey </w:t>
      </w:r>
      <w:r w:rsidR="0085270C">
        <w:rPr>
          <w:color w:val="auto"/>
          <w:sz w:val="23"/>
          <w:szCs w:val="23"/>
        </w:rPr>
        <w:t xml:space="preserve">for 2016 </w:t>
      </w:r>
      <w:r w:rsidR="008D6BE0" w:rsidRPr="00CA1D9F">
        <w:rPr>
          <w:color w:val="auto"/>
        </w:rPr>
        <w:t xml:space="preserve">(see Figure 2 below).  </w:t>
      </w:r>
      <w:r w:rsidR="0038170B" w:rsidRPr="00CA1D9F">
        <w:rPr>
          <w:color w:val="auto"/>
        </w:rPr>
        <w:t xml:space="preserve">The range given for SAIFI is similarly broad (see Figure 3).  </w:t>
      </w:r>
      <w:r w:rsidR="008D6BE0" w:rsidRPr="00CA1D9F">
        <w:rPr>
          <w:color w:val="auto"/>
        </w:rPr>
        <w:t xml:space="preserve">This </w:t>
      </w:r>
      <w:r w:rsidR="0038170B">
        <w:rPr>
          <w:color w:val="auto"/>
        </w:rPr>
        <w:t>wide</w:t>
      </w:r>
      <w:r w:rsidR="008D6BE0" w:rsidRPr="00CA1D9F">
        <w:rPr>
          <w:color w:val="auto"/>
        </w:rPr>
        <w:t xml:space="preserve"> range of possible values suggests that </w:t>
      </w:r>
      <w:r w:rsidR="00A618C0">
        <w:rPr>
          <w:color w:val="auto"/>
        </w:rPr>
        <w:t xml:space="preserve">the model </w:t>
      </w:r>
      <w:r w:rsidR="008D6BE0" w:rsidRPr="00CA1D9F">
        <w:rPr>
          <w:color w:val="auto"/>
        </w:rPr>
        <w:t>has a high le</w:t>
      </w:r>
      <w:r w:rsidR="00A618C0">
        <w:rPr>
          <w:color w:val="auto"/>
        </w:rPr>
        <w:t xml:space="preserve">vel of uncertainty and that therefore, using the point targets may not be reasonable.   </w:t>
      </w:r>
    </w:p>
    <w:p w14:paraId="00C06097" w14:textId="77777777" w:rsidR="000514E8" w:rsidRDefault="000514E8" w:rsidP="007B6C87">
      <w:pPr>
        <w:pStyle w:val="Default"/>
        <w:spacing w:after="56"/>
        <w:ind w:left="360"/>
        <w:rPr>
          <w:color w:val="C00000"/>
          <w:sz w:val="23"/>
          <w:szCs w:val="23"/>
        </w:rPr>
      </w:pPr>
    </w:p>
    <w:p w14:paraId="00C06098" w14:textId="77777777" w:rsidR="00E14D28" w:rsidRDefault="00435E54" w:rsidP="00315C8E">
      <w:pPr>
        <w:pStyle w:val="Caption"/>
        <w:keepNext/>
        <w:jc w:val="center"/>
      </w:pPr>
      <w:r w:rsidRPr="00CA1D9F">
        <w:rPr>
          <w:rFonts w:ascii="Times New Roman" w:hAnsi="Times New Roman"/>
          <w:sz w:val="24"/>
        </w:rPr>
        <w:lastRenderedPageBreak/>
        <w:t xml:space="preserve">Figure </w:t>
      </w:r>
      <w:r w:rsidRPr="00CA1D9F">
        <w:rPr>
          <w:rFonts w:ascii="Times New Roman" w:hAnsi="Times New Roman"/>
          <w:sz w:val="24"/>
        </w:rPr>
        <w:fldChar w:fldCharType="begin"/>
      </w:r>
      <w:r w:rsidRPr="00CA1D9F">
        <w:rPr>
          <w:rFonts w:ascii="Times New Roman" w:hAnsi="Times New Roman"/>
          <w:sz w:val="24"/>
        </w:rPr>
        <w:instrText xml:space="preserve"> SEQ Figure \* ARABIC </w:instrText>
      </w:r>
      <w:r w:rsidRPr="00CA1D9F">
        <w:rPr>
          <w:rFonts w:ascii="Times New Roman" w:hAnsi="Times New Roman"/>
          <w:sz w:val="24"/>
        </w:rPr>
        <w:fldChar w:fldCharType="separate"/>
      </w:r>
      <w:r w:rsidR="007F7695">
        <w:rPr>
          <w:rFonts w:ascii="Times New Roman" w:hAnsi="Times New Roman"/>
          <w:noProof/>
          <w:sz w:val="24"/>
        </w:rPr>
        <w:t>2</w:t>
      </w:r>
      <w:r w:rsidRPr="00CA1D9F">
        <w:rPr>
          <w:rFonts w:ascii="Times New Roman" w:hAnsi="Times New Roman"/>
          <w:sz w:val="24"/>
        </w:rPr>
        <w:fldChar w:fldCharType="end"/>
      </w:r>
      <w:r w:rsidRPr="00CA1D9F">
        <w:rPr>
          <w:rFonts w:ascii="Times New Roman" w:hAnsi="Times New Roman"/>
          <w:sz w:val="24"/>
        </w:rPr>
        <w:t xml:space="preserve">. </w:t>
      </w:r>
      <w:r w:rsidR="00F44F17">
        <w:rPr>
          <w:rFonts w:ascii="Times New Roman" w:hAnsi="Times New Roman"/>
          <w:sz w:val="24"/>
        </w:rPr>
        <w:t xml:space="preserve">Target SAIDI range for Puget Sound Energy per the Study and </w:t>
      </w:r>
      <w:r w:rsidRPr="00CA1D9F">
        <w:rPr>
          <w:rFonts w:ascii="Times New Roman" w:hAnsi="Times New Roman"/>
          <w:sz w:val="24"/>
        </w:rPr>
        <w:t>Annual IEEE reliability survey SAIDI results for 2016</w:t>
      </w:r>
    </w:p>
    <w:p w14:paraId="00C06099" w14:textId="77777777" w:rsidR="00315C8E" w:rsidRDefault="00315C8E" w:rsidP="00E40DAF">
      <w:pPr>
        <w:pStyle w:val="Default"/>
        <w:spacing w:after="56"/>
        <w:rPr>
          <w:color w:val="C00000"/>
          <w:sz w:val="23"/>
          <w:szCs w:val="23"/>
        </w:rPr>
      </w:pPr>
      <w:r>
        <w:rPr>
          <w:noProof/>
        </w:rPr>
        <w:drawing>
          <wp:inline distT="0" distB="0" distL="0" distR="0" wp14:anchorId="00C060AF" wp14:editId="00C060B0">
            <wp:extent cx="5956419" cy="2777383"/>
            <wp:effectExtent l="0" t="0" r="25400"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C0609A" w14:textId="77777777" w:rsidR="00E14D28" w:rsidRPr="00CA1D9F" w:rsidRDefault="00E14D28" w:rsidP="00E40DAF">
      <w:pPr>
        <w:pStyle w:val="Default"/>
        <w:spacing w:after="56"/>
        <w:rPr>
          <w:color w:val="C00000"/>
        </w:rPr>
      </w:pPr>
    </w:p>
    <w:p w14:paraId="00C0609B" w14:textId="77777777" w:rsidR="00435E54" w:rsidRPr="00CA1D9F" w:rsidRDefault="00435E54" w:rsidP="001B4970">
      <w:pPr>
        <w:pStyle w:val="Caption"/>
        <w:keepNext/>
        <w:jc w:val="center"/>
        <w:rPr>
          <w:rFonts w:ascii="Times New Roman" w:hAnsi="Times New Roman"/>
          <w:sz w:val="24"/>
        </w:rPr>
      </w:pPr>
      <w:r w:rsidRPr="00CA1D9F">
        <w:rPr>
          <w:rFonts w:ascii="Times New Roman" w:hAnsi="Times New Roman"/>
          <w:sz w:val="24"/>
        </w:rPr>
        <w:t xml:space="preserve">Figure </w:t>
      </w:r>
      <w:r w:rsidRPr="00CA1D9F">
        <w:rPr>
          <w:rFonts w:ascii="Times New Roman" w:hAnsi="Times New Roman"/>
          <w:sz w:val="24"/>
        </w:rPr>
        <w:fldChar w:fldCharType="begin"/>
      </w:r>
      <w:r w:rsidRPr="00CA1D9F">
        <w:rPr>
          <w:rFonts w:ascii="Times New Roman" w:hAnsi="Times New Roman"/>
          <w:sz w:val="24"/>
        </w:rPr>
        <w:instrText xml:space="preserve"> SEQ Figure \* ARABIC </w:instrText>
      </w:r>
      <w:r w:rsidRPr="00CA1D9F">
        <w:rPr>
          <w:rFonts w:ascii="Times New Roman" w:hAnsi="Times New Roman"/>
          <w:sz w:val="24"/>
        </w:rPr>
        <w:fldChar w:fldCharType="separate"/>
      </w:r>
      <w:r w:rsidR="007F7695">
        <w:rPr>
          <w:rFonts w:ascii="Times New Roman" w:hAnsi="Times New Roman"/>
          <w:noProof/>
          <w:sz w:val="24"/>
        </w:rPr>
        <w:t>3</w:t>
      </w:r>
      <w:r w:rsidRPr="00CA1D9F">
        <w:rPr>
          <w:rFonts w:ascii="Times New Roman" w:hAnsi="Times New Roman"/>
          <w:sz w:val="24"/>
        </w:rPr>
        <w:fldChar w:fldCharType="end"/>
      </w:r>
      <w:r w:rsidRPr="00CA1D9F">
        <w:rPr>
          <w:rFonts w:ascii="Times New Roman" w:hAnsi="Times New Roman"/>
          <w:sz w:val="24"/>
        </w:rPr>
        <w:t xml:space="preserve">. </w:t>
      </w:r>
      <w:r w:rsidR="00F44F17">
        <w:rPr>
          <w:rFonts w:ascii="Times New Roman" w:hAnsi="Times New Roman"/>
          <w:sz w:val="24"/>
        </w:rPr>
        <w:t xml:space="preserve">Target SAIFI range for Puget Sound Energy per the Study and </w:t>
      </w:r>
      <w:r w:rsidRPr="00CA1D9F">
        <w:rPr>
          <w:rFonts w:ascii="Times New Roman" w:hAnsi="Times New Roman"/>
          <w:sz w:val="24"/>
        </w:rPr>
        <w:t>Annual IEEE reliability survey SAIFI results for 2016</w:t>
      </w:r>
    </w:p>
    <w:p w14:paraId="00C0609C" w14:textId="77777777" w:rsidR="001C3F60" w:rsidRDefault="00315C8E" w:rsidP="00E40DAF">
      <w:pPr>
        <w:pStyle w:val="Default"/>
        <w:spacing w:after="56"/>
        <w:rPr>
          <w:color w:val="C00000"/>
          <w:sz w:val="23"/>
          <w:szCs w:val="23"/>
        </w:rPr>
      </w:pPr>
      <w:r>
        <w:rPr>
          <w:noProof/>
        </w:rPr>
        <w:drawing>
          <wp:inline distT="0" distB="0" distL="0" distR="0" wp14:anchorId="00C060B1" wp14:editId="00C060B2">
            <wp:extent cx="5973511" cy="2777383"/>
            <wp:effectExtent l="0" t="0" r="27305" b="234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C0609D" w14:textId="77777777" w:rsidR="00315C8E" w:rsidRDefault="00315C8E" w:rsidP="00E40DAF">
      <w:pPr>
        <w:pStyle w:val="Default"/>
        <w:spacing w:after="56"/>
        <w:rPr>
          <w:color w:val="C00000"/>
          <w:sz w:val="23"/>
          <w:szCs w:val="23"/>
        </w:rPr>
      </w:pPr>
    </w:p>
    <w:p w14:paraId="00C0609E" w14:textId="77777777" w:rsidR="00A87F7E" w:rsidRDefault="00E40DAF" w:rsidP="00E40DAF">
      <w:pPr>
        <w:pStyle w:val="Default"/>
        <w:rPr>
          <w:b/>
        </w:rPr>
      </w:pPr>
      <w:r w:rsidRPr="00CA1D9F">
        <w:rPr>
          <w:b/>
        </w:rPr>
        <w:t>10. Please provide any additional commentary you believe the commission should consider when determining whether or how, to use the study from Power System Engineering to establish reliability benchmarks or to evaluate investments in reliability.</w:t>
      </w:r>
    </w:p>
    <w:p w14:paraId="00C0609F" w14:textId="77777777" w:rsidR="005B63BF" w:rsidRDefault="001810A5" w:rsidP="007B6C87">
      <w:pPr>
        <w:pStyle w:val="Default"/>
        <w:rPr>
          <w:color w:val="auto"/>
          <w:highlight w:val="yellow"/>
        </w:rPr>
      </w:pPr>
      <w:r w:rsidRPr="00CA1D9F">
        <w:t xml:space="preserve">Many forces </w:t>
      </w:r>
      <w:r w:rsidR="00030024" w:rsidRPr="00CA1D9F">
        <w:t xml:space="preserve">that </w:t>
      </w:r>
      <w:r w:rsidR="00975E23" w:rsidRPr="00CA1D9F">
        <w:t>have a large impact on r</w:t>
      </w:r>
      <w:r w:rsidRPr="00CA1D9F">
        <w:t xml:space="preserve">eliability are not consistent, predictable or controllable.  Add to this that every customer has unique </w:t>
      </w:r>
      <w:r w:rsidR="002D13D6" w:rsidRPr="00CA1D9F">
        <w:t xml:space="preserve">and continually changing </w:t>
      </w:r>
      <w:r w:rsidRPr="00CA1D9F">
        <w:t xml:space="preserve">expectations, but cannot be served independently and it becomes </w:t>
      </w:r>
      <w:r w:rsidR="00F37CBF" w:rsidRPr="00CA1D9F">
        <w:t xml:space="preserve">clear that determining </w:t>
      </w:r>
      <w:r w:rsidR="00030024" w:rsidRPr="00CA1D9F">
        <w:t xml:space="preserve">and delivering a reasonable </w:t>
      </w:r>
      <w:r w:rsidR="00F37CBF" w:rsidRPr="00CA1D9F">
        <w:t xml:space="preserve">level of </w:t>
      </w:r>
      <w:r w:rsidR="00F37CBF" w:rsidRPr="00CA1D9F">
        <w:lastRenderedPageBreak/>
        <w:t xml:space="preserve">reliability is </w:t>
      </w:r>
      <w:r w:rsidR="002D13D6" w:rsidRPr="00CA1D9F">
        <w:t>not an exact science</w:t>
      </w:r>
      <w:r w:rsidR="00BE37E6" w:rsidRPr="00CA1D9F">
        <w:t xml:space="preserve">.  While an econometric study can be informative, </w:t>
      </w:r>
      <w:r w:rsidR="00EC4EFF" w:rsidRPr="00CA1D9F">
        <w:t>addit</w:t>
      </w:r>
      <w:r w:rsidR="00EC4EFF" w:rsidRPr="00881D8E">
        <w:t xml:space="preserve">ional information is necessary </w:t>
      </w:r>
      <w:r w:rsidR="003F0712" w:rsidRPr="00881D8E">
        <w:t>when</w:t>
      </w:r>
      <w:r w:rsidR="00EC4EFF" w:rsidRPr="00881D8E">
        <w:t xml:space="preserve"> develop</w:t>
      </w:r>
      <w:r w:rsidR="003F0712" w:rsidRPr="00881D8E">
        <w:t>ing</w:t>
      </w:r>
      <w:r w:rsidR="00EC4EFF" w:rsidRPr="00881D8E">
        <w:t xml:space="preserve"> reliability targets</w:t>
      </w:r>
      <w:r w:rsidR="000F6F5D" w:rsidRPr="00881D8E">
        <w:t xml:space="preserve"> and evaluating reliability investment</w:t>
      </w:r>
      <w:r w:rsidR="00EC4EFF" w:rsidRPr="00881D8E">
        <w:t>.</w:t>
      </w:r>
      <w:r w:rsidR="00F47EDA" w:rsidRPr="00881D8E">
        <w:t xml:space="preserve"> </w:t>
      </w:r>
    </w:p>
    <w:p w14:paraId="00C060A0" w14:textId="77777777" w:rsidR="00F5050D" w:rsidRDefault="00F5050D" w:rsidP="00F5050D">
      <w:pPr>
        <w:rPr>
          <w:color w:val="C00000"/>
        </w:rPr>
      </w:pPr>
    </w:p>
    <w:p w14:paraId="00C060A1" w14:textId="77777777" w:rsidR="00C60830" w:rsidRPr="00635054" w:rsidRDefault="00C60830" w:rsidP="00C60830">
      <w:pPr>
        <w:pStyle w:val="block"/>
        <w:rPr>
          <w:sz w:val="24"/>
          <w:szCs w:val="24"/>
        </w:rPr>
      </w:pPr>
      <w:r>
        <w:rPr>
          <w:sz w:val="24"/>
        </w:rPr>
        <w:t xml:space="preserve">Thank you for the opportunity to file these initial comments.  </w:t>
      </w:r>
      <w:r w:rsidR="002728CB">
        <w:rPr>
          <w:sz w:val="24"/>
        </w:rPr>
        <w:t>Puget Sound Energy</w:t>
      </w:r>
      <w:r>
        <w:rPr>
          <w:sz w:val="24"/>
        </w:rPr>
        <w:t xml:space="preserve"> looks forward to working with parties and providing additional comments as </w:t>
      </w:r>
      <w:r w:rsidR="007B6C87">
        <w:rPr>
          <w:sz w:val="24"/>
        </w:rPr>
        <w:t>these proceedings progress</w:t>
      </w:r>
      <w:r>
        <w:rPr>
          <w:sz w:val="24"/>
        </w:rPr>
        <w:t xml:space="preserve">.  </w:t>
      </w:r>
      <w:r w:rsidRPr="00635054">
        <w:rPr>
          <w:sz w:val="24"/>
          <w:szCs w:val="24"/>
        </w:rPr>
        <w:t xml:space="preserve">Please contact </w:t>
      </w:r>
      <w:r>
        <w:rPr>
          <w:sz w:val="24"/>
          <w:szCs w:val="24"/>
        </w:rPr>
        <w:t xml:space="preserve">   </w:t>
      </w:r>
      <w:r w:rsidR="00635E1B">
        <w:rPr>
          <w:sz w:val="24"/>
          <w:szCs w:val="24"/>
        </w:rPr>
        <w:t xml:space="preserve">Cathy </w:t>
      </w:r>
      <w:r w:rsidR="00635E1B" w:rsidRPr="00635E1B">
        <w:rPr>
          <w:sz w:val="24"/>
          <w:szCs w:val="24"/>
        </w:rPr>
        <w:t>Koch</w:t>
      </w:r>
      <w:r w:rsidR="00635E1B">
        <w:rPr>
          <w:sz w:val="24"/>
          <w:szCs w:val="24"/>
        </w:rPr>
        <w:t xml:space="preserve"> at (425) </w:t>
      </w:r>
      <w:r w:rsidR="00635E1B" w:rsidRPr="00635E1B">
        <w:rPr>
          <w:sz w:val="24"/>
          <w:szCs w:val="24"/>
        </w:rPr>
        <w:t>462-3877</w:t>
      </w:r>
      <w:r w:rsidR="00635E1B">
        <w:rPr>
          <w:sz w:val="24"/>
          <w:szCs w:val="24"/>
        </w:rPr>
        <w:t xml:space="preserve"> or Mei Cass</w:t>
      </w:r>
      <w:r>
        <w:rPr>
          <w:sz w:val="24"/>
          <w:szCs w:val="24"/>
        </w:rPr>
        <w:t xml:space="preserve"> </w:t>
      </w:r>
      <w:r w:rsidRPr="00635054">
        <w:rPr>
          <w:sz w:val="24"/>
          <w:szCs w:val="24"/>
        </w:rPr>
        <w:t>at (425)</w:t>
      </w:r>
      <w:r w:rsidR="00635E1B">
        <w:rPr>
          <w:sz w:val="24"/>
          <w:szCs w:val="24"/>
        </w:rPr>
        <w:t xml:space="preserve"> 462-3800</w:t>
      </w:r>
      <w:r w:rsidRPr="00635054">
        <w:rPr>
          <w:sz w:val="24"/>
          <w:szCs w:val="24"/>
        </w:rPr>
        <w:t xml:space="preserve"> for additional information about this filing.  If you have any other questions, please contact me at (425) 456-2110.</w:t>
      </w:r>
    </w:p>
    <w:p w14:paraId="00C060A2" w14:textId="77777777" w:rsidR="00C60830" w:rsidRPr="00635054" w:rsidRDefault="00C60830" w:rsidP="00C60830">
      <w:pPr>
        <w:rPr>
          <w:sz w:val="24"/>
          <w:szCs w:val="24"/>
        </w:rPr>
      </w:pPr>
    </w:p>
    <w:p w14:paraId="00C060A3" w14:textId="77777777" w:rsidR="00C60830" w:rsidRPr="00CA1D9F" w:rsidRDefault="00C60830" w:rsidP="00C60830">
      <w:pPr>
        <w:tabs>
          <w:tab w:val="left" w:pos="0"/>
        </w:tabs>
        <w:ind w:left="3960"/>
        <w:rPr>
          <w:rFonts w:ascii="Times New Roman" w:hAnsi="Times New Roman" w:cs="Times New Roman"/>
          <w:sz w:val="24"/>
          <w:szCs w:val="24"/>
        </w:rPr>
      </w:pPr>
      <w:r w:rsidRPr="00CA1D9F">
        <w:rPr>
          <w:rFonts w:ascii="Times New Roman" w:hAnsi="Times New Roman" w:cs="Times New Roman"/>
          <w:sz w:val="24"/>
          <w:szCs w:val="24"/>
        </w:rPr>
        <w:t>Sincerely,</w:t>
      </w:r>
    </w:p>
    <w:p w14:paraId="00C060A4" w14:textId="77777777" w:rsidR="00C60830" w:rsidRDefault="00C60830" w:rsidP="00C60830">
      <w:pPr>
        <w:tabs>
          <w:tab w:val="left" w:pos="0"/>
        </w:tabs>
        <w:spacing w:before="120" w:after="120"/>
        <w:ind w:left="3960"/>
        <w:rPr>
          <w:rFonts w:ascii="Kunstler Script" w:hAnsi="Kunstler Script" w:cs="Vijaya"/>
          <w:b/>
          <w:sz w:val="32"/>
          <w:szCs w:val="32"/>
        </w:rPr>
      </w:pPr>
      <w:r>
        <w:rPr>
          <w:rFonts w:ascii="Kunstler Script" w:hAnsi="Kunstler Script" w:cs="Vijaya"/>
          <w:b/>
          <w:sz w:val="32"/>
          <w:szCs w:val="32"/>
        </w:rPr>
        <w:t>/s/ Kenneth S. Johnson</w:t>
      </w:r>
    </w:p>
    <w:p w14:paraId="00C060A5" w14:textId="77777777" w:rsidR="00C60830" w:rsidRPr="00CA1D9F" w:rsidRDefault="00C60830" w:rsidP="00C60830">
      <w:pPr>
        <w:tabs>
          <w:tab w:val="left" w:pos="0"/>
        </w:tabs>
        <w:ind w:left="3960"/>
        <w:rPr>
          <w:rFonts w:ascii="Times New Roman" w:hAnsi="Times New Roman" w:cs="Times New Roman"/>
          <w:sz w:val="24"/>
          <w:szCs w:val="24"/>
        </w:rPr>
      </w:pPr>
      <w:r w:rsidRPr="00CA1D9F">
        <w:rPr>
          <w:rFonts w:ascii="Times New Roman" w:hAnsi="Times New Roman" w:cs="Times New Roman"/>
          <w:sz w:val="24"/>
          <w:szCs w:val="24"/>
        </w:rPr>
        <w:t>Ken Johnson</w:t>
      </w:r>
      <w:r w:rsidRPr="00CA1D9F">
        <w:rPr>
          <w:rFonts w:ascii="Times New Roman" w:hAnsi="Times New Roman" w:cs="Times New Roman"/>
          <w:sz w:val="24"/>
          <w:szCs w:val="24"/>
        </w:rPr>
        <w:br/>
        <w:t>Director, State Regulatory Affairs</w:t>
      </w:r>
      <w:r w:rsidRPr="00CA1D9F">
        <w:rPr>
          <w:rFonts w:ascii="Times New Roman" w:hAnsi="Times New Roman" w:cs="Times New Roman"/>
          <w:sz w:val="24"/>
          <w:szCs w:val="24"/>
        </w:rPr>
        <w:br/>
        <w:t>Puget Sound Energy</w:t>
      </w:r>
    </w:p>
    <w:p w14:paraId="00C060A6" w14:textId="77777777" w:rsidR="00C60830" w:rsidRPr="00CA1D9F" w:rsidRDefault="00C60830" w:rsidP="00C60830">
      <w:pPr>
        <w:tabs>
          <w:tab w:val="left" w:pos="0"/>
        </w:tabs>
        <w:ind w:left="3960"/>
        <w:rPr>
          <w:rFonts w:ascii="Times New Roman" w:hAnsi="Times New Roman" w:cs="Times New Roman"/>
          <w:sz w:val="24"/>
          <w:szCs w:val="24"/>
        </w:rPr>
      </w:pPr>
      <w:r w:rsidRPr="00CA1D9F">
        <w:rPr>
          <w:rFonts w:ascii="Times New Roman" w:hAnsi="Times New Roman" w:cs="Times New Roman"/>
          <w:sz w:val="24"/>
          <w:szCs w:val="24"/>
        </w:rPr>
        <w:t>PO Box 97034, PSE-08N</w:t>
      </w:r>
    </w:p>
    <w:p w14:paraId="00C060A7" w14:textId="77777777" w:rsidR="00C60830" w:rsidRPr="00CA1D9F" w:rsidRDefault="00C60830" w:rsidP="00C60830">
      <w:pPr>
        <w:tabs>
          <w:tab w:val="left" w:pos="0"/>
        </w:tabs>
        <w:ind w:left="3960"/>
        <w:rPr>
          <w:rFonts w:ascii="Times New Roman" w:hAnsi="Times New Roman" w:cs="Times New Roman"/>
          <w:sz w:val="24"/>
          <w:szCs w:val="24"/>
        </w:rPr>
      </w:pPr>
      <w:r w:rsidRPr="00CA1D9F">
        <w:rPr>
          <w:rFonts w:ascii="Times New Roman" w:hAnsi="Times New Roman" w:cs="Times New Roman"/>
          <w:sz w:val="24"/>
          <w:szCs w:val="24"/>
        </w:rPr>
        <w:t>Bellevue, WA  98009-9734</w:t>
      </w:r>
      <w:r w:rsidRPr="00CA1D9F">
        <w:rPr>
          <w:rFonts w:ascii="Times New Roman" w:hAnsi="Times New Roman" w:cs="Times New Roman"/>
          <w:sz w:val="24"/>
          <w:szCs w:val="24"/>
        </w:rPr>
        <w:br/>
        <w:t>425-456-2110</w:t>
      </w:r>
      <w:r w:rsidRPr="00CA1D9F">
        <w:rPr>
          <w:rFonts w:ascii="Times New Roman" w:hAnsi="Times New Roman" w:cs="Times New Roman"/>
          <w:sz w:val="24"/>
          <w:szCs w:val="24"/>
        </w:rPr>
        <w:br/>
      </w:r>
      <w:hyperlink r:id="rId16" w:history="1">
        <w:r w:rsidRPr="00CA1D9F">
          <w:rPr>
            <w:rStyle w:val="Hyperlink"/>
            <w:rFonts w:ascii="Times New Roman" w:hAnsi="Times New Roman" w:cs="Times New Roman"/>
            <w:sz w:val="24"/>
            <w:szCs w:val="24"/>
          </w:rPr>
          <w:t>ken.s.johnson@pse.com</w:t>
        </w:r>
      </w:hyperlink>
    </w:p>
    <w:p w14:paraId="00C060A8" w14:textId="77777777" w:rsidR="00C60830" w:rsidRPr="00635054" w:rsidRDefault="00C60830" w:rsidP="00C60830">
      <w:pPr>
        <w:pStyle w:val="plain"/>
        <w:rPr>
          <w:sz w:val="24"/>
          <w:szCs w:val="24"/>
        </w:rPr>
      </w:pPr>
    </w:p>
    <w:p w14:paraId="00C060A9" w14:textId="77777777" w:rsidR="00F5050D" w:rsidRDefault="00F5050D" w:rsidP="00F5050D">
      <w:pPr>
        <w:rPr>
          <w:color w:val="C00000"/>
        </w:rPr>
      </w:pPr>
    </w:p>
    <w:p w14:paraId="00C060AA" w14:textId="77777777" w:rsidR="00416575" w:rsidRPr="00F5050D" w:rsidRDefault="00416575" w:rsidP="00F5050D">
      <w:pPr>
        <w:rPr>
          <w:color w:val="C00000"/>
        </w:rPr>
      </w:pPr>
    </w:p>
    <w:sectPr w:rsidR="00416575" w:rsidRPr="00F5050D" w:rsidSect="00A4382E">
      <w:headerReference w:type="default" r:id="rId17"/>
      <w:pgSz w:w="12240" w:h="16340"/>
      <w:pgMar w:top="1440" w:right="1440" w:bottom="1440" w:left="1440" w:header="432"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060B6" w14:textId="77777777" w:rsidR="00C33BC6" w:rsidRDefault="00C33BC6" w:rsidP="001F08B1">
      <w:r>
        <w:separator/>
      </w:r>
    </w:p>
  </w:endnote>
  <w:endnote w:type="continuationSeparator" w:id="0">
    <w:p w14:paraId="00C060B7" w14:textId="77777777" w:rsidR="00C33BC6" w:rsidRDefault="00C33BC6" w:rsidP="001F08B1">
      <w:r>
        <w:continuationSeparator/>
      </w:r>
    </w:p>
  </w:endnote>
  <w:endnote w:type="continuationNotice" w:id="1">
    <w:p w14:paraId="00C060B8" w14:textId="77777777" w:rsidR="00C33BC6" w:rsidRDefault="00C33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060B3" w14:textId="77777777" w:rsidR="00C33BC6" w:rsidRDefault="00C33BC6" w:rsidP="001F08B1">
      <w:r>
        <w:separator/>
      </w:r>
    </w:p>
  </w:footnote>
  <w:footnote w:type="continuationSeparator" w:id="0">
    <w:p w14:paraId="00C060B4" w14:textId="77777777" w:rsidR="00C33BC6" w:rsidRDefault="00C33BC6" w:rsidP="001F08B1">
      <w:r>
        <w:continuationSeparator/>
      </w:r>
    </w:p>
  </w:footnote>
  <w:footnote w:type="continuationNotice" w:id="1">
    <w:p w14:paraId="00C060B5" w14:textId="77777777" w:rsidR="00C33BC6" w:rsidRDefault="00C33BC6"/>
  </w:footnote>
  <w:footnote w:id="2">
    <w:p w14:paraId="00C060BF" w14:textId="77777777" w:rsidR="00CB5A91" w:rsidRDefault="00CB5A91">
      <w:pPr>
        <w:pStyle w:val="FootnoteText"/>
      </w:pPr>
      <w:r>
        <w:rPr>
          <w:rStyle w:val="FootnoteReference"/>
        </w:rPr>
        <w:footnoteRef/>
      </w:r>
      <w:r>
        <w:t xml:space="preserve"> </w:t>
      </w:r>
      <w:r w:rsidRPr="00CB5A91">
        <w:t>www.powersystem.org/docs/publications/how-is-my-utility-performing.pdf</w:t>
      </w:r>
    </w:p>
  </w:footnote>
  <w:footnote w:id="3">
    <w:p w14:paraId="00C060C0" w14:textId="77777777" w:rsidR="00BC1F3D" w:rsidRDefault="00BC1F3D">
      <w:pPr>
        <w:pStyle w:val="FootnoteText"/>
      </w:pPr>
      <w:r>
        <w:rPr>
          <w:rStyle w:val="FootnoteReference"/>
        </w:rPr>
        <w:footnoteRef/>
      </w:r>
      <w:r>
        <w:t xml:space="preserve"> </w:t>
      </w:r>
      <w:r w:rsidRPr="00BC1F3D">
        <w:t>https://emp.lbl.gov/projects/economic-value-reliability-consumers</w:t>
      </w:r>
    </w:p>
  </w:footnote>
  <w:footnote w:id="4">
    <w:p w14:paraId="00C060C1" w14:textId="77777777" w:rsidR="00F152E6" w:rsidRDefault="00F152E6">
      <w:pPr>
        <w:pStyle w:val="FootnoteText"/>
      </w:pPr>
      <w:r>
        <w:rPr>
          <w:rStyle w:val="FootnoteReference"/>
        </w:rPr>
        <w:footnoteRef/>
      </w:r>
      <w:r>
        <w:t xml:space="preserve"> </w:t>
      </w:r>
      <w:r w:rsidRPr="00F152E6">
        <w:t>http://www.icecalculator.com/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60B9" w14:textId="77777777" w:rsidR="007F7695" w:rsidRDefault="007F7695" w:rsidP="00057D88">
    <w:pPr>
      <w:pStyle w:val="Header"/>
      <w:rPr>
        <w:rFonts w:ascii="Times New Roman" w:hAnsi="Times New Roman"/>
      </w:rPr>
    </w:pPr>
  </w:p>
  <w:p w14:paraId="00C060BA" w14:textId="77777777" w:rsidR="00140E10" w:rsidRPr="00CA1D9F" w:rsidRDefault="00140E10" w:rsidP="00057D88">
    <w:pPr>
      <w:pStyle w:val="Header"/>
      <w:rPr>
        <w:rFonts w:ascii="Times New Roman" w:hAnsi="Times New Roman"/>
      </w:rPr>
    </w:pPr>
    <w:r w:rsidRPr="00CA1D9F">
      <w:rPr>
        <w:rFonts w:ascii="Times New Roman" w:hAnsi="Times New Roman"/>
      </w:rPr>
      <w:t>Mr. Steven King</w:t>
    </w:r>
  </w:p>
  <w:p w14:paraId="00C060BB" w14:textId="77777777" w:rsidR="00140E10" w:rsidRPr="00CA1D9F" w:rsidRDefault="00140E10" w:rsidP="00057D88">
    <w:pPr>
      <w:pStyle w:val="Header"/>
      <w:rPr>
        <w:rFonts w:ascii="Times New Roman" w:hAnsi="Times New Roman"/>
      </w:rPr>
    </w:pPr>
    <w:r w:rsidRPr="00CA1D9F">
      <w:rPr>
        <w:rFonts w:ascii="Times New Roman" w:hAnsi="Times New Roman"/>
      </w:rPr>
      <w:t>August 21, 2017</w:t>
    </w:r>
  </w:p>
  <w:p w14:paraId="00C060BC" w14:textId="77777777" w:rsidR="00140E10" w:rsidRDefault="00140E10">
    <w:pPr>
      <w:pStyle w:val="Header"/>
      <w:rPr>
        <w:rFonts w:ascii="Times New Roman" w:hAnsi="Times New Roman"/>
        <w:sz w:val="23"/>
      </w:rPr>
    </w:pPr>
    <w:r w:rsidRPr="00CA1D9F">
      <w:rPr>
        <w:rFonts w:ascii="Times New Roman" w:hAnsi="Times New Roman"/>
      </w:rPr>
      <w:t xml:space="preserve">Page </w:t>
    </w:r>
    <w:r w:rsidRPr="00CA1D9F">
      <w:rPr>
        <w:rFonts w:ascii="Times New Roman" w:hAnsi="Times New Roman"/>
      </w:rPr>
      <w:fldChar w:fldCharType="begin"/>
    </w:r>
    <w:r>
      <w:instrText xml:space="preserve"> PAGE  \* Arabic </w:instrText>
    </w:r>
    <w:r w:rsidRPr="00CA1D9F">
      <w:rPr>
        <w:rFonts w:ascii="Times New Roman" w:hAnsi="Times New Roman"/>
      </w:rPr>
      <w:fldChar w:fldCharType="separate"/>
    </w:r>
    <w:r w:rsidR="00E41CF7">
      <w:rPr>
        <w:noProof/>
      </w:rPr>
      <w:t>2</w:t>
    </w:r>
    <w:r w:rsidRPr="00CA1D9F">
      <w:rPr>
        <w:rFonts w:ascii="Times New Roman" w:hAnsi="Times New Roman"/>
      </w:rPr>
      <w:fldChar w:fldCharType="end"/>
    </w:r>
    <w:r w:rsidRPr="00CA1D9F">
      <w:rPr>
        <w:rFonts w:ascii="Times New Roman" w:hAnsi="Times New Roman"/>
      </w:rPr>
      <w:t xml:space="preserve">, </w:t>
    </w:r>
    <w:r w:rsidRPr="00CA1D9F">
      <w:rPr>
        <w:rFonts w:ascii="Times New Roman" w:hAnsi="Times New Roman"/>
        <w:sz w:val="23"/>
      </w:rPr>
      <w:t>Docket U-151958</w:t>
    </w:r>
  </w:p>
  <w:p w14:paraId="00C060BD" w14:textId="77777777" w:rsidR="007F7695" w:rsidRDefault="007F7695">
    <w:pPr>
      <w:pStyle w:val="Header"/>
      <w:rPr>
        <w:rFonts w:ascii="Times New Roman" w:hAnsi="Times New Roman"/>
        <w:sz w:val="23"/>
      </w:rPr>
    </w:pPr>
  </w:p>
  <w:p w14:paraId="00C060BE" w14:textId="77777777" w:rsidR="007F7695" w:rsidRPr="00CA1D9F" w:rsidRDefault="007F7695">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7BCA"/>
    <w:multiLevelType w:val="hybridMultilevel"/>
    <w:tmpl w:val="909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B54EB"/>
    <w:multiLevelType w:val="hybridMultilevel"/>
    <w:tmpl w:val="265CE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25580"/>
    <w:multiLevelType w:val="hybridMultilevel"/>
    <w:tmpl w:val="8DA6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7F18"/>
    <w:multiLevelType w:val="hybridMultilevel"/>
    <w:tmpl w:val="0974F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5376C"/>
    <w:multiLevelType w:val="hybridMultilevel"/>
    <w:tmpl w:val="E62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D54"/>
    <w:multiLevelType w:val="hybridMultilevel"/>
    <w:tmpl w:val="330CD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83D57"/>
    <w:multiLevelType w:val="hybridMultilevel"/>
    <w:tmpl w:val="31AE264E"/>
    <w:lvl w:ilvl="0" w:tplc="ED3CD10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63B80"/>
    <w:multiLevelType w:val="hybridMultilevel"/>
    <w:tmpl w:val="DE38C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7078BD"/>
    <w:multiLevelType w:val="hybridMultilevel"/>
    <w:tmpl w:val="4DC87604"/>
    <w:lvl w:ilvl="0" w:tplc="D54A37F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B5183F"/>
    <w:multiLevelType w:val="hybridMultilevel"/>
    <w:tmpl w:val="E5907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A1599"/>
    <w:multiLevelType w:val="hybridMultilevel"/>
    <w:tmpl w:val="876E2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D5E46"/>
    <w:multiLevelType w:val="hybridMultilevel"/>
    <w:tmpl w:val="F2AAF7AC"/>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55540"/>
    <w:multiLevelType w:val="hybridMultilevel"/>
    <w:tmpl w:val="6C9035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3A5C5E"/>
    <w:multiLevelType w:val="hybridMultilevel"/>
    <w:tmpl w:val="B532B666"/>
    <w:lvl w:ilvl="0" w:tplc="7C426A0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97D2E"/>
    <w:multiLevelType w:val="hybridMultilevel"/>
    <w:tmpl w:val="C4C42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3"/>
  </w:num>
  <w:num w:numId="6">
    <w:abstractNumId w:val="3"/>
  </w:num>
  <w:num w:numId="7">
    <w:abstractNumId w:val="6"/>
  </w:num>
  <w:num w:numId="8">
    <w:abstractNumId w:val="9"/>
  </w:num>
  <w:num w:numId="9">
    <w:abstractNumId w:val="14"/>
  </w:num>
  <w:num w:numId="10">
    <w:abstractNumId w:val="1"/>
  </w:num>
  <w:num w:numId="11">
    <w:abstractNumId w:val="12"/>
  </w:num>
  <w:num w:numId="12">
    <w:abstractNumId w:val="7"/>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B0"/>
    <w:rsid w:val="00017F40"/>
    <w:rsid w:val="00022A58"/>
    <w:rsid w:val="00030024"/>
    <w:rsid w:val="00034A39"/>
    <w:rsid w:val="000514E8"/>
    <w:rsid w:val="00057D88"/>
    <w:rsid w:val="00072E52"/>
    <w:rsid w:val="000845EB"/>
    <w:rsid w:val="000F3B00"/>
    <w:rsid w:val="000F6F5D"/>
    <w:rsid w:val="0010284B"/>
    <w:rsid w:val="00105426"/>
    <w:rsid w:val="00132BD2"/>
    <w:rsid w:val="00134805"/>
    <w:rsid w:val="00140E10"/>
    <w:rsid w:val="00143B47"/>
    <w:rsid w:val="00152486"/>
    <w:rsid w:val="0015669A"/>
    <w:rsid w:val="00163444"/>
    <w:rsid w:val="00174A7B"/>
    <w:rsid w:val="001810A5"/>
    <w:rsid w:val="001B221B"/>
    <w:rsid w:val="001B4970"/>
    <w:rsid w:val="001C3F60"/>
    <w:rsid w:val="001D78C2"/>
    <w:rsid w:val="001E4DDA"/>
    <w:rsid w:val="001F08B1"/>
    <w:rsid w:val="001F4DD2"/>
    <w:rsid w:val="001F7F7A"/>
    <w:rsid w:val="00211B64"/>
    <w:rsid w:val="0021449A"/>
    <w:rsid w:val="00235F4B"/>
    <w:rsid w:val="00241B90"/>
    <w:rsid w:val="0025102F"/>
    <w:rsid w:val="002728CB"/>
    <w:rsid w:val="00276E86"/>
    <w:rsid w:val="002D13D6"/>
    <w:rsid w:val="00315C8E"/>
    <w:rsid w:val="00316E91"/>
    <w:rsid w:val="00332FB6"/>
    <w:rsid w:val="00355FDC"/>
    <w:rsid w:val="003618A1"/>
    <w:rsid w:val="0037142D"/>
    <w:rsid w:val="0037483B"/>
    <w:rsid w:val="0038170B"/>
    <w:rsid w:val="003821A7"/>
    <w:rsid w:val="00383483"/>
    <w:rsid w:val="00397DD8"/>
    <w:rsid w:val="003A061B"/>
    <w:rsid w:val="003A2774"/>
    <w:rsid w:val="003C2F03"/>
    <w:rsid w:val="003F0712"/>
    <w:rsid w:val="00416575"/>
    <w:rsid w:val="00417AC2"/>
    <w:rsid w:val="00435E54"/>
    <w:rsid w:val="00464B33"/>
    <w:rsid w:val="00467FDA"/>
    <w:rsid w:val="004709F7"/>
    <w:rsid w:val="0047431E"/>
    <w:rsid w:val="00480E3B"/>
    <w:rsid w:val="004A1229"/>
    <w:rsid w:val="004A32F3"/>
    <w:rsid w:val="004A48F0"/>
    <w:rsid w:val="004A6114"/>
    <w:rsid w:val="004B728D"/>
    <w:rsid w:val="004B7E17"/>
    <w:rsid w:val="004F0B45"/>
    <w:rsid w:val="00500123"/>
    <w:rsid w:val="0052244C"/>
    <w:rsid w:val="00534F91"/>
    <w:rsid w:val="00537190"/>
    <w:rsid w:val="00560664"/>
    <w:rsid w:val="00563234"/>
    <w:rsid w:val="00565233"/>
    <w:rsid w:val="00566E1F"/>
    <w:rsid w:val="00573CDE"/>
    <w:rsid w:val="005A1671"/>
    <w:rsid w:val="005B63BF"/>
    <w:rsid w:val="005C6B8E"/>
    <w:rsid w:val="005D38E5"/>
    <w:rsid w:val="005E325E"/>
    <w:rsid w:val="005F7459"/>
    <w:rsid w:val="006022E3"/>
    <w:rsid w:val="0062639F"/>
    <w:rsid w:val="006340AC"/>
    <w:rsid w:val="00635E1B"/>
    <w:rsid w:val="00637040"/>
    <w:rsid w:val="00643A15"/>
    <w:rsid w:val="00661403"/>
    <w:rsid w:val="00662798"/>
    <w:rsid w:val="00672506"/>
    <w:rsid w:val="0067356D"/>
    <w:rsid w:val="0069229C"/>
    <w:rsid w:val="006A1D06"/>
    <w:rsid w:val="006B24E9"/>
    <w:rsid w:val="006C2EF4"/>
    <w:rsid w:val="006E6003"/>
    <w:rsid w:val="006F3AEF"/>
    <w:rsid w:val="006F645B"/>
    <w:rsid w:val="00700097"/>
    <w:rsid w:val="007026B0"/>
    <w:rsid w:val="007032B2"/>
    <w:rsid w:val="007171BB"/>
    <w:rsid w:val="00723138"/>
    <w:rsid w:val="00723371"/>
    <w:rsid w:val="007247D4"/>
    <w:rsid w:val="00735D9F"/>
    <w:rsid w:val="007428DC"/>
    <w:rsid w:val="007429E5"/>
    <w:rsid w:val="00772E2D"/>
    <w:rsid w:val="00773BDF"/>
    <w:rsid w:val="007760D6"/>
    <w:rsid w:val="00780EE3"/>
    <w:rsid w:val="00787FBD"/>
    <w:rsid w:val="00793E6E"/>
    <w:rsid w:val="00796BD5"/>
    <w:rsid w:val="007A3762"/>
    <w:rsid w:val="007B5A2E"/>
    <w:rsid w:val="007B6C53"/>
    <w:rsid w:val="007B6C87"/>
    <w:rsid w:val="007C6C29"/>
    <w:rsid w:val="007D0A7A"/>
    <w:rsid w:val="007D6F58"/>
    <w:rsid w:val="007F7695"/>
    <w:rsid w:val="008107CA"/>
    <w:rsid w:val="008206B1"/>
    <w:rsid w:val="00827CA4"/>
    <w:rsid w:val="008319D7"/>
    <w:rsid w:val="00851C83"/>
    <w:rsid w:val="0085270C"/>
    <w:rsid w:val="008718E5"/>
    <w:rsid w:val="00881D8E"/>
    <w:rsid w:val="0088357E"/>
    <w:rsid w:val="0088755C"/>
    <w:rsid w:val="008D4C1E"/>
    <w:rsid w:val="008D6BE0"/>
    <w:rsid w:val="008E0D33"/>
    <w:rsid w:val="008F77EF"/>
    <w:rsid w:val="00900FB6"/>
    <w:rsid w:val="009345D9"/>
    <w:rsid w:val="009403C4"/>
    <w:rsid w:val="009453C6"/>
    <w:rsid w:val="009617EA"/>
    <w:rsid w:val="00975E23"/>
    <w:rsid w:val="009802CC"/>
    <w:rsid w:val="0098120F"/>
    <w:rsid w:val="00991087"/>
    <w:rsid w:val="009A4133"/>
    <w:rsid w:val="009B3A2C"/>
    <w:rsid w:val="009C34D8"/>
    <w:rsid w:val="009D41A9"/>
    <w:rsid w:val="009F350A"/>
    <w:rsid w:val="00A32100"/>
    <w:rsid w:val="00A42D71"/>
    <w:rsid w:val="00A42DC0"/>
    <w:rsid w:val="00A4382E"/>
    <w:rsid w:val="00A44ACE"/>
    <w:rsid w:val="00A50474"/>
    <w:rsid w:val="00A54744"/>
    <w:rsid w:val="00A60DCF"/>
    <w:rsid w:val="00A618C0"/>
    <w:rsid w:val="00A62C13"/>
    <w:rsid w:val="00A83535"/>
    <w:rsid w:val="00A87F7E"/>
    <w:rsid w:val="00A94E20"/>
    <w:rsid w:val="00AA0E59"/>
    <w:rsid w:val="00AB7457"/>
    <w:rsid w:val="00AC52A7"/>
    <w:rsid w:val="00AF0DDC"/>
    <w:rsid w:val="00AF49D5"/>
    <w:rsid w:val="00AF6663"/>
    <w:rsid w:val="00B17C1B"/>
    <w:rsid w:val="00B2160A"/>
    <w:rsid w:val="00B366AB"/>
    <w:rsid w:val="00B46CB9"/>
    <w:rsid w:val="00B47406"/>
    <w:rsid w:val="00B60E86"/>
    <w:rsid w:val="00B82D8C"/>
    <w:rsid w:val="00B84EFF"/>
    <w:rsid w:val="00B86F9C"/>
    <w:rsid w:val="00B96166"/>
    <w:rsid w:val="00BA08A0"/>
    <w:rsid w:val="00BC1F3D"/>
    <w:rsid w:val="00BC2A0E"/>
    <w:rsid w:val="00BC795D"/>
    <w:rsid w:val="00BE37E6"/>
    <w:rsid w:val="00BF30D0"/>
    <w:rsid w:val="00C045B5"/>
    <w:rsid w:val="00C331DC"/>
    <w:rsid w:val="00C333C9"/>
    <w:rsid w:val="00C33BC6"/>
    <w:rsid w:val="00C51E34"/>
    <w:rsid w:val="00C555CB"/>
    <w:rsid w:val="00C60830"/>
    <w:rsid w:val="00C7002B"/>
    <w:rsid w:val="00C82E6C"/>
    <w:rsid w:val="00C92B4A"/>
    <w:rsid w:val="00C93313"/>
    <w:rsid w:val="00CA1D9F"/>
    <w:rsid w:val="00CB0EB9"/>
    <w:rsid w:val="00CB385E"/>
    <w:rsid w:val="00CB5A91"/>
    <w:rsid w:val="00CC760F"/>
    <w:rsid w:val="00CD435E"/>
    <w:rsid w:val="00CD550F"/>
    <w:rsid w:val="00CD7576"/>
    <w:rsid w:val="00CD7612"/>
    <w:rsid w:val="00CF6BF9"/>
    <w:rsid w:val="00D22649"/>
    <w:rsid w:val="00D26058"/>
    <w:rsid w:val="00D44156"/>
    <w:rsid w:val="00D8450D"/>
    <w:rsid w:val="00D84EFF"/>
    <w:rsid w:val="00D86200"/>
    <w:rsid w:val="00D8634C"/>
    <w:rsid w:val="00D86F97"/>
    <w:rsid w:val="00DA40FE"/>
    <w:rsid w:val="00DC0284"/>
    <w:rsid w:val="00DD496B"/>
    <w:rsid w:val="00DF0282"/>
    <w:rsid w:val="00E057F1"/>
    <w:rsid w:val="00E05D89"/>
    <w:rsid w:val="00E14D28"/>
    <w:rsid w:val="00E159D8"/>
    <w:rsid w:val="00E17B5F"/>
    <w:rsid w:val="00E23F1B"/>
    <w:rsid w:val="00E40DAF"/>
    <w:rsid w:val="00E41CF7"/>
    <w:rsid w:val="00E42054"/>
    <w:rsid w:val="00E4208E"/>
    <w:rsid w:val="00E557A4"/>
    <w:rsid w:val="00E7667F"/>
    <w:rsid w:val="00E8761A"/>
    <w:rsid w:val="00E95CEE"/>
    <w:rsid w:val="00EA382F"/>
    <w:rsid w:val="00EB0B8B"/>
    <w:rsid w:val="00EB4B34"/>
    <w:rsid w:val="00EC4EFF"/>
    <w:rsid w:val="00EC71B1"/>
    <w:rsid w:val="00ED4F99"/>
    <w:rsid w:val="00ED5F18"/>
    <w:rsid w:val="00F00240"/>
    <w:rsid w:val="00F0665B"/>
    <w:rsid w:val="00F152E6"/>
    <w:rsid w:val="00F24FFD"/>
    <w:rsid w:val="00F35EDB"/>
    <w:rsid w:val="00F37CBF"/>
    <w:rsid w:val="00F414CE"/>
    <w:rsid w:val="00F44F17"/>
    <w:rsid w:val="00F461D3"/>
    <w:rsid w:val="00F47EDA"/>
    <w:rsid w:val="00F5050D"/>
    <w:rsid w:val="00F51DA7"/>
    <w:rsid w:val="00F54A64"/>
    <w:rsid w:val="00F92A9B"/>
    <w:rsid w:val="00F953E9"/>
    <w:rsid w:val="00FB3AE6"/>
    <w:rsid w:val="00FD3384"/>
    <w:rsid w:val="00FE0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06047"/>
  <w15:docId w15:val="{AC6EB6F9-2297-4D9B-92F5-DA243DE6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20F"/>
  </w:style>
  <w:style w:type="paragraph" w:styleId="Heading1">
    <w:name w:val="heading 1"/>
    <w:basedOn w:val="Normal"/>
    <w:next w:val="Normal"/>
    <w:link w:val="Heading1Char"/>
    <w:uiPriority w:val="9"/>
    <w:qFormat/>
    <w:rsid w:val="009812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98120F"/>
    <w:pPr>
      <w:outlineLvl w:val="1"/>
    </w:pPr>
  </w:style>
  <w:style w:type="paragraph" w:styleId="Heading3">
    <w:name w:val="heading 3"/>
    <w:basedOn w:val="Normal"/>
    <w:next w:val="Normal"/>
    <w:link w:val="Heading3Char"/>
    <w:uiPriority w:val="9"/>
    <w:unhideWhenUsed/>
    <w:qFormat/>
    <w:rsid w:val="009812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12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20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81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120F"/>
    <w:rPr>
      <w:rFonts w:asciiTheme="majorHAnsi" w:eastAsiaTheme="majorEastAsia" w:hAnsiTheme="majorHAnsi" w:cstheme="majorBidi"/>
      <w:b/>
      <w:bCs/>
      <w:i/>
      <w:iCs/>
      <w:color w:val="4F81BD" w:themeColor="accent1"/>
    </w:rPr>
  </w:style>
  <w:style w:type="paragraph" w:styleId="NoSpacing">
    <w:name w:val="No Spacing"/>
    <w:uiPriority w:val="1"/>
    <w:qFormat/>
    <w:rsid w:val="0098120F"/>
  </w:style>
  <w:style w:type="paragraph" w:styleId="ListParagraph">
    <w:name w:val="List Paragraph"/>
    <w:basedOn w:val="Normal"/>
    <w:uiPriority w:val="34"/>
    <w:qFormat/>
    <w:rsid w:val="0098120F"/>
    <w:pPr>
      <w:ind w:left="720"/>
      <w:contextualSpacing/>
    </w:pPr>
  </w:style>
  <w:style w:type="paragraph" w:styleId="TOCHeading">
    <w:name w:val="TOC Heading"/>
    <w:basedOn w:val="Heading1"/>
    <w:next w:val="Normal"/>
    <w:uiPriority w:val="39"/>
    <w:semiHidden/>
    <w:unhideWhenUsed/>
    <w:qFormat/>
    <w:rsid w:val="0098120F"/>
    <w:pPr>
      <w:spacing w:line="276" w:lineRule="auto"/>
      <w:outlineLvl w:val="9"/>
    </w:pPr>
    <w:rPr>
      <w:lang w:eastAsia="ja-JP"/>
    </w:rPr>
  </w:style>
  <w:style w:type="paragraph" w:customStyle="1" w:styleId="Default">
    <w:name w:val="Default"/>
    <w:rsid w:val="00E40DAF"/>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34A39"/>
    <w:rPr>
      <w:sz w:val="16"/>
      <w:szCs w:val="16"/>
    </w:rPr>
  </w:style>
  <w:style w:type="paragraph" w:styleId="CommentText">
    <w:name w:val="annotation text"/>
    <w:basedOn w:val="Normal"/>
    <w:link w:val="CommentTextChar"/>
    <w:uiPriority w:val="99"/>
    <w:semiHidden/>
    <w:unhideWhenUsed/>
    <w:rsid w:val="00034A39"/>
    <w:rPr>
      <w:sz w:val="20"/>
      <w:szCs w:val="20"/>
    </w:rPr>
  </w:style>
  <w:style w:type="character" w:customStyle="1" w:styleId="CommentTextChar">
    <w:name w:val="Comment Text Char"/>
    <w:basedOn w:val="DefaultParagraphFont"/>
    <w:link w:val="CommentText"/>
    <w:uiPriority w:val="99"/>
    <w:semiHidden/>
    <w:rsid w:val="00034A39"/>
    <w:rPr>
      <w:sz w:val="20"/>
      <w:szCs w:val="20"/>
    </w:rPr>
  </w:style>
  <w:style w:type="paragraph" w:styleId="CommentSubject">
    <w:name w:val="annotation subject"/>
    <w:basedOn w:val="CommentText"/>
    <w:next w:val="CommentText"/>
    <w:link w:val="CommentSubjectChar"/>
    <w:uiPriority w:val="99"/>
    <w:semiHidden/>
    <w:unhideWhenUsed/>
    <w:rsid w:val="00034A39"/>
    <w:rPr>
      <w:b/>
      <w:bCs/>
    </w:rPr>
  </w:style>
  <w:style w:type="character" w:customStyle="1" w:styleId="CommentSubjectChar">
    <w:name w:val="Comment Subject Char"/>
    <w:basedOn w:val="CommentTextChar"/>
    <w:link w:val="CommentSubject"/>
    <w:uiPriority w:val="99"/>
    <w:semiHidden/>
    <w:rsid w:val="00034A39"/>
    <w:rPr>
      <w:b/>
      <w:bCs/>
      <w:sz w:val="20"/>
      <w:szCs w:val="20"/>
    </w:rPr>
  </w:style>
  <w:style w:type="paragraph" w:styleId="BalloonText">
    <w:name w:val="Balloon Text"/>
    <w:basedOn w:val="Normal"/>
    <w:link w:val="BalloonTextChar"/>
    <w:uiPriority w:val="99"/>
    <w:semiHidden/>
    <w:unhideWhenUsed/>
    <w:rsid w:val="00034A39"/>
    <w:rPr>
      <w:rFonts w:ascii="Tahoma" w:hAnsi="Tahoma" w:cs="Tahoma"/>
      <w:sz w:val="16"/>
      <w:szCs w:val="16"/>
    </w:rPr>
  </w:style>
  <w:style w:type="character" w:customStyle="1" w:styleId="BalloonTextChar">
    <w:name w:val="Balloon Text Char"/>
    <w:basedOn w:val="DefaultParagraphFont"/>
    <w:link w:val="BalloonText"/>
    <w:uiPriority w:val="99"/>
    <w:semiHidden/>
    <w:rsid w:val="00034A39"/>
    <w:rPr>
      <w:rFonts w:ascii="Tahoma" w:hAnsi="Tahoma" w:cs="Tahoma"/>
      <w:sz w:val="16"/>
      <w:szCs w:val="16"/>
    </w:rPr>
  </w:style>
  <w:style w:type="paragraph" w:styleId="Caption">
    <w:name w:val="caption"/>
    <w:basedOn w:val="Normal"/>
    <w:next w:val="Normal"/>
    <w:uiPriority w:val="35"/>
    <w:unhideWhenUsed/>
    <w:qFormat/>
    <w:rsid w:val="00435E54"/>
    <w:pPr>
      <w:spacing w:after="200"/>
    </w:pPr>
    <w:rPr>
      <w:b/>
      <w:bCs/>
      <w:color w:val="4F81BD" w:themeColor="accent1"/>
      <w:sz w:val="18"/>
      <w:szCs w:val="18"/>
    </w:rPr>
  </w:style>
  <w:style w:type="paragraph" w:styleId="Header">
    <w:name w:val="header"/>
    <w:basedOn w:val="Normal"/>
    <w:link w:val="HeaderChar"/>
    <w:uiPriority w:val="99"/>
    <w:unhideWhenUsed/>
    <w:rsid w:val="001F08B1"/>
    <w:pPr>
      <w:tabs>
        <w:tab w:val="center" w:pos="4680"/>
        <w:tab w:val="right" w:pos="9360"/>
      </w:tabs>
    </w:pPr>
  </w:style>
  <w:style w:type="character" w:customStyle="1" w:styleId="HeaderChar">
    <w:name w:val="Header Char"/>
    <w:basedOn w:val="DefaultParagraphFont"/>
    <w:link w:val="Header"/>
    <w:uiPriority w:val="99"/>
    <w:rsid w:val="001F08B1"/>
  </w:style>
  <w:style w:type="paragraph" w:styleId="Footer">
    <w:name w:val="footer"/>
    <w:basedOn w:val="Normal"/>
    <w:link w:val="FooterChar"/>
    <w:uiPriority w:val="99"/>
    <w:unhideWhenUsed/>
    <w:rsid w:val="001F08B1"/>
    <w:pPr>
      <w:tabs>
        <w:tab w:val="center" w:pos="4680"/>
        <w:tab w:val="right" w:pos="9360"/>
      </w:tabs>
    </w:pPr>
  </w:style>
  <w:style w:type="character" w:customStyle="1" w:styleId="FooterChar">
    <w:name w:val="Footer Char"/>
    <w:basedOn w:val="DefaultParagraphFont"/>
    <w:link w:val="Footer"/>
    <w:uiPriority w:val="99"/>
    <w:rsid w:val="001F08B1"/>
  </w:style>
  <w:style w:type="character" w:styleId="Hyperlink">
    <w:name w:val="Hyperlink"/>
    <w:uiPriority w:val="99"/>
    <w:rsid w:val="00C60830"/>
    <w:rPr>
      <w:color w:val="0000FF"/>
      <w:u w:val="single"/>
    </w:rPr>
  </w:style>
  <w:style w:type="paragraph" w:customStyle="1" w:styleId="plain">
    <w:name w:val="plain"/>
    <w:basedOn w:val="Normal"/>
    <w:rsid w:val="00F461D3"/>
    <w:pPr>
      <w:spacing w:line="240" w:lineRule="atLeast"/>
    </w:pPr>
    <w:rPr>
      <w:rFonts w:ascii="Times New Roman" w:eastAsia="Times New Roman" w:hAnsi="Times New Roman" w:cs="Times New Roman"/>
      <w:sz w:val="26"/>
      <w:szCs w:val="20"/>
    </w:rPr>
  </w:style>
  <w:style w:type="paragraph" w:customStyle="1" w:styleId="block">
    <w:name w:val="block"/>
    <w:basedOn w:val="Normal"/>
    <w:rsid w:val="00F461D3"/>
    <w:pPr>
      <w:spacing w:before="240" w:line="240" w:lineRule="atLeast"/>
    </w:pPr>
    <w:rPr>
      <w:rFonts w:ascii="Times New Roman" w:eastAsia="Times New Roman" w:hAnsi="Times New Roman" w:cs="Times New Roman"/>
      <w:sz w:val="26"/>
      <w:szCs w:val="20"/>
    </w:rPr>
  </w:style>
  <w:style w:type="paragraph" w:styleId="FootnoteText">
    <w:name w:val="footnote text"/>
    <w:basedOn w:val="Normal"/>
    <w:link w:val="FootnoteTextChar"/>
    <w:uiPriority w:val="99"/>
    <w:semiHidden/>
    <w:unhideWhenUsed/>
    <w:rsid w:val="00CB5A91"/>
    <w:rPr>
      <w:sz w:val="20"/>
      <w:szCs w:val="20"/>
    </w:rPr>
  </w:style>
  <w:style w:type="character" w:customStyle="1" w:styleId="FootnoteTextChar">
    <w:name w:val="Footnote Text Char"/>
    <w:basedOn w:val="DefaultParagraphFont"/>
    <w:link w:val="FootnoteText"/>
    <w:uiPriority w:val="99"/>
    <w:semiHidden/>
    <w:rsid w:val="00CB5A91"/>
    <w:rPr>
      <w:sz w:val="20"/>
      <w:szCs w:val="20"/>
    </w:rPr>
  </w:style>
  <w:style w:type="character" w:styleId="FootnoteReference">
    <w:name w:val="footnote reference"/>
    <w:basedOn w:val="DefaultParagraphFont"/>
    <w:uiPriority w:val="99"/>
    <w:semiHidden/>
    <w:unhideWhenUsed/>
    <w:rsid w:val="00CB5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2543">
      <w:bodyDiv w:val="1"/>
      <w:marLeft w:val="0"/>
      <w:marRight w:val="0"/>
      <w:marTop w:val="0"/>
      <w:marBottom w:val="0"/>
      <w:divBdr>
        <w:top w:val="none" w:sz="0" w:space="0" w:color="auto"/>
        <w:left w:val="none" w:sz="0" w:space="0" w:color="auto"/>
        <w:bottom w:val="none" w:sz="0" w:space="0" w:color="auto"/>
        <w:right w:val="none" w:sz="0" w:space="0" w:color="auto"/>
      </w:divBdr>
    </w:div>
    <w:div w:id="274486232">
      <w:bodyDiv w:val="1"/>
      <w:marLeft w:val="0"/>
      <w:marRight w:val="0"/>
      <w:marTop w:val="0"/>
      <w:marBottom w:val="0"/>
      <w:divBdr>
        <w:top w:val="none" w:sz="0" w:space="0" w:color="auto"/>
        <w:left w:val="none" w:sz="0" w:space="0" w:color="auto"/>
        <w:bottom w:val="none" w:sz="0" w:space="0" w:color="auto"/>
        <w:right w:val="none" w:sz="0" w:space="0" w:color="auto"/>
      </w:divBdr>
    </w:div>
    <w:div w:id="383720561">
      <w:bodyDiv w:val="1"/>
      <w:marLeft w:val="0"/>
      <w:marRight w:val="0"/>
      <w:marTop w:val="0"/>
      <w:marBottom w:val="0"/>
      <w:divBdr>
        <w:top w:val="none" w:sz="0" w:space="0" w:color="auto"/>
        <w:left w:val="none" w:sz="0" w:space="0" w:color="auto"/>
        <w:bottom w:val="none" w:sz="0" w:space="0" w:color="auto"/>
        <w:right w:val="none" w:sz="0" w:space="0" w:color="auto"/>
      </w:divBdr>
    </w:div>
    <w:div w:id="502552266">
      <w:bodyDiv w:val="1"/>
      <w:marLeft w:val="0"/>
      <w:marRight w:val="0"/>
      <w:marTop w:val="0"/>
      <w:marBottom w:val="0"/>
      <w:divBdr>
        <w:top w:val="none" w:sz="0" w:space="0" w:color="auto"/>
        <w:left w:val="none" w:sz="0" w:space="0" w:color="auto"/>
        <w:bottom w:val="none" w:sz="0" w:space="0" w:color="auto"/>
        <w:right w:val="none" w:sz="0" w:space="0" w:color="auto"/>
      </w:divBdr>
    </w:div>
    <w:div w:id="643244031">
      <w:bodyDiv w:val="1"/>
      <w:marLeft w:val="0"/>
      <w:marRight w:val="0"/>
      <w:marTop w:val="0"/>
      <w:marBottom w:val="0"/>
      <w:divBdr>
        <w:top w:val="none" w:sz="0" w:space="0" w:color="auto"/>
        <w:left w:val="none" w:sz="0" w:space="0" w:color="auto"/>
        <w:bottom w:val="none" w:sz="0" w:space="0" w:color="auto"/>
        <w:right w:val="none" w:sz="0" w:space="0" w:color="auto"/>
      </w:divBdr>
    </w:div>
    <w:div w:id="179355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wersystem.org/docs/publications/how-is-my-utility-performing.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n.s.johnson@pse.com"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estusr2\jkenso$\Strategic%20reliability\Reports\UTC%20reports\UTC%20reporting\Econometric%20Report%202017\SAIDI%20and%20SAIFI%20rang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estusr2\jkenso$\Strategic%20reliability\Reports\UTC%20reports\UTC%20reporting\Econometric%20Report%202017\SAIDI%20and%20SAIFI%20rang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SAIDI</a:t>
            </a:r>
          </a:p>
        </c:rich>
      </c:tx>
      <c:layout/>
      <c:overlay val="0"/>
    </c:title>
    <c:autoTitleDeleted val="0"/>
    <c:plotArea>
      <c:layout/>
      <c:scatterChart>
        <c:scatterStyle val="lineMarker"/>
        <c:varyColors val="0"/>
        <c:ser>
          <c:idx val="0"/>
          <c:order val="0"/>
          <c:tx>
            <c:strRef>
              <c:f>Sheet1!$B$2</c:f>
              <c:strCache>
                <c:ptCount val="1"/>
                <c:pt idx="0">
                  <c:v>Puget Sound Energy econometric study range</c:v>
                </c:pt>
              </c:strCache>
            </c:strRef>
          </c:tx>
          <c:dLbls>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xVal>
            <c:numRef>
              <c:f>Sheet1!$A$3:$A$5</c:f>
              <c:numCache>
                <c:formatCode>General</c:formatCode>
                <c:ptCount val="3"/>
                <c:pt idx="0">
                  <c:v>1</c:v>
                </c:pt>
                <c:pt idx="1">
                  <c:v>1</c:v>
                </c:pt>
                <c:pt idx="2">
                  <c:v>1</c:v>
                </c:pt>
              </c:numCache>
            </c:numRef>
          </c:xVal>
          <c:yVal>
            <c:numRef>
              <c:f>Sheet1!$B$3:$B$5</c:f>
              <c:numCache>
                <c:formatCode>General</c:formatCode>
                <c:ptCount val="3"/>
                <c:pt idx="0">
                  <c:v>83</c:v>
                </c:pt>
                <c:pt idx="1">
                  <c:v>113</c:v>
                </c:pt>
                <c:pt idx="2">
                  <c:v>142</c:v>
                </c:pt>
              </c:numCache>
            </c:numRef>
          </c:yVal>
          <c:smooth val="0"/>
        </c:ser>
        <c:ser>
          <c:idx val="1"/>
          <c:order val="1"/>
          <c:tx>
            <c:strRef>
              <c:f>Sheet1!$C$2</c:f>
              <c:strCache>
                <c:ptCount val="1"/>
                <c:pt idx="0">
                  <c:v>IEEE reliability survey range</c:v>
                </c:pt>
              </c:strCache>
            </c:strRef>
          </c:tx>
          <c:dLbls>
            <c:dLbl>
              <c:idx val="0"/>
              <c:layout>
                <c:manualLayout>
                  <c:x val="-2.7849185477110301E-3"/>
                  <c:y val="2.31481481481480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9.2592592592592605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8518518518518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Sheet1!$A$7:$A$9</c:f>
              <c:numCache>
                <c:formatCode>General</c:formatCode>
                <c:ptCount val="3"/>
                <c:pt idx="0">
                  <c:v>2</c:v>
                </c:pt>
                <c:pt idx="1">
                  <c:v>2</c:v>
                </c:pt>
                <c:pt idx="2">
                  <c:v>2</c:v>
                </c:pt>
              </c:numCache>
            </c:numRef>
          </c:xVal>
          <c:yVal>
            <c:numRef>
              <c:f>Sheet1!$C$7:$C$9</c:f>
              <c:numCache>
                <c:formatCode>General</c:formatCode>
                <c:ptCount val="3"/>
                <c:pt idx="0">
                  <c:v>97</c:v>
                </c:pt>
                <c:pt idx="1">
                  <c:v>124</c:v>
                </c:pt>
                <c:pt idx="2">
                  <c:v>155</c:v>
                </c:pt>
              </c:numCache>
            </c:numRef>
          </c:yVal>
          <c:smooth val="0"/>
        </c:ser>
        <c:dLbls>
          <c:showLegendKey val="0"/>
          <c:showVal val="0"/>
          <c:showCatName val="0"/>
          <c:showSerName val="0"/>
          <c:showPercent val="0"/>
          <c:showBubbleSize val="0"/>
        </c:dLbls>
        <c:axId val="361137240"/>
        <c:axId val="361135280"/>
      </c:scatterChart>
      <c:valAx>
        <c:axId val="361137240"/>
        <c:scaling>
          <c:orientation val="minMax"/>
          <c:max val="2.5"/>
          <c:min val="0.5"/>
        </c:scaling>
        <c:delete val="0"/>
        <c:axPos val="b"/>
        <c:numFmt formatCode="General" sourceLinked="1"/>
        <c:majorTickMark val="none"/>
        <c:minorTickMark val="none"/>
        <c:tickLblPos val="none"/>
        <c:crossAx val="361135280"/>
        <c:crosses val="autoZero"/>
        <c:crossBetween val="midCat"/>
        <c:majorUnit val="0.5"/>
        <c:minorUnit val="0.5"/>
      </c:valAx>
      <c:valAx>
        <c:axId val="361135280"/>
        <c:scaling>
          <c:orientation val="minMax"/>
          <c:max val="170"/>
          <c:min val="70"/>
        </c:scaling>
        <c:delete val="0"/>
        <c:axPos val="l"/>
        <c:majorGridlines/>
        <c:title>
          <c:tx>
            <c:rich>
              <a:bodyPr/>
              <a:lstStyle/>
              <a:p>
                <a:pPr>
                  <a:defRPr/>
                </a:pPr>
                <a:r>
                  <a:rPr lang="en-US"/>
                  <a:t>SAIDI</a:t>
                </a:r>
              </a:p>
            </c:rich>
          </c:tx>
          <c:layout/>
          <c:overlay val="0"/>
        </c:title>
        <c:numFmt formatCode="General" sourceLinked="1"/>
        <c:majorTickMark val="none"/>
        <c:minorTickMark val="none"/>
        <c:tickLblPos val="nextTo"/>
        <c:crossAx val="361137240"/>
        <c:crosses val="autoZero"/>
        <c:crossBetween val="midCat"/>
        <c:majorUnit val="28"/>
      </c:valAx>
    </c:plotArea>
    <c:legend>
      <c:legendPos val="b"/>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SAIFI</a:t>
            </a:r>
          </a:p>
        </c:rich>
      </c:tx>
      <c:layout/>
      <c:overlay val="0"/>
    </c:title>
    <c:autoTitleDeleted val="0"/>
    <c:plotArea>
      <c:layout/>
      <c:scatterChart>
        <c:scatterStyle val="lineMarker"/>
        <c:varyColors val="0"/>
        <c:ser>
          <c:idx val="0"/>
          <c:order val="0"/>
          <c:tx>
            <c:strRef>
              <c:f>Sheet1!$B$2</c:f>
              <c:strCache>
                <c:ptCount val="1"/>
                <c:pt idx="0">
                  <c:v>Puget Sound Energy econometric study range</c:v>
                </c:pt>
              </c:strCache>
            </c:strRef>
          </c:tx>
          <c:dLbls>
            <c:dLbl>
              <c:idx val="0"/>
              <c:layout>
                <c:manualLayout>
                  <c:x val="5.10562502352094E-17"/>
                  <c:y val="-3.703703703703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10562502352094E-17"/>
                  <c:y val="-3.24074074074073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10562502352094E-17"/>
                  <c:y val="-2.31481481481480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Sheet1!$A$3:$A$5</c:f>
              <c:numCache>
                <c:formatCode>General</c:formatCode>
                <c:ptCount val="3"/>
                <c:pt idx="0">
                  <c:v>1</c:v>
                </c:pt>
                <c:pt idx="1">
                  <c:v>1</c:v>
                </c:pt>
                <c:pt idx="2">
                  <c:v>1</c:v>
                </c:pt>
              </c:numCache>
            </c:numRef>
          </c:xVal>
          <c:yVal>
            <c:numRef>
              <c:f>Sheet1!$E$3:$E$5</c:f>
              <c:numCache>
                <c:formatCode>General</c:formatCode>
                <c:ptCount val="3"/>
                <c:pt idx="0">
                  <c:v>0.7</c:v>
                </c:pt>
                <c:pt idx="1">
                  <c:v>0.9</c:v>
                </c:pt>
                <c:pt idx="2">
                  <c:v>1.1000000000000001</c:v>
                </c:pt>
              </c:numCache>
            </c:numRef>
          </c:yVal>
          <c:smooth val="0"/>
        </c:ser>
        <c:ser>
          <c:idx val="1"/>
          <c:order val="1"/>
          <c:tx>
            <c:strRef>
              <c:f>Sheet1!$C$2</c:f>
              <c:strCache>
                <c:ptCount val="1"/>
                <c:pt idx="0">
                  <c:v>IEEE reliability survey range</c:v>
                </c:pt>
              </c:strCache>
            </c:strRef>
          </c:tx>
          <c:dLbls>
            <c:dLbl>
              <c:idx val="0"/>
              <c:layout>
                <c:manualLayout>
                  <c:x val="-2.7849185477110301E-3"/>
                  <c:y val="-1.85188830562845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849185477110301E-3"/>
                  <c:y val="-2.77777777777778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8518518518518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Sheet1!$A$7:$A$9</c:f>
              <c:numCache>
                <c:formatCode>General</c:formatCode>
                <c:ptCount val="3"/>
                <c:pt idx="0">
                  <c:v>2</c:v>
                </c:pt>
                <c:pt idx="1">
                  <c:v>2</c:v>
                </c:pt>
                <c:pt idx="2">
                  <c:v>2</c:v>
                </c:pt>
              </c:numCache>
            </c:numRef>
          </c:xVal>
          <c:yVal>
            <c:numRef>
              <c:f>Sheet1!$F$7:$F$9</c:f>
              <c:numCache>
                <c:formatCode>0.00</c:formatCode>
                <c:ptCount val="3"/>
                <c:pt idx="0" formatCode="General">
                  <c:v>0.91</c:v>
                </c:pt>
                <c:pt idx="1">
                  <c:v>1.1000000000000001</c:v>
                </c:pt>
                <c:pt idx="2" formatCode="General">
                  <c:v>1.33</c:v>
                </c:pt>
              </c:numCache>
            </c:numRef>
          </c:yVal>
          <c:smooth val="0"/>
        </c:ser>
        <c:dLbls>
          <c:showLegendKey val="0"/>
          <c:showVal val="0"/>
          <c:showCatName val="0"/>
          <c:showSerName val="0"/>
          <c:showPercent val="0"/>
          <c:showBubbleSize val="0"/>
        </c:dLbls>
        <c:axId val="361132144"/>
        <c:axId val="361135672"/>
      </c:scatterChart>
      <c:valAx>
        <c:axId val="361132144"/>
        <c:scaling>
          <c:orientation val="minMax"/>
          <c:max val="2.5"/>
          <c:min val="0.5"/>
        </c:scaling>
        <c:delete val="0"/>
        <c:axPos val="b"/>
        <c:numFmt formatCode="General" sourceLinked="1"/>
        <c:majorTickMark val="none"/>
        <c:minorTickMark val="none"/>
        <c:tickLblPos val="none"/>
        <c:crossAx val="361135672"/>
        <c:crosses val="autoZero"/>
        <c:crossBetween val="midCat"/>
        <c:majorUnit val="0.5"/>
        <c:minorUnit val="0.5"/>
      </c:valAx>
      <c:valAx>
        <c:axId val="361135672"/>
        <c:scaling>
          <c:orientation val="minMax"/>
          <c:max val="1.4"/>
          <c:min val="0.7"/>
        </c:scaling>
        <c:delete val="0"/>
        <c:axPos val="l"/>
        <c:majorGridlines/>
        <c:title>
          <c:tx>
            <c:rich>
              <a:bodyPr/>
              <a:lstStyle/>
              <a:p>
                <a:pPr>
                  <a:defRPr/>
                </a:pPr>
                <a:r>
                  <a:rPr lang="en-US"/>
                  <a:t>SAIFI</a:t>
                </a:r>
              </a:p>
            </c:rich>
          </c:tx>
          <c:layout/>
          <c:overlay val="0"/>
        </c:title>
        <c:numFmt formatCode="General" sourceLinked="1"/>
        <c:majorTickMark val="none"/>
        <c:minorTickMark val="none"/>
        <c:tickLblPos val="nextTo"/>
        <c:crossAx val="361132144"/>
        <c:crosses val="autoZero"/>
        <c:crossBetween val="midCat"/>
        <c:majorUnit val="0.2"/>
      </c:valAx>
    </c:plotArea>
    <c:legend>
      <c:legendPos val="b"/>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0.55826</cdr:x>
      <cdr:y>0.69858</cdr:y>
    </cdr:from>
    <cdr:to>
      <cdr:x>0.74785</cdr:x>
      <cdr:y>0.79581</cdr:y>
    </cdr:to>
    <cdr:sp macro="" textlink="">
      <cdr:nvSpPr>
        <cdr:cNvPr id="2" name="TextBox 1"/>
        <cdr:cNvSpPr txBox="1"/>
      </cdr:nvSpPr>
      <cdr:spPr>
        <a:xfrm xmlns:a="http://schemas.openxmlformats.org/drawingml/2006/main">
          <a:off x="2545837" y="1916357"/>
          <a:ext cx="864552"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1st Quartile</a:t>
          </a:r>
        </a:p>
      </cdr:txBody>
    </cdr:sp>
  </cdr:relSizeAnchor>
  <cdr:relSizeAnchor xmlns:cdr="http://schemas.openxmlformats.org/drawingml/2006/chartDrawing">
    <cdr:from>
      <cdr:x>0.55205</cdr:x>
      <cdr:y>0.53241</cdr:y>
    </cdr:from>
    <cdr:to>
      <cdr:x>0.75136</cdr:x>
      <cdr:y>0.62963</cdr:y>
    </cdr:to>
    <cdr:sp macro="" textlink="">
      <cdr:nvSpPr>
        <cdr:cNvPr id="3" name="TextBox 1"/>
        <cdr:cNvSpPr txBox="1"/>
      </cdr:nvSpPr>
      <cdr:spPr>
        <a:xfrm xmlns:a="http://schemas.openxmlformats.org/drawingml/2006/main">
          <a:off x="2517523" y="1460500"/>
          <a:ext cx="908889"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2nd</a:t>
          </a:r>
          <a:r>
            <a:rPr lang="en-US" sz="1100" baseline="0"/>
            <a:t> Quartile</a:t>
          </a:r>
          <a:endParaRPr lang="en-US" sz="1100"/>
        </a:p>
      </cdr:txBody>
    </cdr:sp>
  </cdr:relSizeAnchor>
  <cdr:relSizeAnchor xmlns:cdr="http://schemas.openxmlformats.org/drawingml/2006/chartDrawing">
    <cdr:from>
      <cdr:x>0.54654</cdr:x>
      <cdr:y>0.35292</cdr:y>
    </cdr:from>
    <cdr:to>
      <cdr:x>0.7514</cdr:x>
      <cdr:y>0.45014</cdr:y>
    </cdr:to>
    <cdr:sp macro="" textlink="">
      <cdr:nvSpPr>
        <cdr:cNvPr id="4" name="TextBox 1"/>
        <cdr:cNvSpPr txBox="1"/>
      </cdr:nvSpPr>
      <cdr:spPr>
        <a:xfrm xmlns:a="http://schemas.openxmlformats.org/drawingml/2006/main">
          <a:off x="2492375" y="968131"/>
          <a:ext cx="934224"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3rd</a:t>
          </a:r>
          <a:r>
            <a:rPr lang="en-US" sz="1100" baseline="0"/>
            <a:t> Quartile</a:t>
          </a:r>
          <a:endParaRPr lang="en-US" sz="1100"/>
        </a:p>
      </cdr:txBody>
    </cdr:sp>
  </cdr:relSizeAnchor>
  <cdr:relSizeAnchor xmlns:cdr="http://schemas.openxmlformats.org/drawingml/2006/chartDrawing">
    <cdr:from>
      <cdr:x>0.5567</cdr:x>
      <cdr:y>0.18812</cdr:y>
    </cdr:from>
    <cdr:to>
      <cdr:x>0.76642</cdr:x>
      <cdr:y>0.28535</cdr:y>
    </cdr:to>
    <cdr:sp macro="" textlink="">
      <cdr:nvSpPr>
        <cdr:cNvPr id="5" name="TextBox 1"/>
        <cdr:cNvSpPr txBox="1"/>
      </cdr:nvSpPr>
      <cdr:spPr>
        <a:xfrm xmlns:a="http://schemas.openxmlformats.org/drawingml/2006/main">
          <a:off x="2538698" y="516060"/>
          <a:ext cx="956391"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4th Quartile</a:t>
          </a:r>
        </a:p>
      </cdr:txBody>
    </cdr:sp>
  </cdr:relSizeAnchor>
</c:userShapes>
</file>

<file path=word/drawings/drawing2.xml><?xml version="1.0" encoding="utf-8"?>
<c:userShapes xmlns:c="http://schemas.openxmlformats.org/drawingml/2006/chart">
  <cdr:relSizeAnchor xmlns:cdr="http://schemas.openxmlformats.org/drawingml/2006/chartDrawing">
    <cdr:from>
      <cdr:x>0.55826</cdr:x>
      <cdr:y>0.69858</cdr:y>
    </cdr:from>
    <cdr:to>
      <cdr:x>0.74785</cdr:x>
      <cdr:y>0.79581</cdr:y>
    </cdr:to>
    <cdr:sp macro="" textlink="">
      <cdr:nvSpPr>
        <cdr:cNvPr id="2" name="TextBox 1"/>
        <cdr:cNvSpPr txBox="1"/>
      </cdr:nvSpPr>
      <cdr:spPr>
        <a:xfrm xmlns:a="http://schemas.openxmlformats.org/drawingml/2006/main">
          <a:off x="2545837" y="1916357"/>
          <a:ext cx="864552"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1st Quartile</a:t>
          </a:r>
        </a:p>
      </cdr:txBody>
    </cdr:sp>
  </cdr:relSizeAnchor>
  <cdr:relSizeAnchor xmlns:cdr="http://schemas.openxmlformats.org/drawingml/2006/chartDrawing">
    <cdr:from>
      <cdr:x>0.55205</cdr:x>
      <cdr:y>0.53241</cdr:y>
    </cdr:from>
    <cdr:to>
      <cdr:x>0.75136</cdr:x>
      <cdr:y>0.62963</cdr:y>
    </cdr:to>
    <cdr:sp macro="" textlink="">
      <cdr:nvSpPr>
        <cdr:cNvPr id="3" name="TextBox 1"/>
        <cdr:cNvSpPr txBox="1"/>
      </cdr:nvSpPr>
      <cdr:spPr>
        <a:xfrm xmlns:a="http://schemas.openxmlformats.org/drawingml/2006/main">
          <a:off x="2517523" y="1460500"/>
          <a:ext cx="908889"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2nd</a:t>
          </a:r>
          <a:r>
            <a:rPr lang="en-US" sz="1100" baseline="0"/>
            <a:t> Quartile</a:t>
          </a:r>
          <a:endParaRPr lang="en-US" sz="1100"/>
        </a:p>
      </cdr:txBody>
    </cdr:sp>
  </cdr:relSizeAnchor>
  <cdr:relSizeAnchor xmlns:cdr="http://schemas.openxmlformats.org/drawingml/2006/chartDrawing">
    <cdr:from>
      <cdr:x>0.54654</cdr:x>
      <cdr:y>0.35292</cdr:y>
    </cdr:from>
    <cdr:to>
      <cdr:x>0.7514</cdr:x>
      <cdr:y>0.45014</cdr:y>
    </cdr:to>
    <cdr:sp macro="" textlink="">
      <cdr:nvSpPr>
        <cdr:cNvPr id="4" name="TextBox 1"/>
        <cdr:cNvSpPr txBox="1"/>
      </cdr:nvSpPr>
      <cdr:spPr>
        <a:xfrm xmlns:a="http://schemas.openxmlformats.org/drawingml/2006/main">
          <a:off x="2492375" y="968131"/>
          <a:ext cx="934224"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3rd</a:t>
          </a:r>
          <a:r>
            <a:rPr lang="en-US" sz="1100" baseline="0"/>
            <a:t> Quartile</a:t>
          </a:r>
          <a:endParaRPr lang="en-US" sz="1100"/>
        </a:p>
      </cdr:txBody>
    </cdr:sp>
  </cdr:relSizeAnchor>
  <cdr:relSizeAnchor xmlns:cdr="http://schemas.openxmlformats.org/drawingml/2006/chartDrawing">
    <cdr:from>
      <cdr:x>0.5567</cdr:x>
      <cdr:y>0.18812</cdr:y>
    </cdr:from>
    <cdr:to>
      <cdr:x>0.76642</cdr:x>
      <cdr:y>0.28535</cdr:y>
    </cdr:to>
    <cdr:sp macro="" textlink="">
      <cdr:nvSpPr>
        <cdr:cNvPr id="5" name="TextBox 1"/>
        <cdr:cNvSpPr txBox="1"/>
      </cdr:nvSpPr>
      <cdr:spPr>
        <a:xfrm xmlns:a="http://schemas.openxmlformats.org/drawingml/2006/main">
          <a:off x="2538698" y="516060"/>
          <a:ext cx="956391"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4th Quartile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E718938064AA4795E04951A235AB65" ma:contentTypeVersion="119" ma:contentTypeDescription="" ma:contentTypeScope="" ma:versionID="23e8f8707eed5a4d451e52ffbcf47d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2015-10-08T07:00:00+00:00</OpenedDate>
    <Date1 xmlns="dc463f71-b30c-4ab2-9473-d307f9d35888">2017-08-21T07:00:00+00:00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151958</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BF621A-0334-4CAD-A39E-881BE2A92339}">
  <ds:schemaRefs>
    <ds:schemaRef ds:uri="http://schemas.microsoft.com/sharepoint/v3/contenttype/forms"/>
  </ds:schemaRefs>
</ds:datastoreItem>
</file>

<file path=customXml/itemProps2.xml><?xml version="1.0" encoding="utf-8"?>
<ds:datastoreItem xmlns:ds="http://schemas.openxmlformats.org/officeDocument/2006/customXml" ds:itemID="{578DC10A-379D-4FE0-90D4-5D3308B0741F}"/>
</file>

<file path=customXml/itemProps3.xml><?xml version="1.0" encoding="utf-8"?>
<ds:datastoreItem xmlns:ds="http://schemas.openxmlformats.org/officeDocument/2006/customXml" ds:itemID="{A9D66551-1621-4A70-B028-2B2C386C3D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a7bd91e-004b-490a-8704-e368d63d59a0"/>
    <ds:schemaRef ds:uri="http://www.w3.org/XML/1998/namespace"/>
    <ds:schemaRef ds:uri="http://purl.org/dc/dcmitype/"/>
  </ds:schemaRefs>
</ds:datastoreItem>
</file>

<file path=customXml/itemProps4.xml><?xml version="1.0" encoding="utf-8"?>
<ds:datastoreItem xmlns:ds="http://schemas.openxmlformats.org/officeDocument/2006/customXml" ds:itemID="{42BD4450-C5CB-44D8-868A-9E8F9BF01CB5}">
  <ds:schemaRefs>
    <ds:schemaRef ds:uri="http://schemas.openxmlformats.org/officeDocument/2006/bibliography"/>
  </ds:schemaRefs>
</ds:datastoreItem>
</file>

<file path=customXml/itemProps5.xml><?xml version="1.0" encoding="utf-8"?>
<ds:datastoreItem xmlns:ds="http://schemas.openxmlformats.org/officeDocument/2006/customXml" ds:itemID="{5DEE3D45-2486-4BE6-8519-97A97C66BD90}"/>
</file>

<file path=docProps/app.xml><?xml version="1.0" encoding="utf-8"?>
<Properties xmlns="http://schemas.openxmlformats.org/officeDocument/2006/extended-properties" xmlns:vt="http://schemas.openxmlformats.org/officeDocument/2006/docPropsVTypes">
  <Template>Normal</Template>
  <TotalTime>0</TotalTime>
  <Pages>8</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jkenso</dc:creator>
  <cp:lastModifiedBy>Huey, Lorilyn (UTC)</cp:lastModifiedBy>
  <cp:revision>2</cp:revision>
  <dcterms:created xsi:type="dcterms:W3CDTF">2017-08-21T23:36:00Z</dcterms:created>
  <dcterms:modified xsi:type="dcterms:W3CDTF">2017-08-21T23:36:00Z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0x0101006E56B4D1795A2E4DB2F0B01679ED314A007EE718938064AA4795E04951A235AB65</vt:lpwstr>
  </property>
  <property fmtid="{D5CDD505-2E9C-101B-9397-08002B2CF9AE}" pid="3" name="_docset_NoMedatataSyncRequired">
    <vt:lpwstr>False</vt:lpwstr>
  </property>
  <property fmtid="{D5CDD505-2E9C-101B-9397-08002B2CF9AE}" pid="4" name="IsEFSEC">
    <vt:bool>false</vt:bool>
  </property>
</Properties>
</file>