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E1" w:rsidRDefault="00115330">
      <w:pPr>
        <w:pStyle w:val="Heading1"/>
        <w:spacing w:after="0"/>
      </w:pPr>
      <w:r>
        <w:t xml:space="preserve"> BEFORE THE</w:t>
      </w:r>
    </w:p>
    <w:p w:rsidR="009A2FE1" w:rsidRDefault="009A2FE1"/>
    <w:p w:rsidR="009A2FE1" w:rsidRDefault="00115330">
      <w:pPr>
        <w:pStyle w:val="Heading1"/>
        <w:spacing w:after="0" w:line="480" w:lineRule="auto"/>
      </w:pPr>
      <w:r>
        <w:t>WASHINGTON UTILITIES AND TRANSPORTATION COMMISSION</w:t>
      </w:r>
    </w:p>
    <w:tbl>
      <w:tblPr>
        <w:tblW w:w="8648" w:type="dxa"/>
        <w:tblLayout w:type="fixed"/>
        <w:tblCellMar>
          <w:left w:w="0" w:type="dxa"/>
          <w:right w:w="0" w:type="dxa"/>
        </w:tblCellMar>
        <w:tblLook w:val="0000"/>
      </w:tblPr>
      <w:tblGrid>
        <w:gridCol w:w="4328"/>
        <w:gridCol w:w="276"/>
        <w:gridCol w:w="4044"/>
      </w:tblGrid>
      <w:tr w:rsidR="009A2FE1">
        <w:tc>
          <w:tcPr>
            <w:tcW w:w="4328" w:type="dxa"/>
            <w:tcBorders>
              <w:bottom w:val="single" w:sz="4" w:space="0" w:color="auto"/>
            </w:tcBorders>
          </w:tcPr>
          <w:p w:rsidR="009A2FE1" w:rsidRDefault="009A2FE1">
            <w:pPr>
              <w:tabs>
                <w:tab w:val="left" w:pos="1456"/>
              </w:tabs>
              <w:autoSpaceDE w:val="0"/>
              <w:autoSpaceDN w:val="0"/>
              <w:adjustRightInd w:val="0"/>
            </w:pPr>
          </w:p>
          <w:p w:rsidR="009A2FE1" w:rsidRDefault="00115330">
            <w:pPr>
              <w:tabs>
                <w:tab w:val="left" w:pos="1456"/>
              </w:tabs>
              <w:autoSpaceDE w:val="0"/>
              <w:autoSpaceDN w:val="0"/>
              <w:adjustRightInd w:val="0"/>
            </w:pPr>
            <w:r>
              <w:t>In the Matter of</w:t>
            </w:r>
          </w:p>
          <w:p w:rsidR="009A2FE1" w:rsidRDefault="009A2FE1">
            <w:pPr>
              <w:tabs>
                <w:tab w:val="left" w:pos="1456"/>
              </w:tabs>
              <w:autoSpaceDE w:val="0"/>
              <w:autoSpaceDN w:val="0"/>
              <w:adjustRightInd w:val="0"/>
            </w:pPr>
          </w:p>
          <w:p w:rsidR="009A2FE1" w:rsidRDefault="009A2FE1">
            <w:pPr>
              <w:tabs>
                <w:tab w:val="left" w:pos="1456"/>
              </w:tabs>
              <w:autoSpaceDE w:val="0"/>
              <w:autoSpaceDN w:val="0"/>
              <w:adjustRightInd w:val="0"/>
            </w:pPr>
          </w:p>
          <w:p w:rsidR="009A2FE1" w:rsidRDefault="00115330">
            <w:pPr>
              <w:tabs>
                <w:tab w:val="left" w:pos="1456"/>
              </w:tabs>
              <w:autoSpaceDE w:val="0"/>
              <w:autoSpaceDN w:val="0"/>
              <w:adjustRightInd w:val="0"/>
            </w:pPr>
            <w:r>
              <w:t>Investigation of Pacific Power and Light</w:t>
            </w:r>
          </w:p>
          <w:p w:rsidR="009A2FE1" w:rsidRDefault="00115330">
            <w:pPr>
              <w:tabs>
                <w:tab w:val="left" w:pos="1456"/>
              </w:tabs>
              <w:autoSpaceDE w:val="0"/>
              <w:autoSpaceDN w:val="0"/>
              <w:adjustRightInd w:val="0"/>
            </w:pPr>
            <w:r>
              <w:t>Company’s Participation in the Energy</w:t>
            </w:r>
          </w:p>
          <w:p w:rsidR="009A2FE1" w:rsidRDefault="00115330">
            <w:pPr>
              <w:tabs>
                <w:tab w:val="left" w:pos="1456"/>
              </w:tabs>
              <w:autoSpaceDE w:val="0"/>
              <w:autoSpaceDN w:val="0"/>
              <w:adjustRightInd w:val="0"/>
            </w:pPr>
            <w:r>
              <w:t>Imbalance Market.</w:t>
            </w:r>
          </w:p>
          <w:p w:rsidR="009A2FE1" w:rsidRDefault="009A2FE1">
            <w:pPr>
              <w:tabs>
                <w:tab w:val="left" w:pos="1456"/>
              </w:tabs>
              <w:autoSpaceDE w:val="0"/>
              <w:autoSpaceDN w:val="0"/>
              <w:adjustRightInd w:val="0"/>
            </w:pPr>
          </w:p>
        </w:tc>
        <w:tc>
          <w:tcPr>
            <w:tcW w:w="276" w:type="dxa"/>
          </w:tcPr>
          <w:p w:rsidR="009A2FE1" w:rsidRDefault="009A2FE1">
            <w:pPr>
              <w:pStyle w:val="BodyText2"/>
            </w:pPr>
          </w:p>
          <w:p w:rsidR="009A2FE1" w:rsidRDefault="00115330">
            <w:pPr>
              <w:pStyle w:val="BodyText2"/>
            </w:pPr>
            <w:r>
              <w:t>)</w:t>
            </w:r>
          </w:p>
          <w:p w:rsidR="009A2FE1" w:rsidRDefault="00115330">
            <w:pPr>
              <w:pStyle w:val="BodyText2"/>
            </w:pPr>
            <w:r>
              <w:t>)</w:t>
            </w:r>
          </w:p>
          <w:p w:rsidR="009A2FE1" w:rsidRDefault="00115330">
            <w:pPr>
              <w:pStyle w:val="BodyText2"/>
            </w:pPr>
            <w:r>
              <w:t>)</w:t>
            </w:r>
          </w:p>
          <w:p w:rsidR="009A2FE1" w:rsidRDefault="00115330">
            <w:pPr>
              <w:pStyle w:val="BodyText2"/>
            </w:pPr>
            <w:r>
              <w:t>)</w:t>
            </w:r>
          </w:p>
          <w:p w:rsidR="009A2FE1" w:rsidRDefault="00115330">
            <w:pPr>
              <w:pStyle w:val="BodyText2"/>
            </w:pPr>
            <w:r>
              <w:t>)</w:t>
            </w:r>
          </w:p>
          <w:p w:rsidR="009A2FE1" w:rsidRDefault="00115330">
            <w:pPr>
              <w:pStyle w:val="BodyText2"/>
            </w:pPr>
            <w:r>
              <w:t>)</w:t>
            </w:r>
          </w:p>
          <w:p w:rsidR="009A2FE1" w:rsidRDefault="00115330">
            <w:pPr>
              <w:pStyle w:val="BodyText2"/>
            </w:pPr>
            <w:r>
              <w:t>)</w:t>
            </w:r>
          </w:p>
        </w:tc>
        <w:tc>
          <w:tcPr>
            <w:tcW w:w="4044" w:type="dxa"/>
          </w:tcPr>
          <w:p w:rsidR="009A2FE1" w:rsidRDefault="009A2FE1">
            <w:pPr>
              <w:pStyle w:val="BodyText2"/>
            </w:pPr>
            <w:bookmarkStart w:id="0" w:name="CaseNumber"/>
            <w:bookmarkEnd w:id="0"/>
          </w:p>
          <w:p w:rsidR="009A2FE1" w:rsidRDefault="00115330">
            <w:pPr>
              <w:pStyle w:val="SingleSpacing"/>
              <w:spacing w:line="240" w:lineRule="auto"/>
            </w:pPr>
            <w:r>
              <w:t>DOCKET UE-151273</w:t>
            </w:r>
          </w:p>
          <w:p w:rsidR="009A2FE1" w:rsidRDefault="009A2FE1">
            <w:pPr>
              <w:pStyle w:val="SingleSpacing"/>
              <w:spacing w:line="240" w:lineRule="auto"/>
            </w:pPr>
          </w:p>
          <w:p w:rsidR="009A2FE1" w:rsidRDefault="00115330">
            <w:pPr>
              <w:pStyle w:val="BodyText2"/>
            </w:pPr>
            <w:r>
              <w:t>COMMENTS OF BOISE WHITE PAPER, L.L.C.</w:t>
            </w:r>
          </w:p>
          <w:p w:rsidR="009A2FE1" w:rsidRDefault="009A2FE1">
            <w:pPr>
              <w:pStyle w:val="BodyText2"/>
            </w:pPr>
          </w:p>
        </w:tc>
      </w:tr>
    </w:tbl>
    <w:p w:rsidR="009A2FE1" w:rsidRDefault="009A2FE1">
      <w:pPr>
        <w:spacing w:line="480" w:lineRule="auto"/>
        <w:jc w:val="center"/>
        <w:rPr>
          <w:b/>
        </w:rPr>
      </w:pPr>
    </w:p>
    <w:p w:rsidR="009A2FE1" w:rsidRDefault="00115330">
      <w:pPr>
        <w:numPr>
          <w:ilvl w:val="0"/>
          <w:numId w:val="9"/>
        </w:numPr>
        <w:spacing w:line="480" w:lineRule="auto"/>
        <w:jc w:val="center"/>
        <w:rPr>
          <w:b/>
        </w:rPr>
      </w:pPr>
      <w:r>
        <w:rPr>
          <w:b/>
        </w:rPr>
        <w:t xml:space="preserve">  INTRODUCTION</w:t>
      </w:r>
    </w:p>
    <w:p w:rsidR="009A2FE1" w:rsidRDefault="00115330">
      <w:pPr>
        <w:pStyle w:val="WUTCParagraph"/>
      </w:pPr>
      <w:r>
        <w:tab/>
        <w:t>Pursuant to the Washington Utilities and Transportation Commission’s (“WUTC” or the “Commission”) notice of opportunity to file written comments in this docket,</w:t>
      </w:r>
      <w:r>
        <w:rPr>
          <w:rStyle w:val="FootnoteReference"/>
        </w:rPr>
        <w:footnoteReference w:id="1"/>
      </w:r>
      <w:r>
        <w:rPr>
          <w:vertAlign w:val="superscript"/>
        </w:rPr>
        <w:t>/</w:t>
      </w:r>
      <w:r>
        <w:t xml:space="preserve"> Boise White Paper, L.L.C. (“Boise”) submits the following comments regarding Pacific Power and Light Company’s (“Pacific Power” or the “Company”) participation in the California Independent System Operator’s (“CAISO”) Energy Imbalance Market (“EIM”).</w:t>
      </w:r>
    </w:p>
    <w:p w:rsidR="009A2FE1" w:rsidRDefault="00115330">
      <w:pPr>
        <w:numPr>
          <w:ilvl w:val="0"/>
          <w:numId w:val="9"/>
        </w:numPr>
        <w:spacing w:line="480" w:lineRule="auto"/>
        <w:jc w:val="center"/>
        <w:rPr>
          <w:b/>
        </w:rPr>
      </w:pPr>
      <w:r>
        <w:rPr>
          <w:b/>
        </w:rPr>
        <w:t>COMM</w:t>
      </w:r>
      <w:r>
        <w:rPr>
          <w:b/>
        </w:rPr>
        <w:t>ENTS</w:t>
      </w:r>
    </w:p>
    <w:p w:rsidR="009A2FE1" w:rsidRDefault="00115330">
      <w:pPr>
        <w:spacing w:after="240"/>
        <w:ind w:left="1440" w:hanging="720"/>
        <w:rPr>
          <w:b/>
        </w:rPr>
      </w:pPr>
      <w:r>
        <w:rPr>
          <w:b/>
        </w:rPr>
        <w:t>A.</w:t>
      </w:r>
      <w:r>
        <w:rPr>
          <w:b/>
        </w:rPr>
        <w:tab/>
        <w:t>Benefits to Pacific Power and Its Washington Ratepayers from Participation in the EIM.</w:t>
      </w:r>
    </w:p>
    <w:p w:rsidR="009A2FE1" w:rsidRDefault="00115330">
      <w:pPr>
        <w:pStyle w:val="WUTCParagraph"/>
        <w:tabs>
          <w:tab w:val="num" w:pos="0"/>
        </w:tabs>
      </w:pPr>
      <w:r>
        <w:tab/>
        <w:t>The Commission seeks “information concerning the estimated benefits to Pacific Power and its Washington ratepayers from participation in the EIM, as well as any</w:t>
      </w:r>
      <w:r>
        <w:t xml:space="preserve"> actual benefits calculated since the EIM began in November 2014.”</w:t>
      </w:r>
      <w:r>
        <w:rPr>
          <w:rStyle w:val="FootnoteReference"/>
        </w:rPr>
        <w:footnoteReference w:id="2"/>
      </w:r>
      <w:proofErr w:type="gramStart"/>
      <w:r>
        <w:rPr>
          <w:vertAlign w:val="superscript"/>
        </w:rPr>
        <w:t>/</w:t>
      </w:r>
      <w:r>
        <w:t xml:space="preserve">  Such</w:t>
      </w:r>
      <w:proofErr w:type="gramEnd"/>
      <w:r>
        <w:t xml:space="preserve"> EIM benefits information, including actual benefits calculations, is now available for Commission review.  This is important to note because the Commission had found that Boise esti</w:t>
      </w:r>
      <w:r>
        <w:t>mates of EIM costs and benefits in the Company’s 2014 general rate case, while “insightful,” were nonetheless “too uncertain” when based primarily on pre-operational EIM reporting data.</w:t>
      </w:r>
      <w:r>
        <w:rPr>
          <w:rStyle w:val="FootnoteReference"/>
        </w:rPr>
        <w:footnoteReference w:id="3"/>
      </w:r>
      <w:proofErr w:type="gramStart"/>
      <w:r>
        <w:rPr>
          <w:vertAlign w:val="superscript"/>
        </w:rPr>
        <w:t>/</w:t>
      </w:r>
      <w:r>
        <w:t xml:space="preserve">  Conversely</w:t>
      </w:r>
      <w:proofErr w:type="gramEnd"/>
      <w:r>
        <w:t>, the Company now “has more actual data and operational e</w:t>
      </w:r>
      <w:r>
        <w:t>xperience …. [t]o determine costs [and benefits] that the Commission can consider to be known and measurable for purposes of setting rates.”</w:t>
      </w:r>
      <w:r>
        <w:rPr>
          <w:rStyle w:val="FootnoteReference"/>
        </w:rPr>
        <w:footnoteReference w:id="4"/>
      </w:r>
      <w:r>
        <w:rPr>
          <w:vertAlign w:val="superscript"/>
        </w:rPr>
        <w:t>/</w:t>
      </w:r>
    </w:p>
    <w:p w:rsidR="009A2FE1" w:rsidRDefault="00115330">
      <w:pPr>
        <w:pStyle w:val="WUTCParagraph"/>
        <w:tabs>
          <w:tab w:val="num" w:pos="0"/>
        </w:tabs>
      </w:pPr>
      <w:r>
        <w:tab/>
        <w:t>For example, on April 1, 2015, the Company filed its 2016 Transition Adjustment Mechanism (“TAM”) with the Publi</w:t>
      </w:r>
      <w:r>
        <w:t>c Utility Commission of Oregon (“OPUC”).</w:t>
      </w:r>
      <w:r>
        <w:rPr>
          <w:rStyle w:val="FootnoteReference"/>
        </w:rPr>
        <w:footnoteReference w:id="5"/>
      </w:r>
      <w:proofErr w:type="gramStart"/>
      <w:r>
        <w:rPr>
          <w:vertAlign w:val="superscript"/>
        </w:rPr>
        <w:t>/</w:t>
      </w:r>
      <w:r>
        <w:t xml:space="preserve">  The</w:t>
      </w:r>
      <w:proofErr w:type="gramEnd"/>
      <w:r>
        <w:t xml:space="preserve"> TAM is an annual filing that updates the Company’s projected net power costs for the following year in Oregon.  In its filing, Pacific Power included EIM benefits for 2016 of $9.4 million on a total-Company b</w:t>
      </w:r>
      <w:r>
        <w:t>asis.</w:t>
      </w:r>
      <w:r>
        <w:rPr>
          <w:rStyle w:val="FootnoteReference"/>
        </w:rPr>
        <w:footnoteReference w:id="6"/>
      </w:r>
      <w:proofErr w:type="gramStart"/>
      <w:r>
        <w:rPr>
          <w:vertAlign w:val="superscript"/>
        </w:rPr>
        <w:t>/</w:t>
      </w:r>
      <w:r>
        <w:t xml:space="preserve">  Pacific</w:t>
      </w:r>
      <w:proofErr w:type="gramEnd"/>
      <w:r>
        <w:t xml:space="preserve"> Power “based its forecast of EIM benefits on </w:t>
      </w:r>
      <w:r>
        <w:rPr>
          <w:i/>
        </w:rPr>
        <w:t>actual results</w:t>
      </w:r>
      <w:r>
        <w:t xml:space="preserve"> from December 2014 and January 2015 because this was the most recent, representative </w:t>
      </w:r>
      <w:r>
        <w:rPr>
          <w:i/>
        </w:rPr>
        <w:t>actual data</w:t>
      </w:r>
      <w:r>
        <w:t xml:space="preserve"> available at the time NPC was prepared.”</w:t>
      </w:r>
      <w:r>
        <w:rPr>
          <w:rStyle w:val="FootnoteReference"/>
        </w:rPr>
        <w:footnoteReference w:id="7"/>
      </w:r>
      <w:proofErr w:type="gramStart"/>
      <w:r>
        <w:rPr>
          <w:vertAlign w:val="superscript"/>
        </w:rPr>
        <w:t>/</w:t>
      </w:r>
      <w:r>
        <w:t xml:space="preserve">  In</w:t>
      </w:r>
      <w:proofErr w:type="gramEnd"/>
      <w:r>
        <w:t xml:space="preserve"> short, the Company no longer mainta</w:t>
      </w:r>
      <w:r>
        <w:t>ins—as last testified before this Commission—that “it is impossible at this point to accurately project the amount of offsetting benefits in the rate period.”</w:t>
      </w:r>
      <w:r>
        <w:rPr>
          <w:rStyle w:val="FootnoteReference"/>
        </w:rPr>
        <w:footnoteReference w:id="8"/>
      </w:r>
      <w:r>
        <w:rPr>
          <w:vertAlign w:val="superscript"/>
        </w:rPr>
        <w:t>/</w:t>
      </w:r>
      <w:r>
        <w:t xml:space="preserve"> </w:t>
      </w:r>
    </w:p>
    <w:p w:rsidR="009A2FE1" w:rsidRDefault="00115330">
      <w:pPr>
        <w:pStyle w:val="WUTCParagraph"/>
        <w:tabs>
          <w:tab w:val="num" w:pos="0"/>
        </w:tabs>
      </w:pPr>
      <w:r>
        <w:tab/>
        <w:t>As more “actual results” and “actual data” become available, including further updates expect</w:t>
      </w:r>
      <w:r>
        <w:t>ed in the Company’s early August 2015 TAM rebuttal filing, Boise believes that the Company will be able to better reflect the “seasonality” of EIM benefits, since the actual data corresponding to the initial winter months used in Pacific Power’s TAM filing</w:t>
      </w:r>
      <w:r>
        <w:t xml:space="preserve"> are not indicative of the level of inter-regional dispatch benefits expected over the course of an entire year.</w:t>
      </w:r>
      <w:r>
        <w:rPr>
          <w:rStyle w:val="FootnoteReference"/>
        </w:rPr>
        <w:footnoteReference w:id="9"/>
      </w:r>
      <w:proofErr w:type="gramStart"/>
      <w:r>
        <w:rPr>
          <w:vertAlign w:val="superscript"/>
        </w:rPr>
        <w:t>/</w:t>
      </w:r>
      <w:r>
        <w:t xml:space="preserve">  Pacific</w:t>
      </w:r>
      <w:proofErr w:type="gramEnd"/>
      <w:r>
        <w:t xml:space="preserve"> Power’s TAM filing could provide the Commission with a starting point for how to quantify the benefits of the Company’s participatio</w:t>
      </w:r>
      <w:r>
        <w:t>n in the EIM.  The Company’s filing does not identify all of the benefits that it enjoys from EIM participation, however, and can be improved.</w:t>
      </w:r>
    </w:p>
    <w:p w:rsidR="009A2FE1" w:rsidRDefault="00115330">
      <w:pPr>
        <w:pStyle w:val="WUTCParagraph"/>
        <w:tabs>
          <w:tab w:val="num" w:pos="0"/>
        </w:tabs>
      </w:pPr>
      <w:r>
        <w:tab/>
        <w:t xml:space="preserve">Of particular concern for Boise is determining how EIM transfers between balancing areas should be reflected in </w:t>
      </w:r>
      <w:r>
        <w:t>Commission’s West Control Area (“WCA”) inter-jurisdictional cost allocation methodology.  The WCA methodology contains a mechanism called the “eastern control area sale” that captures the economics of hourly transactions between the eastern and western bal</w:t>
      </w:r>
      <w:r>
        <w:t xml:space="preserve">ancing authority areas.  In line with this concept, Boise believes that sub-hourly transactions made between balancing authority areas in connection with the EIM should also be reflected under the WCA methodology.   </w:t>
      </w:r>
    </w:p>
    <w:p w:rsidR="009A2FE1" w:rsidRDefault="00115330">
      <w:pPr>
        <w:pStyle w:val="WUTCParagraph"/>
        <w:tabs>
          <w:tab w:val="num" w:pos="0"/>
        </w:tabs>
      </w:pPr>
      <w:r>
        <w:tab/>
        <w:t>There are likely other issues associat</w:t>
      </w:r>
      <w:r>
        <w:t>ed with the benefits of the Company’s participation in the EIM that the Commission will need to address in this docket.  Boise may raise additional issues and comment upon issues raised by other parties over the course of this proceeding.</w:t>
      </w:r>
    </w:p>
    <w:p w:rsidR="009A2FE1" w:rsidRDefault="00115330">
      <w:pPr>
        <w:spacing w:line="480" w:lineRule="auto"/>
        <w:ind w:firstLine="720"/>
        <w:rPr>
          <w:b/>
        </w:rPr>
      </w:pPr>
      <w:r>
        <w:rPr>
          <w:b/>
        </w:rPr>
        <w:t>B.</w:t>
      </w:r>
      <w:r>
        <w:rPr>
          <w:b/>
        </w:rPr>
        <w:tab/>
        <w:t xml:space="preserve">Market </w:t>
      </w:r>
      <w:r>
        <w:rPr>
          <w:b/>
        </w:rPr>
        <w:t>Performance</w:t>
      </w:r>
    </w:p>
    <w:p w:rsidR="009A2FE1" w:rsidRDefault="00115330">
      <w:pPr>
        <w:pStyle w:val="WUTCParagraph"/>
        <w:tabs>
          <w:tab w:val="num" w:pos="0"/>
        </w:tabs>
      </w:pPr>
      <w:r>
        <w:tab/>
        <w:t>Based upon recent EIM-related filings by and with the Federal Energy Regulatory Commission, this Commission has asked the Company to identify both root causes and potential remedies regarding “market infeasibility.”</w:t>
      </w:r>
      <w:r>
        <w:rPr>
          <w:rStyle w:val="FootnoteReference"/>
        </w:rPr>
        <w:footnoteReference w:id="10"/>
      </w:r>
      <w:proofErr w:type="gramStart"/>
      <w:r>
        <w:rPr>
          <w:vertAlign w:val="superscript"/>
        </w:rPr>
        <w:t>/</w:t>
      </w:r>
      <w:r>
        <w:t xml:space="preserve">  This</w:t>
      </w:r>
      <w:proofErr w:type="gramEnd"/>
      <w:r>
        <w:t xml:space="preserve"> is a new issue that</w:t>
      </w:r>
      <w:r>
        <w:t xml:space="preserve"> Boise is also investigating and, as such, looks forward to the Company’s comments and workshop presentation.  Boise may have more definite ideas to share in a workshop setting, based upon the information supplied by the Company.</w:t>
      </w:r>
    </w:p>
    <w:p w:rsidR="009A2FE1" w:rsidRDefault="00115330">
      <w:pPr>
        <w:numPr>
          <w:ilvl w:val="0"/>
          <w:numId w:val="9"/>
        </w:numPr>
        <w:spacing w:line="480" w:lineRule="auto"/>
        <w:jc w:val="center"/>
        <w:rPr>
          <w:b/>
        </w:rPr>
      </w:pPr>
      <w:r>
        <w:rPr>
          <w:b/>
        </w:rPr>
        <w:t>CONCLUSION</w:t>
      </w:r>
    </w:p>
    <w:p w:rsidR="009A2FE1" w:rsidRDefault="00115330">
      <w:pPr>
        <w:pStyle w:val="WUTCParagraph"/>
        <w:tabs>
          <w:tab w:val="num" w:pos="0"/>
        </w:tabs>
      </w:pPr>
      <w:r>
        <w:tab/>
      </w:r>
      <w:r>
        <w:t xml:space="preserve">In general, Boise is very supportive of the Commission’s efforts to accurately assess the costs and benefits associated with Pacific Power’s participation in the EIM.  Boise appreciates the opportunity to provide these comments and plans to participate in </w:t>
      </w:r>
      <w:r>
        <w:t xml:space="preserve">the upcoming workshop. </w:t>
      </w:r>
    </w:p>
    <w:p w:rsidR="009A2FE1" w:rsidRDefault="00115330">
      <w:pPr>
        <w:keepNext/>
        <w:spacing w:line="480" w:lineRule="auto"/>
        <w:ind w:firstLine="1426"/>
      </w:pPr>
      <w:proofErr w:type="gramStart"/>
      <w:r>
        <w:t>Dated this 21st day of July, 2015.</w:t>
      </w:r>
      <w:proofErr w:type="gramEnd"/>
    </w:p>
    <w:p w:rsidR="009A2FE1" w:rsidRDefault="00115330">
      <w:pPr>
        <w:spacing w:line="480" w:lineRule="auto"/>
        <w:ind w:left="2880" w:firstLine="720"/>
      </w:pPr>
      <w:r>
        <w:t>Respectfully submitted,</w:t>
      </w:r>
    </w:p>
    <w:p w:rsidR="009A2FE1" w:rsidRDefault="00115330">
      <w:pPr>
        <w:spacing w:line="480" w:lineRule="auto"/>
        <w:ind w:firstLine="720"/>
      </w:pPr>
      <w:r>
        <w:tab/>
      </w:r>
      <w:r>
        <w:tab/>
      </w:r>
      <w:r>
        <w:tab/>
      </w:r>
      <w:r>
        <w:tab/>
        <w:t>DAVISON VAN CLEVE, P.C.</w:t>
      </w:r>
    </w:p>
    <w:p w:rsidR="009A2FE1" w:rsidRDefault="009A2FE1">
      <w:pPr>
        <w:ind w:left="2880" w:firstLine="720"/>
        <w:rPr>
          <w:i/>
          <w:u w:val="single"/>
        </w:rPr>
      </w:pPr>
    </w:p>
    <w:p w:rsidR="009A2FE1" w:rsidRDefault="009A2FE1">
      <w:pPr>
        <w:ind w:left="2880" w:firstLine="720"/>
        <w:jc w:val="both"/>
        <w:rPr>
          <w:i/>
          <w:u w:val="single"/>
        </w:rPr>
      </w:pPr>
    </w:p>
    <w:p w:rsidR="009A2FE1" w:rsidRDefault="00115330">
      <w:pPr>
        <w:ind w:left="2880" w:firstLine="720"/>
        <w:jc w:val="both"/>
        <w:rPr>
          <w:i/>
          <w:u w:val="single"/>
        </w:rPr>
      </w:pPr>
      <w:r>
        <w:rPr>
          <w:i/>
          <w:u w:val="single"/>
        </w:rPr>
        <w:t>/s/ Jesse E. Cowell</w:t>
      </w:r>
    </w:p>
    <w:p w:rsidR="009A2FE1" w:rsidRDefault="00115330">
      <w:pPr>
        <w:keepNext/>
        <w:ind w:firstLine="3600"/>
      </w:pPr>
      <w:r>
        <w:t>Jesse E. Cowell</w:t>
      </w:r>
    </w:p>
    <w:p w:rsidR="009A2FE1" w:rsidRDefault="00115330">
      <w:pPr>
        <w:keepNext/>
        <w:ind w:firstLine="3600"/>
      </w:pPr>
      <w:r>
        <w:t>333 S.W. Taylor, Suite 400</w:t>
      </w:r>
    </w:p>
    <w:p w:rsidR="009A2FE1" w:rsidRDefault="00115330">
      <w:pPr>
        <w:keepNext/>
        <w:ind w:firstLine="3600"/>
      </w:pPr>
      <w:r>
        <w:t>Portland, Oregon 97204</w:t>
      </w:r>
    </w:p>
    <w:p w:rsidR="009A2FE1" w:rsidRDefault="00115330">
      <w:pPr>
        <w:keepNext/>
        <w:ind w:firstLine="3600"/>
      </w:pPr>
      <w:r>
        <w:t>(503) 241-7242 phone</w:t>
      </w:r>
    </w:p>
    <w:p w:rsidR="009A2FE1" w:rsidRDefault="00115330">
      <w:pPr>
        <w:keepNext/>
        <w:ind w:firstLine="3600"/>
      </w:pPr>
      <w:r>
        <w:t>(503) 241-8160 facsimile</w:t>
      </w:r>
    </w:p>
    <w:p w:rsidR="009A2FE1" w:rsidRDefault="00115330">
      <w:pPr>
        <w:keepNext/>
        <w:ind w:firstLine="3600"/>
      </w:pPr>
      <w:r>
        <w:t>jec@dvclaw.</w:t>
      </w:r>
      <w:r>
        <w:t>com</w:t>
      </w:r>
    </w:p>
    <w:p w:rsidR="009A2FE1" w:rsidRDefault="00115330">
      <w:pPr>
        <w:ind w:left="2160" w:firstLine="1440"/>
      </w:pPr>
      <w:proofErr w:type="gramStart"/>
      <w:r>
        <w:t>Of Attorneys for Boise White Paper, L.L.C.</w:t>
      </w:r>
      <w:proofErr w:type="gramEnd"/>
    </w:p>
    <w:sectPr w:rsidR="009A2FE1" w:rsidSect="009A2FE1">
      <w:footerReference w:type="even" r:id="rId8"/>
      <w:footerReference w:type="default" r:id="rId9"/>
      <w:pgSz w:w="12240" w:h="15840"/>
      <w:pgMar w:top="1080" w:right="1440" w:bottom="1350" w:left="2160" w:header="720" w:footer="5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330" w:rsidRDefault="00115330">
      <w:r>
        <w:separator/>
      </w:r>
    </w:p>
  </w:endnote>
  <w:endnote w:type="continuationSeparator" w:id="0">
    <w:p w:rsidR="00115330" w:rsidRDefault="00115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E1" w:rsidRDefault="009A2FE1">
    <w:pPr>
      <w:pStyle w:val="Footer"/>
      <w:framePr w:wrap="around" w:vAnchor="text" w:hAnchor="margin" w:xAlign="center" w:y="1"/>
      <w:rPr>
        <w:rStyle w:val="PageNumber"/>
        <w:snapToGrid/>
        <w:szCs w:val="24"/>
      </w:rPr>
    </w:pPr>
    <w:r>
      <w:rPr>
        <w:rStyle w:val="PageNumber"/>
      </w:rPr>
      <w:fldChar w:fldCharType="begin"/>
    </w:r>
    <w:r w:rsidR="00115330">
      <w:rPr>
        <w:rStyle w:val="PageNumber"/>
      </w:rPr>
      <w:instrText xml:space="preserve">PAGE  </w:instrText>
    </w:r>
    <w:r>
      <w:rPr>
        <w:rStyle w:val="PageNumber"/>
      </w:rPr>
      <w:fldChar w:fldCharType="end"/>
    </w:r>
  </w:p>
  <w:p w:rsidR="009A2FE1" w:rsidRDefault="009A2F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E1" w:rsidRDefault="009A2FE1">
    <w:pPr>
      <w:pStyle w:val="Footer"/>
    </w:pPr>
  </w:p>
  <w:p w:rsidR="009A2FE1" w:rsidRDefault="00115330">
    <w:pPr>
      <w:pStyle w:val="Footer"/>
    </w:pPr>
    <w:r>
      <w:t xml:space="preserve">PAGE </w:t>
    </w:r>
    <w:r w:rsidR="009A2FE1">
      <w:fldChar w:fldCharType="begin"/>
    </w:r>
    <w:r>
      <w:instrText xml:space="preserve"> PAGE </w:instrText>
    </w:r>
    <w:r w:rsidR="009A2FE1">
      <w:fldChar w:fldCharType="separate"/>
    </w:r>
    <w:r w:rsidR="0031272E">
      <w:rPr>
        <w:noProof/>
      </w:rPr>
      <w:t>1</w:t>
    </w:r>
    <w:r w:rsidR="009A2FE1">
      <w:rPr>
        <w:noProof/>
      </w:rPr>
      <w:fldChar w:fldCharType="end"/>
    </w:r>
    <w:r>
      <w:t xml:space="preserve"> – COMMENTS OF BOISE </w:t>
    </w:r>
  </w:p>
  <w:p w:rsidR="009A2FE1" w:rsidRDefault="009A2FE1">
    <w:pPr>
      <w:pStyle w:val="Footer"/>
      <w:rPr>
        <w:rStyle w:val="PageNumber"/>
      </w:rPr>
    </w:pPr>
  </w:p>
  <w:p w:rsidR="009A2FE1" w:rsidRDefault="00115330">
    <w:pPr>
      <w:jc w:val="center"/>
      <w:rPr>
        <w:sz w:val="15"/>
        <w:szCs w:val="15"/>
      </w:rPr>
    </w:pPr>
    <w:r>
      <w:rPr>
        <w:sz w:val="15"/>
        <w:szCs w:val="15"/>
      </w:rPr>
      <w:t>DAVISON VAN CLEVE, P.C.</w:t>
    </w:r>
  </w:p>
  <w:p w:rsidR="009A2FE1" w:rsidRDefault="00115330">
    <w:pPr>
      <w:tabs>
        <w:tab w:val="center" w:pos="4680"/>
      </w:tabs>
      <w:jc w:val="center"/>
      <w:rPr>
        <w:sz w:val="15"/>
        <w:szCs w:val="15"/>
      </w:rPr>
    </w:pPr>
    <w:r>
      <w:rPr>
        <w:sz w:val="15"/>
        <w:szCs w:val="15"/>
      </w:rPr>
      <w:t>333 S.W. Taylor, Suite 400</w:t>
    </w:r>
  </w:p>
  <w:p w:rsidR="009A2FE1" w:rsidRDefault="00115330">
    <w:pPr>
      <w:tabs>
        <w:tab w:val="center" w:pos="4680"/>
      </w:tabs>
      <w:jc w:val="center"/>
      <w:rPr>
        <w:sz w:val="15"/>
        <w:szCs w:val="15"/>
      </w:rPr>
    </w:pPr>
    <w:r>
      <w:rPr>
        <w:sz w:val="15"/>
        <w:szCs w:val="15"/>
      </w:rPr>
      <w:t>Portland, OR 97204</w:t>
    </w:r>
  </w:p>
  <w:p w:rsidR="009A2FE1" w:rsidRDefault="00115330">
    <w:pPr>
      <w:tabs>
        <w:tab w:val="center" w:pos="4680"/>
      </w:tabs>
      <w:jc w:val="center"/>
      <w:rPr>
        <w:sz w:val="15"/>
        <w:szCs w:val="15"/>
      </w:rPr>
    </w:pPr>
    <w:r>
      <w:rPr>
        <w:sz w:val="15"/>
        <w:szCs w:val="15"/>
      </w:rPr>
      <w:t>Telephone:  (503) 241-7242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330" w:rsidRDefault="00115330">
      <w:r>
        <w:separator/>
      </w:r>
    </w:p>
  </w:footnote>
  <w:footnote w:type="continuationSeparator" w:id="0">
    <w:p w:rsidR="00115330" w:rsidRDefault="00115330">
      <w:r>
        <w:continuationSeparator/>
      </w:r>
    </w:p>
  </w:footnote>
  <w:footnote w:id="1">
    <w:p w:rsidR="009A2FE1" w:rsidRDefault="00115330">
      <w:pPr>
        <w:pStyle w:val="FootnoteText"/>
        <w:rPr>
          <w:u w:val="single"/>
        </w:rPr>
      </w:pPr>
      <w:r>
        <w:rPr>
          <w:rStyle w:val="FootnoteReference"/>
        </w:rPr>
        <w:footnoteRef/>
      </w:r>
      <w:r>
        <w:rPr>
          <w:vertAlign w:val="superscript"/>
        </w:rPr>
        <w:t>/</w:t>
      </w:r>
      <w:r>
        <w:t xml:space="preserve"> </w:t>
      </w:r>
      <w:r>
        <w:tab/>
        <w:t>WUTC Notice of Opportunity to File Written Comments and</w:t>
      </w:r>
      <w:r>
        <w:t xml:space="preserve"> Notice of Workshop (July 10, 2015) (“Notices”).</w:t>
      </w:r>
    </w:p>
  </w:footnote>
  <w:footnote w:id="2">
    <w:p w:rsidR="009A2FE1" w:rsidRDefault="00115330">
      <w:pPr>
        <w:pStyle w:val="FootnoteText"/>
        <w:rPr>
          <w:u w:val="single"/>
        </w:rPr>
      </w:pPr>
      <w:r>
        <w:rPr>
          <w:rStyle w:val="FootnoteReference"/>
        </w:rPr>
        <w:footnoteRef/>
      </w:r>
      <w:r>
        <w:rPr>
          <w:vertAlign w:val="superscript"/>
        </w:rPr>
        <w:t>/</w:t>
      </w:r>
      <w:r>
        <w:t xml:space="preserve"> </w:t>
      </w:r>
      <w:r>
        <w:tab/>
      </w:r>
      <w:r>
        <w:rPr>
          <w:u w:val="single"/>
        </w:rPr>
        <w:t>Id.</w:t>
      </w:r>
      <w:r>
        <w:t xml:space="preserve"> at 1-2.</w:t>
      </w:r>
    </w:p>
  </w:footnote>
  <w:footnote w:id="3">
    <w:p w:rsidR="009A2FE1" w:rsidRDefault="00115330">
      <w:pPr>
        <w:pStyle w:val="FootnoteText"/>
        <w:rPr>
          <w:u w:val="single"/>
        </w:rPr>
      </w:pPr>
      <w:r>
        <w:rPr>
          <w:rStyle w:val="FootnoteReference"/>
        </w:rPr>
        <w:footnoteRef/>
      </w:r>
      <w:r>
        <w:rPr>
          <w:vertAlign w:val="superscript"/>
        </w:rPr>
        <w:t>/</w:t>
      </w:r>
      <w:r>
        <w:t xml:space="preserve"> </w:t>
      </w:r>
      <w:r>
        <w:tab/>
      </w:r>
      <w:r>
        <w:rPr>
          <w:u w:val="single"/>
        </w:rPr>
        <w:t>WUTC v. Pacific Power</w:t>
      </w:r>
      <w:r>
        <w:t xml:space="preserve">, Dockets UE-140762 </w:t>
      </w:r>
      <w:r>
        <w:rPr>
          <w:i/>
        </w:rPr>
        <w:t>et al.</w:t>
      </w:r>
      <w:r>
        <w:t>, Order 08 ¶ 89 (Mar. 25, 2015).</w:t>
      </w:r>
    </w:p>
  </w:footnote>
  <w:footnote w:id="4">
    <w:p w:rsidR="009A2FE1" w:rsidRDefault="00115330">
      <w:pPr>
        <w:pStyle w:val="FootnoteText"/>
      </w:pPr>
      <w:r>
        <w:rPr>
          <w:rStyle w:val="FootnoteReference"/>
        </w:rPr>
        <w:footnoteRef/>
      </w:r>
      <w:r>
        <w:rPr>
          <w:vertAlign w:val="superscript"/>
        </w:rPr>
        <w:t>/</w:t>
      </w:r>
      <w:r>
        <w:t xml:space="preserve"> </w:t>
      </w:r>
      <w:r>
        <w:tab/>
      </w:r>
      <w:r>
        <w:rPr>
          <w:u w:val="single"/>
        </w:rPr>
        <w:t>Id.</w:t>
      </w:r>
    </w:p>
  </w:footnote>
  <w:footnote w:id="5">
    <w:p w:rsidR="009A2FE1" w:rsidRDefault="00115330">
      <w:pPr>
        <w:pStyle w:val="FootnoteText"/>
        <w:rPr>
          <w:u w:val="single"/>
        </w:rPr>
      </w:pPr>
      <w:r>
        <w:rPr>
          <w:rStyle w:val="FootnoteReference"/>
        </w:rPr>
        <w:footnoteRef/>
      </w:r>
      <w:r>
        <w:rPr>
          <w:vertAlign w:val="superscript"/>
        </w:rPr>
        <w:t>/</w:t>
      </w:r>
      <w:r>
        <w:t xml:space="preserve"> </w:t>
      </w:r>
      <w:r>
        <w:tab/>
      </w:r>
      <w:r>
        <w:rPr>
          <w:u w:val="single"/>
        </w:rPr>
        <w:t>See</w:t>
      </w:r>
      <w:r>
        <w:t xml:space="preserve"> </w:t>
      </w:r>
      <w:r>
        <w:rPr>
          <w:u w:val="single"/>
        </w:rPr>
        <w:t>Re PacifiCorp, 2016 TAM</w:t>
      </w:r>
      <w:r>
        <w:t>, OPUC Docket UE 296.</w:t>
      </w:r>
    </w:p>
  </w:footnote>
  <w:footnote w:id="6">
    <w:p w:rsidR="009A2FE1" w:rsidRDefault="00115330">
      <w:pPr>
        <w:pStyle w:val="FootnoteText"/>
        <w:rPr>
          <w:u w:val="single"/>
        </w:rPr>
      </w:pPr>
      <w:r>
        <w:rPr>
          <w:rStyle w:val="FootnoteReference"/>
        </w:rPr>
        <w:footnoteRef/>
      </w:r>
      <w:r>
        <w:rPr>
          <w:vertAlign w:val="superscript"/>
        </w:rPr>
        <w:t>/</w:t>
      </w:r>
      <w:r>
        <w:t xml:space="preserve"> </w:t>
      </w:r>
      <w:r>
        <w:tab/>
      </w:r>
      <w:r>
        <w:rPr>
          <w:u w:val="single"/>
        </w:rPr>
        <w:t>Id.</w:t>
      </w:r>
      <w:r>
        <w:t xml:space="preserve"> at PAC/100, Dickman/9.</w:t>
      </w:r>
    </w:p>
  </w:footnote>
  <w:footnote w:id="7">
    <w:p w:rsidR="009A2FE1" w:rsidRDefault="00115330">
      <w:pPr>
        <w:pStyle w:val="FootnoteText"/>
        <w:rPr>
          <w:u w:val="single"/>
        </w:rPr>
      </w:pPr>
      <w:r>
        <w:rPr>
          <w:rStyle w:val="FootnoteReference"/>
        </w:rPr>
        <w:footnoteRef/>
      </w:r>
      <w:r>
        <w:rPr>
          <w:vertAlign w:val="superscript"/>
        </w:rPr>
        <w:t>/</w:t>
      </w:r>
      <w:r>
        <w:t xml:space="preserve"> </w:t>
      </w:r>
      <w:r>
        <w:tab/>
      </w:r>
      <w:r>
        <w:rPr>
          <w:u w:val="single"/>
        </w:rPr>
        <w:t>Id.</w:t>
      </w:r>
      <w:r>
        <w:t xml:space="preserve"> at PAC/100, Dickman/13:5-7 (emphasis added).</w:t>
      </w:r>
    </w:p>
  </w:footnote>
  <w:footnote w:id="8">
    <w:p w:rsidR="009A2FE1" w:rsidRDefault="00115330">
      <w:pPr>
        <w:pStyle w:val="FootnoteText"/>
        <w:tabs>
          <w:tab w:val="left" w:pos="810"/>
        </w:tabs>
      </w:pPr>
      <w:r>
        <w:rPr>
          <w:rStyle w:val="FootnoteReference"/>
        </w:rPr>
        <w:footnoteRef/>
      </w:r>
      <w:r>
        <w:rPr>
          <w:vertAlign w:val="superscript"/>
        </w:rPr>
        <w:t>/</w:t>
      </w:r>
      <w:r>
        <w:tab/>
        <w:t xml:space="preserve">Dockets UE-140762 </w:t>
      </w:r>
      <w:r>
        <w:rPr>
          <w:i/>
        </w:rPr>
        <w:t>et al.</w:t>
      </w:r>
      <w:r>
        <w:t xml:space="preserve">, </w:t>
      </w:r>
      <w:proofErr w:type="spellStart"/>
      <w:r>
        <w:t>Exh</w:t>
      </w:r>
      <w:proofErr w:type="spellEnd"/>
      <w:r>
        <w:t xml:space="preserve">. No. GND-4T at 30:22-23.    </w:t>
      </w:r>
    </w:p>
  </w:footnote>
  <w:footnote w:id="9">
    <w:p w:rsidR="009A2FE1" w:rsidRDefault="00115330">
      <w:pPr>
        <w:pStyle w:val="FootnoteText"/>
        <w:rPr>
          <w:u w:val="single"/>
        </w:rPr>
      </w:pPr>
      <w:r>
        <w:rPr>
          <w:rStyle w:val="FootnoteReference"/>
        </w:rPr>
        <w:footnoteRef/>
      </w:r>
      <w:r>
        <w:rPr>
          <w:vertAlign w:val="superscript"/>
        </w:rPr>
        <w:t>/</w:t>
      </w:r>
      <w:r>
        <w:t xml:space="preserve"> </w:t>
      </w:r>
      <w:r>
        <w:tab/>
      </w:r>
      <w:r>
        <w:rPr>
          <w:u w:val="single"/>
        </w:rPr>
        <w:t>See</w:t>
      </w:r>
      <w:r>
        <w:t xml:space="preserve"> </w:t>
      </w:r>
      <w:r w:rsidR="0031272E">
        <w:rPr>
          <w:u w:val="single"/>
        </w:rPr>
        <w:t>Re PacifiCorp, 2016 TAM</w:t>
      </w:r>
      <w:r w:rsidR="0031272E">
        <w:t xml:space="preserve">, OPUC Docket UE </w:t>
      </w:r>
      <w:r w:rsidR="0031272E">
        <w:t>296</w:t>
      </w:r>
      <w:r>
        <w:t>, ICNU/100, Mullins/35-36.</w:t>
      </w:r>
    </w:p>
  </w:footnote>
  <w:footnote w:id="10">
    <w:p w:rsidR="009A2FE1" w:rsidRDefault="00115330">
      <w:pPr>
        <w:pStyle w:val="FootnoteText"/>
        <w:rPr>
          <w:u w:val="single"/>
        </w:rPr>
      </w:pPr>
      <w:r>
        <w:rPr>
          <w:rStyle w:val="FootnoteReference"/>
        </w:rPr>
        <w:footnoteRef/>
      </w:r>
      <w:r>
        <w:rPr>
          <w:vertAlign w:val="superscript"/>
        </w:rPr>
        <w:t>/</w:t>
      </w:r>
      <w:r>
        <w:t xml:space="preserve"> </w:t>
      </w:r>
      <w:r>
        <w:tab/>
        <w:t>Notices at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FA0"/>
    <w:multiLevelType w:val="hybridMultilevel"/>
    <w:tmpl w:val="2DBCE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ED077B"/>
    <w:multiLevelType w:val="hybridMultilevel"/>
    <w:tmpl w:val="111220A2"/>
    <w:lvl w:ilvl="0" w:tplc="6A10635A">
      <w:start w:val="1"/>
      <w:numFmt w:val="upperRoman"/>
      <w:lvlText w:val="%1."/>
      <w:lvlJc w:val="left"/>
      <w:pPr>
        <w:ind w:left="240" w:hanging="72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2">
    <w:nsid w:val="20A805E2"/>
    <w:multiLevelType w:val="multilevel"/>
    <w:tmpl w:val="2BFCE33E"/>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nsid w:val="30C40FF1"/>
    <w:multiLevelType w:val="multilevel"/>
    <w:tmpl w:val="5E880E36"/>
    <w:lvl w:ilvl="0">
      <w:start w:val="1"/>
      <w:numFmt w:val="upperRoman"/>
      <w:lvlText w:val="%1."/>
      <w:lvlJc w:val="left"/>
      <w:pPr>
        <w:tabs>
          <w:tab w:val="num" w:pos="0"/>
        </w:tabs>
        <w:ind w:left="0" w:hanging="720"/>
      </w:pPr>
      <w:rPr>
        <w:rFonts w:ascii="Times New Roman" w:hAnsi="Times New Roman" w:hint="default"/>
        <w:b/>
        <w:i w:val="0"/>
        <w:sz w:val="24"/>
      </w:rPr>
    </w:lvl>
    <w:lvl w:ilvl="1">
      <w:start w:val="1"/>
      <w:numFmt w:val="upperLetter"/>
      <w:lvlText w:val="%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DAC7D56"/>
    <w:multiLevelType w:val="multilevel"/>
    <w:tmpl w:val="3F90C6A6"/>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decimal"/>
      <w:lvlText w:val="%2."/>
      <w:lvlJc w:val="left"/>
      <w:pPr>
        <w:tabs>
          <w:tab w:val="num" w:pos="1440"/>
        </w:tabs>
        <w:ind w:left="1440" w:hanging="720"/>
      </w:pPr>
      <w:rPr>
        <w:rFonts w:ascii="Times New Roman" w:hAnsi="Times New Roman"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CAD1C4B"/>
    <w:multiLevelType w:val="hybridMultilevel"/>
    <w:tmpl w:val="A888F494"/>
    <w:lvl w:ilvl="0" w:tplc="80FCA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31D5B"/>
    <w:multiLevelType w:val="hybridMultilevel"/>
    <w:tmpl w:val="A24CDA9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D54E62"/>
    <w:multiLevelType w:val="multilevel"/>
    <w:tmpl w:val="F31E5080"/>
    <w:lvl w:ilvl="0">
      <w:start w:val="1"/>
      <w:numFmt w:val="upperRoman"/>
      <w:lvlText w:val="%1."/>
      <w:lvlJc w:val="left"/>
      <w:pPr>
        <w:tabs>
          <w:tab w:val="num" w:pos="1440"/>
        </w:tabs>
        <w:ind w:left="1440" w:hanging="720"/>
      </w:pPr>
      <w:rPr>
        <w:rFonts w:ascii="Times New Roman" w:hAnsi="Times New Roman" w:hint="default"/>
        <w:b/>
        <w:i w:val="0"/>
        <w:sz w:val="24"/>
      </w:rPr>
    </w:lvl>
    <w:lvl w:ilvl="1">
      <w:start w:val="1"/>
      <w:numFmt w:val="upperLetter"/>
      <w:lvlText w:val="%2."/>
      <w:lvlJc w:val="left"/>
      <w:pPr>
        <w:tabs>
          <w:tab w:val="num" w:pos="2160"/>
        </w:tabs>
        <w:ind w:left="2160" w:hanging="720"/>
      </w:pPr>
      <w:rPr>
        <w:rFonts w:ascii="Times New Roman" w:hAnsi="Times New Roman" w:hint="default"/>
        <w:b/>
        <w:i w:val="0"/>
        <w:sz w:val="24"/>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7"/>
  </w:num>
  <w:num w:numId="2">
    <w:abstractNumId w:val="5"/>
  </w:num>
  <w:num w:numId="3">
    <w:abstractNumId w:val="0"/>
  </w:num>
  <w:num w:numId="4">
    <w:abstractNumId w:val="8"/>
  </w:num>
  <w:num w:numId="5">
    <w:abstractNumId w:val="3"/>
  </w:num>
  <w:num w:numId="6">
    <w:abstractNumId w:val="2"/>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7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9A2FE1"/>
    <w:rsid w:val="00115330"/>
    <w:rsid w:val="0031272E"/>
    <w:rsid w:val="009A2F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E1"/>
    <w:rPr>
      <w:sz w:val="24"/>
      <w:szCs w:val="24"/>
    </w:rPr>
  </w:style>
  <w:style w:type="paragraph" w:styleId="Heading1">
    <w:name w:val="heading 1"/>
    <w:basedOn w:val="Normal"/>
    <w:next w:val="Normal"/>
    <w:qFormat/>
    <w:rsid w:val="009A2FE1"/>
    <w:pPr>
      <w:keepNext/>
      <w:spacing w:after="240"/>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2FE1"/>
    <w:pPr>
      <w:widowControl w:val="0"/>
      <w:tabs>
        <w:tab w:val="center" w:pos="4320"/>
        <w:tab w:val="right" w:pos="8640"/>
      </w:tabs>
    </w:pPr>
    <w:rPr>
      <w:snapToGrid w:val="0"/>
      <w:szCs w:val="20"/>
    </w:rPr>
  </w:style>
  <w:style w:type="paragraph" w:customStyle="1" w:styleId="WUTCParagraph">
    <w:name w:val="WUTC Paragraph"/>
    <w:basedOn w:val="Normal"/>
    <w:link w:val="WUTCParagraphChar"/>
    <w:rsid w:val="009A2FE1"/>
    <w:pPr>
      <w:numPr>
        <w:numId w:val="1"/>
      </w:numPr>
      <w:tabs>
        <w:tab w:val="clear" w:pos="0"/>
        <w:tab w:val="left" w:pos="1440"/>
      </w:tabs>
      <w:spacing w:line="480" w:lineRule="auto"/>
    </w:pPr>
  </w:style>
  <w:style w:type="paragraph" w:customStyle="1" w:styleId="WUTCHeading1">
    <w:name w:val="WUTC Heading 1"/>
    <w:basedOn w:val="Normal"/>
    <w:next w:val="WUTCParagraph"/>
    <w:rsid w:val="009A2FE1"/>
    <w:pPr>
      <w:keepNext/>
      <w:keepLines/>
      <w:numPr>
        <w:numId w:val="6"/>
      </w:numPr>
      <w:tabs>
        <w:tab w:val="clear" w:pos="0"/>
        <w:tab w:val="left" w:pos="720"/>
      </w:tabs>
      <w:spacing w:after="240"/>
      <w:ind w:firstLine="0"/>
      <w:jc w:val="center"/>
      <w:outlineLvl w:val="0"/>
    </w:pPr>
    <w:rPr>
      <w:b/>
      <w:caps/>
    </w:rPr>
  </w:style>
  <w:style w:type="paragraph" w:customStyle="1" w:styleId="SingleSpacing">
    <w:name w:val="Single Spacing"/>
    <w:basedOn w:val="Normal"/>
    <w:rsid w:val="009A2FE1"/>
    <w:pPr>
      <w:spacing w:line="254" w:lineRule="exact"/>
    </w:pPr>
    <w:rPr>
      <w:szCs w:val="20"/>
    </w:rPr>
  </w:style>
  <w:style w:type="paragraph" w:styleId="BodyText2">
    <w:name w:val="Body Text 2"/>
    <w:basedOn w:val="Normal"/>
    <w:rsid w:val="009A2FE1"/>
    <w:rPr>
      <w:szCs w:val="20"/>
    </w:rPr>
  </w:style>
  <w:style w:type="paragraph" w:styleId="Header">
    <w:name w:val="header"/>
    <w:basedOn w:val="Normal"/>
    <w:rsid w:val="009A2FE1"/>
    <w:pPr>
      <w:tabs>
        <w:tab w:val="center" w:pos="4320"/>
        <w:tab w:val="right" w:pos="8640"/>
      </w:tabs>
    </w:pPr>
    <w:rPr>
      <w:sz w:val="20"/>
      <w:szCs w:val="20"/>
    </w:rPr>
  </w:style>
  <w:style w:type="character" w:styleId="PageNumber">
    <w:name w:val="page number"/>
    <w:basedOn w:val="DefaultParagraphFont"/>
    <w:rsid w:val="009A2FE1"/>
  </w:style>
  <w:style w:type="paragraph" w:customStyle="1" w:styleId="WUTCHeading2">
    <w:name w:val="WUTC Heading 2"/>
    <w:basedOn w:val="WUTCHeading1"/>
    <w:next w:val="WUTCParagraph"/>
    <w:rsid w:val="009A2FE1"/>
    <w:pPr>
      <w:numPr>
        <w:ilvl w:val="1"/>
      </w:numPr>
      <w:jc w:val="left"/>
      <w:outlineLvl w:val="1"/>
    </w:pPr>
    <w:rPr>
      <w:caps w:val="0"/>
    </w:rPr>
  </w:style>
  <w:style w:type="paragraph" w:customStyle="1" w:styleId="WUTCHeading3">
    <w:name w:val="WUTC Heading 3"/>
    <w:basedOn w:val="WUTCHeading1"/>
    <w:rsid w:val="009A2FE1"/>
    <w:pPr>
      <w:numPr>
        <w:ilvl w:val="2"/>
      </w:numPr>
      <w:jc w:val="left"/>
      <w:outlineLvl w:val="2"/>
    </w:pPr>
    <w:rPr>
      <w:caps w:val="0"/>
    </w:rPr>
  </w:style>
  <w:style w:type="paragraph" w:styleId="EnvelopeAddress">
    <w:name w:val="envelope address"/>
    <w:basedOn w:val="Normal"/>
    <w:rsid w:val="009A2FE1"/>
    <w:pPr>
      <w:framePr w:w="7920" w:h="1980" w:hRule="exact" w:hSpace="180" w:wrap="auto" w:hAnchor="page" w:xAlign="center" w:yAlign="bottom"/>
      <w:ind w:left="2880"/>
    </w:pPr>
    <w:rPr>
      <w:color w:val="000000"/>
      <w:szCs w:val="20"/>
    </w:rPr>
  </w:style>
  <w:style w:type="character" w:styleId="Hyperlink">
    <w:name w:val="Hyperlink"/>
    <w:rsid w:val="009A2FE1"/>
    <w:rPr>
      <w:color w:val="0000FF"/>
      <w:u w:val="single"/>
    </w:rPr>
  </w:style>
  <w:style w:type="paragraph" w:styleId="BalloonText">
    <w:name w:val="Balloon Text"/>
    <w:basedOn w:val="Normal"/>
    <w:link w:val="BalloonTextChar"/>
    <w:rsid w:val="009A2FE1"/>
    <w:rPr>
      <w:rFonts w:ascii="Tahoma" w:hAnsi="Tahoma"/>
      <w:sz w:val="16"/>
      <w:szCs w:val="16"/>
    </w:rPr>
  </w:style>
  <w:style w:type="character" w:customStyle="1" w:styleId="BalloonTextChar">
    <w:name w:val="Balloon Text Char"/>
    <w:link w:val="BalloonText"/>
    <w:rsid w:val="009A2FE1"/>
    <w:rPr>
      <w:rFonts w:ascii="Tahoma" w:hAnsi="Tahoma" w:cs="Tahoma"/>
      <w:sz w:val="16"/>
      <w:szCs w:val="16"/>
    </w:rPr>
  </w:style>
  <w:style w:type="character" w:customStyle="1" w:styleId="WUTCParagraphChar">
    <w:name w:val="WUTC Paragraph Char"/>
    <w:link w:val="WUTCParagraph"/>
    <w:rsid w:val="009A2FE1"/>
    <w:rPr>
      <w:sz w:val="24"/>
      <w:szCs w:val="24"/>
    </w:rPr>
  </w:style>
  <w:style w:type="paragraph" w:styleId="FootnoteText">
    <w:name w:val="footnote text"/>
    <w:basedOn w:val="Normal"/>
    <w:link w:val="FootnoteTextChar"/>
    <w:uiPriority w:val="99"/>
    <w:qFormat/>
    <w:rsid w:val="009A2FE1"/>
    <w:pPr>
      <w:ind w:hanging="720"/>
    </w:pPr>
    <w:rPr>
      <w:sz w:val="20"/>
      <w:szCs w:val="20"/>
    </w:rPr>
  </w:style>
  <w:style w:type="character" w:customStyle="1" w:styleId="FootnoteTextChar">
    <w:name w:val="Footnote Text Char"/>
    <w:link w:val="FootnoteText"/>
    <w:uiPriority w:val="99"/>
    <w:rsid w:val="009A2FE1"/>
  </w:style>
  <w:style w:type="character" w:styleId="FootnoteReference">
    <w:name w:val="footnote reference"/>
    <w:uiPriority w:val="99"/>
    <w:qFormat/>
    <w:rsid w:val="009A2FE1"/>
    <w:rPr>
      <w:u w:val="single"/>
      <w:vertAlign w:val="superscript"/>
    </w:rPr>
  </w:style>
  <w:style w:type="paragraph" w:styleId="ListParagraph">
    <w:name w:val="List Paragraph"/>
    <w:basedOn w:val="Normal"/>
    <w:uiPriority w:val="34"/>
    <w:qFormat/>
    <w:rsid w:val="009A2F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Templates\WUT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2015-06-16T07:00:00+00:00</OpenedDate>
    <Date1 xmlns="dc463f71-b30c-4ab2-9473-d307f9d35888">2015-07-21T07:00:00+00:00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151273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EBA7C1A2BDB345A98F324BE474B8CF" ma:contentTypeVersion="111" ma:contentTypeDescription="" ma:contentTypeScope="" ma:versionID="6c356c78277ba4450af971d1f466df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0F63A-D5A8-4050-A670-ABFD75B4B3E4}"/>
</file>

<file path=customXml/itemProps2.xml><?xml version="1.0" encoding="utf-8"?>
<ds:datastoreItem xmlns:ds="http://schemas.openxmlformats.org/officeDocument/2006/customXml" ds:itemID="{7201020D-1C2C-4EAB-9FB0-CC549A5660C3}"/>
</file>

<file path=customXml/itemProps3.xml><?xml version="1.0" encoding="utf-8"?>
<ds:datastoreItem xmlns:ds="http://schemas.openxmlformats.org/officeDocument/2006/customXml" ds:itemID="{4FE8AE22-69E7-449D-9BE9-E85CDAD55980}"/>
</file>

<file path=customXml/itemProps4.xml><?xml version="1.0" encoding="utf-8"?>
<ds:datastoreItem xmlns:ds="http://schemas.openxmlformats.org/officeDocument/2006/customXml" ds:itemID="{74BF0DEB-3E07-480E-B732-DF9BC6C107DB}"/>
</file>

<file path=customXml/itemProps5.xml><?xml version="1.0" encoding="utf-8"?>
<ds:datastoreItem xmlns:ds="http://schemas.openxmlformats.org/officeDocument/2006/customXml" ds:itemID="{E5A126E5-AFDB-453F-AA1A-77A06D75193B}"/>
</file>

<file path=docProps/app.xml><?xml version="1.0" encoding="utf-8"?>
<Properties xmlns="http://schemas.openxmlformats.org/officeDocument/2006/extended-properties" xmlns:vt="http://schemas.openxmlformats.org/officeDocument/2006/docPropsVTypes">
  <Template>WUTC Template</Template>
  <TotalTime>4</TotalTime>
  <Pages>1</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BEFORE THE</vt:lpstr>
    </vt:vector>
  </TitlesOfParts>
  <Company>DVC Law</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CWG</dc:creator>
  <cp:lastModifiedBy>Jesse E. Cowell</cp:lastModifiedBy>
  <cp:revision>2</cp:revision>
  <cp:lastPrinted>2015-05-18T20:38:00Z</cp:lastPrinted>
  <dcterms:created xsi:type="dcterms:W3CDTF">2015-07-20T23:06:00Z</dcterms:created>
  <dcterms:modified xsi:type="dcterms:W3CDTF">2015-07-20T23:06:00Z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0x0101006E56B4D1795A2E4DB2F0B01679ED314A0076EBA7C1A2BDB345A98F324BE474B8CF</vt:lpwstr>
  </property>
  <property fmtid="{D5CDD505-2E9C-101B-9397-08002B2CF9AE}" pid="3" name="_docset_NoMedatataSyncRequired">
    <vt:lpwstr>False</vt:lpwstr>
  </property>
</Properties>
</file>