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288"/>
        <w:gridCol w:w="306"/>
      </w:tblGrid>
      <w:tr w:rsidR="009476F6" w:rsidRPr="00770E9A" w:rsidTr="00DC1038">
        <w:trPr>
          <w:cantSplit/>
          <w:trHeight w:hRule="exact" w:val="288"/>
        </w:trPr>
        <w:tc>
          <w:tcPr>
            <w:tcW w:w="462" w:type="dxa"/>
            <w:tcMar>
              <w:left w:w="14" w:type="dxa"/>
              <w:right w:w="14" w:type="dxa"/>
            </w:tcMar>
            <w:vAlign w:val="center"/>
          </w:tcPr>
          <w:p w:rsidR="009476F6" w:rsidRPr="00770E9A" w:rsidRDefault="009476F6" w:rsidP="005241EE">
            <w:pPr>
              <w:spacing w:after="0" w:line="240" w:lineRule="auto"/>
              <w:jc w:val="center"/>
              <w:rPr>
                <w:rFonts w:ascii="Arial" w:hAnsi="Arial" w:cs="Arial"/>
                <w:sz w:val="20"/>
                <w:szCs w:val="20"/>
              </w:rPr>
            </w:pPr>
            <w:bookmarkStart w:id="0" w:name="_GoBack"/>
            <w:bookmarkEnd w:id="0"/>
          </w:p>
        </w:tc>
        <w:tc>
          <w:tcPr>
            <w:tcW w:w="288" w:type="dxa"/>
          </w:tcPr>
          <w:p w:rsidR="009476F6" w:rsidRDefault="009476F6"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5241EE">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c>
          <w:tcPr>
            <w:tcW w:w="288" w:type="dxa"/>
          </w:tcPr>
          <w:p w:rsidR="009476F6" w:rsidRPr="00770E9A"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c>
          <w:tcPr>
            <w:tcW w:w="288" w:type="dxa"/>
          </w:tcPr>
          <w:p w:rsidR="009476F6" w:rsidRPr="00770E9A"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r>
              <w:rPr>
                <w:rFonts w:ascii="Arial" w:hAnsi="Arial" w:cs="Arial"/>
                <w:sz w:val="20"/>
                <w:szCs w:val="20"/>
              </w:rPr>
              <w:t>(</w:t>
            </w:r>
            <w:r w:rsidR="00DC1038">
              <w:rPr>
                <w:rFonts w:ascii="Arial" w:hAnsi="Arial" w:cs="Arial"/>
                <w:sz w:val="20"/>
                <w:szCs w:val="20"/>
              </w:rPr>
              <w:t>M</w:t>
            </w: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DC1038" w:rsidP="00324774">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DC1038">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C850A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F0023E" w:rsidP="00114BC3">
            <w:pPr>
              <w:spacing w:after="0" w:line="240" w:lineRule="auto"/>
              <w:jc w:val="center"/>
              <w:rPr>
                <w:rFonts w:ascii="Arial" w:hAnsi="Arial" w:cs="Arial"/>
                <w:sz w:val="20"/>
                <w:szCs w:val="20"/>
              </w:rPr>
            </w:pPr>
            <w:r>
              <w:rPr>
                <w:rFonts w:ascii="Arial" w:hAnsi="Arial" w:cs="Arial"/>
                <w:sz w:val="20"/>
                <w:szCs w:val="20"/>
              </w:rPr>
              <w:t>(D)</w:t>
            </w:r>
          </w:p>
        </w:tc>
      </w:tr>
      <w:tr w:rsidR="009476F6" w:rsidRPr="00770E9A" w:rsidTr="00DC1038">
        <w:trPr>
          <w:trHeight w:val="288"/>
        </w:trPr>
        <w:tc>
          <w:tcPr>
            <w:tcW w:w="462" w:type="dxa"/>
            <w:tcMar>
              <w:left w:w="14" w:type="dxa"/>
              <w:right w:w="14" w:type="dxa"/>
            </w:tcMar>
            <w:vAlign w:val="center"/>
          </w:tcPr>
          <w:p w:rsidR="009476F6"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9476F6"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Default="009476F6" w:rsidP="00114BC3">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114BC3">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(M)</w:t>
            </w:r>
          </w:p>
        </w:tc>
        <w:tc>
          <w:tcPr>
            <w:tcW w:w="288" w:type="dxa"/>
          </w:tcPr>
          <w:p w:rsidR="009476F6" w:rsidRPr="00770E9A"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Pr="00770E9A"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9476F6" w:rsidP="00324774">
            <w:pPr>
              <w:spacing w:after="0" w:line="240" w:lineRule="auto"/>
              <w:jc w:val="center"/>
              <w:rPr>
                <w:rFonts w:ascii="Arial" w:hAnsi="Arial" w:cs="Arial"/>
                <w:sz w:val="20"/>
                <w:szCs w:val="20"/>
              </w:rPr>
            </w:pPr>
          </w:p>
        </w:tc>
        <w:tc>
          <w:tcPr>
            <w:tcW w:w="288" w:type="dxa"/>
          </w:tcPr>
          <w:p w:rsidR="009476F6"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Default="009476F6" w:rsidP="00324774">
            <w:pPr>
              <w:spacing w:after="0" w:line="240" w:lineRule="auto"/>
              <w:jc w:val="center"/>
              <w:rPr>
                <w:rFonts w:ascii="Arial" w:hAnsi="Arial" w:cs="Arial"/>
                <w:sz w:val="20"/>
                <w:szCs w:val="20"/>
              </w:rPr>
            </w:pPr>
          </w:p>
        </w:tc>
      </w:tr>
      <w:tr w:rsidR="009476F6" w:rsidRPr="00770E9A" w:rsidTr="00DC1038">
        <w:trPr>
          <w:trHeight w:val="288"/>
        </w:trPr>
        <w:tc>
          <w:tcPr>
            <w:tcW w:w="462" w:type="dxa"/>
            <w:tcMar>
              <w:left w:w="14" w:type="dxa"/>
              <w:right w:w="14" w:type="dxa"/>
            </w:tcMar>
            <w:vAlign w:val="center"/>
          </w:tcPr>
          <w:p w:rsidR="009476F6" w:rsidRDefault="00DC1038" w:rsidP="00324774">
            <w:pPr>
              <w:spacing w:after="0" w:line="240" w:lineRule="auto"/>
              <w:jc w:val="center"/>
              <w:rPr>
                <w:rFonts w:ascii="Arial" w:hAnsi="Arial" w:cs="Arial"/>
                <w:sz w:val="20"/>
                <w:szCs w:val="20"/>
              </w:rPr>
            </w:pPr>
            <w:r>
              <w:rPr>
                <w:rFonts w:ascii="Arial" w:hAnsi="Arial" w:cs="Arial"/>
                <w:sz w:val="20"/>
                <w:szCs w:val="20"/>
              </w:rPr>
              <w:t>(N)</w:t>
            </w:r>
          </w:p>
        </w:tc>
        <w:tc>
          <w:tcPr>
            <w:tcW w:w="288" w:type="dxa"/>
          </w:tcPr>
          <w:p w:rsidR="009476F6" w:rsidRDefault="009476F6"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9476F6" w:rsidRDefault="009476F6" w:rsidP="00324774">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493A9A"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493A9A" w:rsidP="00DC1038">
            <w:pPr>
              <w:spacing w:after="0" w:line="240" w:lineRule="auto"/>
              <w:jc w:val="center"/>
              <w:rPr>
                <w:rFonts w:ascii="Arial" w:hAnsi="Arial" w:cs="Arial"/>
                <w:sz w:val="20"/>
                <w:szCs w:val="20"/>
              </w:rPr>
            </w:pPr>
            <w:r>
              <w:rPr>
                <w:rFonts w:ascii="Arial" w:hAnsi="Arial" w:cs="Arial"/>
                <w:sz w:val="20"/>
                <w:szCs w:val="20"/>
              </w:rPr>
              <w:t>(N)</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493A9A" w:rsidRPr="00770E9A" w:rsidTr="00493A9A">
        <w:trPr>
          <w:trHeight w:val="219"/>
        </w:trPr>
        <w:tc>
          <w:tcPr>
            <w:tcW w:w="462" w:type="dxa"/>
            <w:tcMar>
              <w:left w:w="14" w:type="dxa"/>
              <w:right w:w="14" w:type="dxa"/>
            </w:tcMar>
            <w:vAlign w:val="center"/>
          </w:tcPr>
          <w:p w:rsidR="00493A9A" w:rsidRDefault="00493A9A" w:rsidP="00DC1038">
            <w:pPr>
              <w:spacing w:after="0" w:line="240" w:lineRule="auto"/>
              <w:jc w:val="center"/>
              <w:rPr>
                <w:rFonts w:ascii="Arial" w:hAnsi="Arial" w:cs="Arial"/>
                <w:sz w:val="20"/>
                <w:szCs w:val="20"/>
              </w:rPr>
            </w:pPr>
          </w:p>
        </w:tc>
        <w:tc>
          <w:tcPr>
            <w:tcW w:w="288" w:type="dxa"/>
          </w:tcPr>
          <w:p w:rsidR="00493A9A" w:rsidRDefault="00493A9A"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493A9A" w:rsidRDefault="00493A9A"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(M)</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F0023E" w:rsidP="00DC1038">
            <w:pPr>
              <w:spacing w:after="0" w:line="240" w:lineRule="auto"/>
              <w:jc w:val="center"/>
              <w:rPr>
                <w:rFonts w:ascii="Arial" w:hAnsi="Arial" w:cs="Arial"/>
                <w:sz w:val="20"/>
                <w:szCs w:val="20"/>
              </w:rPr>
            </w:pPr>
            <w:r>
              <w:rPr>
                <w:rFonts w:ascii="Arial" w:hAnsi="Arial" w:cs="Arial"/>
                <w:sz w:val="20"/>
                <w:szCs w:val="20"/>
              </w:rPr>
              <w:t>(T)</w:t>
            </w: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r w:rsidR="00DC1038" w:rsidRPr="00770E9A" w:rsidTr="00DC1038">
        <w:trPr>
          <w:trHeight w:val="288"/>
        </w:trPr>
        <w:tc>
          <w:tcPr>
            <w:tcW w:w="462"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r>
              <w:rPr>
                <w:rFonts w:ascii="Arial" w:hAnsi="Arial" w:cs="Arial"/>
                <w:sz w:val="20"/>
                <w:szCs w:val="20"/>
              </w:rPr>
              <w:t>(M)</w:t>
            </w:r>
          </w:p>
        </w:tc>
        <w:tc>
          <w:tcPr>
            <w:tcW w:w="288" w:type="dxa"/>
          </w:tcPr>
          <w:p w:rsidR="00DC1038" w:rsidRDefault="00DC1038" w:rsidP="00DC1038">
            <w:pPr>
              <w:spacing w:after="0" w:line="240" w:lineRule="auto"/>
              <w:jc w:val="center"/>
              <w:rPr>
                <w:rFonts w:ascii="Arial" w:hAnsi="Arial" w:cs="Arial"/>
                <w:sz w:val="20"/>
                <w:szCs w:val="20"/>
              </w:rPr>
            </w:pPr>
          </w:p>
        </w:tc>
        <w:tc>
          <w:tcPr>
            <w:tcW w:w="288" w:type="dxa"/>
            <w:tcMar>
              <w:left w:w="14" w:type="dxa"/>
              <w:right w:w="14" w:type="dxa"/>
            </w:tcMar>
            <w:vAlign w:val="center"/>
          </w:tcPr>
          <w:p w:rsidR="00DC1038" w:rsidRDefault="00DC1038" w:rsidP="00DC103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DA0464">
          <w:headerReference w:type="default" r:id="rId7"/>
          <w:footerReference w:type="default" r:id="rId8"/>
          <w:type w:val="continuous"/>
          <w:pgSz w:w="12240" w:h="15840"/>
          <w:pgMar w:top="1440" w:right="720" w:bottom="1440" w:left="1440" w:header="432"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825211" w:rsidRDefault="00825211" w:rsidP="00BB5197">
      <w:pPr>
        <w:spacing w:after="0" w:line="286" w:lineRule="exact"/>
        <w:rPr>
          <w:rFonts w:ascii="Arial" w:hAnsi="Arial" w:cs="Arial"/>
          <w:b/>
          <w:sz w:val="20"/>
          <w:szCs w:val="20"/>
        </w:rPr>
      </w:pPr>
    </w:p>
    <w:p w:rsidR="00BB5197" w:rsidRDefault="00BB5197" w:rsidP="00BB5197">
      <w:pPr>
        <w:spacing w:after="0" w:line="286" w:lineRule="exact"/>
        <w:rPr>
          <w:rFonts w:ascii="Arial" w:hAnsi="Arial" w:cs="Arial"/>
          <w:sz w:val="20"/>
          <w:szCs w:val="20"/>
        </w:rPr>
      </w:pPr>
      <w:r>
        <w:rPr>
          <w:rFonts w:ascii="Arial" w:hAnsi="Arial" w:cs="Arial"/>
          <w:b/>
          <w:sz w:val="20"/>
          <w:szCs w:val="20"/>
        </w:rPr>
        <w:t xml:space="preserve">Section 7 – </w:t>
      </w:r>
      <w:r w:rsidR="00DC1038">
        <w:rPr>
          <w:rFonts w:ascii="Arial" w:hAnsi="Arial" w:cs="Arial"/>
          <w:b/>
          <w:sz w:val="20"/>
          <w:szCs w:val="20"/>
        </w:rPr>
        <w:t>PERFORMANCE ASSURANCE:</w:t>
      </w:r>
      <w:r>
        <w:rPr>
          <w:rFonts w:ascii="Arial" w:hAnsi="Arial" w:cs="Arial"/>
          <w:sz w:val="20"/>
          <w:szCs w:val="20"/>
        </w:rPr>
        <w:t xml:space="preserve">  If at any time Customer is or becomes liable to the Company for the payment of any Termination Charges, the Company has reasonable grounds for insecurity regarding Customer’s performance of its obligation to pay the Termination Charges (including, without limitation, the occurrence of any material adverse change in the creditworthiness of Customer or the rating of any credit or debt of Customer by S&amp;P or Moody’s below investment grade), the Company may demand, and Customer shall within ten (10) business days following such demand provide to the Company, sufficient security in the form, amount and for the term reasonably acceptable to the Company, including, but not limited to, a standby irrevocable letter of credit, a prepayment,  a performance bond or a guaranty.  Customer shall continue to provide such security for so long as the grounds for the Company’s insecurity continue to exist.  The amount of any security provided by Customer pursuant this Section 7 shall not be required to exceed the lesser of (a) the present value (as determined by the Company) of the Termination Charges and (b) the amount provided for in WAC 480-100-118(2).  For purposes of this Schedule, “</w:t>
      </w:r>
      <w:r>
        <w:rPr>
          <w:rFonts w:ascii="Arial" w:hAnsi="Arial" w:cs="Arial"/>
          <w:sz w:val="20"/>
          <w:szCs w:val="20"/>
          <w:u w:val="single"/>
        </w:rPr>
        <w:t>S&amp;P</w:t>
      </w:r>
      <w:r>
        <w:rPr>
          <w:rFonts w:ascii="Arial" w:hAnsi="Arial" w:cs="Arial"/>
          <w:sz w:val="20"/>
          <w:szCs w:val="20"/>
        </w:rPr>
        <w:t>” means Standard and Poor’s, a division of the McGraw-Hill Companies, Inc., or any successor thereto, and “</w:t>
      </w:r>
      <w:r>
        <w:rPr>
          <w:rFonts w:ascii="Arial" w:hAnsi="Arial" w:cs="Arial"/>
          <w:sz w:val="20"/>
          <w:szCs w:val="20"/>
          <w:u w:val="single"/>
        </w:rPr>
        <w:t>Moody’s</w:t>
      </w:r>
      <w:r>
        <w:rPr>
          <w:rFonts w:ascii="Arial" w:hAnsi="Arial" w:cs="Arial"/>
          <w:sz w:val="20"/>
          <w:szCs w:val="20"/>
        </w:rPr>
        <w:t>” means Moody’s Investor Services, Inc. or any successor thereto.</w:t>
      </w:r>
    </w:p>
    <w:p w:rsidR="00BB5197" w:rsidRDefault="00BB5197" w:rsidP="00BB5197">
      <w:pPr>
        <w:spacing w:after="0" w:line="286" w:lineRule="exact"/>
        <w:rPr>
          <w:rFonts w:ascii="Arial" w:hAnsi="Arial" w:cs="Arial"/>
          <w:sz w:val="20"/>
          <w:szCs w:val="20"/>
        </w:rPr>
      </w:pPr>
    </w:p>
    <w:p w:rsidR="00BB5197" w:rsidRDefault="00BB5197" w:rsidP="00BB5197">
      <w:pPr>
        <w:spacing w:after="0" w:line="286" w:lineRule="exact"/>
        <w:rPr>
          <w:rFonts w:ascii="Arial" w:hAnsi="Arial" w:cs="Arial"/>
          <w:sz w:val="20"/>
          <w:szCs w:val="20"/>
        </w:rPr>
      </w:pPr>
      <w:r w:rsidRPr="001471BD">
        <w:rPr>
          <w:rFonts w:ascii="Arial" w:hAnsi="Arial" w:cs="Arial"/>
          <w:b/>
          <w:sz w:val="20"/>
          <w:szCs w:val="20"/>
        </w:rPr>
        <w:t xml:space="preserve">Section </w:t>
      </w:r>
      <w:r>
        <w:rPr>
          <w:rFonts w:ascii="Arial" w:hAnsi="Arial" w:cs="Arial"/>
          <w:b/>
          <w:sz w:val="20"/>
          <w:szCs w:val="20"/>
        </w:rPr>
        <w:t>8</w:t>
      </w:r>
      <w:r w:rsidRPr="001471BD">
        <w:rPr>
          <w:rFonts w:ascii="Arial" w:hAnsi="Arial" w:cs="Arial"/>
          <w:b/>
          <w:sz w:val="20"/>
          <w:szCs w:val="20"/>
        </w:rPr>
        <w:t xml:space="preserve"> – </w:t>
      </w:r>
      <w:r w:rsidR="00DC1038">
        <w:rPr>
          <w:rFonts w:ascii="Arial" w:hAnsi="Arial" w:cs="Arial"/>
          <w:b/>
          <w:sz w:val="20"/>
          <w:szCs w:val="20"/>
        </w:rPr>
        <w:t>PREPAYMENT</w:t>
      </w:r>
      <w:r w:rsidRPr="001471BD">
        <w:rPr>
          <w:rFonts w:ascii="Arial" w:hAnsi="Arial" w:cs="Arial"/>
          <w:b/>
          <w:sz w:val="20"/>
          <w:szCs w:val="20"/>
        </w:rPr>
        <w:t xml:space="preserve">: </w:t>
      </w:r>
      <w:r>
        <w:rPr>
          <w:rFonts w:ascii="Arial" w:hAnsi="Arial" w:cs="Arial"/>
          <w:sz w:val="20"/>
          <w:szCs w:val="20"/>
        </w:rPr>
        <w:t xml:space="preserve"> Following determination by the Company of the cost or value of the Substation or of upgrades or conversion as described in Sections 4 and 5, the Customer shall have the option to prepay a maximum of 49% of such cost or value, except </w:t>
      </w:r>
      <w:r w:rsidR="004279A1">
        <w:rPr>
          <w:rFonts w:ascii="Arial" w:hAnsi="Arial" w:cs="Arial"/>
          <w:sz w:val="20"/>
          <w:szCs w:val="20"/>
        </w:rPr>
        <w:t>that</w:t>
      </w:r>
      <w:r>
        <w:rPr>
          <w:rFonts w:ascii="Arial" w:hAnsi="Arial" w:cs="Arial"/>
          <w:sz w:val="20"/>
          <w:szCs w:val="20"/>
        </w:rPr>
        <w:t xml:space="preserve"> prepayments due to equipment failure described in Attachment C</w:t>
      </w:r>
      <w:r w:rsidR="004279A1">
        <w:rPr>
          <w:rFonts w:ascii="Arial" w:hAnsi="Arial" w:cs="Arial"/>
          <w:sz w:val="20"/>
          <w:szCs w:val="20"/>
        </w:rPr>
        <w:t>,</w:t>
      </w:r>
      <w:r>
        <w:rPr>
          <w:rFonts w:ascii="Arial" w:hAnsi="Arial" w:cs="Arial"/>
          <w:sz w:val="20"/>
          <w:szCs w:val="20"/>
        </w:rPr>
        <w:t xml:space="preserve"> sections 3 and 4</w:t>
      </w:r>
      <w:r w:rsidR="004279A1">
        <w:rPr>
          <w:rFonts w:ascii="Arial" w:hAnsi="Arial" w:cs="Arial"/>
          <w:sz w:val="20"/>
          <w:szCs w:val="20"/>
        </w:rPr>
        <w:t>,</w:t>
      </w:r>
      <w:r>
        <w:rPr>
          <w:rFonts w:ascii="Arial" w:hAnsi="Arial" w:cs="Arial"/>
          <w:sz w:val="20"/>
          <w:szCs w:val="20"/>
        </w:rPr>
        <w:t xml:space="preserve"> shall be as described in Attachment C</w:t>
      </w:r>
      <w:r w:rsidR="004279A1">
        <w:rPr>
          <w:rFonts w:ascii="Arial" w:hAnsi="Arial" w:cs="Arial"/>
          <w:sz w:val="20"/>
          <w:szCs w:val="20"/>
        </w:rPr>
        <w:t>,</w:t>
      </w:r>
      <w:r>
        <w:rPr>
          <w:rFonts w:ascii="Arial" w:hAnsi="Arial" w:cs="Arial"/>
          <w:sz w:val="20"/>
          <w:szCs w:val="20"/>
        </w:rPr>
        <w:t xml:space="preserve"> sections 3 and 4.  Such prepayment is subject to Schedule </w:t>
      </w:r>
      <w:r w:rsidR="004279A1">
        <w:rPr>
          <w:rFonts w:ascii="Arial" w:hAnsi="Arial" w:cs="Arial"/>
          <w:sz w:val="20"/>
          <w:szCs w:val="20"/>
        </w:rPr>
        <w:t xml:space="preserve">No. </w:t>
      </w:r>
      <w:r>
        <w:rPr>
          <w:rFonts w:ascii="Arial" w:hAnsi="Arial" w:cs="Arial"/>
          <w:sz w:val="20"/>
          <w:szCs w:val="20"/>
        </w:rPr>
        <w:t xml:space="preserve">87 of </w:t>
      </w:r>
      <w:r w:rsidR="004279A1">
        <w:rPr>
          <w:rFonts w:ascii="Arial" w:hAnsi="Arial" w:cs="Arial"/>
          <w:sz w:val="20"/>
          <w:szCs w:val="20"/>
        </w:rPr>
        <w:t>the Company’s Electric</w:t>
      </w:r>
      <w:r>
        <w:rPr>
          <w:rFonts w:ascii="Arial" w:hAnsi="Arial" w:cs="Arial"/>
          <w:sz w:val="20"/>
          <w:szCs w:val="20"/>
        </w:rPr>
        <w:t xml:space="preserve"> </w:t>
      </w:r>
      <w:r w:rsidR="004279A1">
        <w:rPr>
          <w:rFonts w:ascii="Arial" w:hAnsi="Arial" w:cs="Arial"/>
          <w:sz w:val="20"/>
          <w:szCs w:val="20"/>
        </w:rPr>
        <w:t>T</w:t>
      </w:r>
      <w:r>
        <w:rPr>
          <w:rFonts w:ascii="Arial" w:hAnsi="Arial" w:cs="Arial"/>
          <w:sz w:val="20"/>
          <w:szCs w:val="20"/>
        </w:rPr>
        <w:t xml:space="preserve">ariff </w:t>
      </w:r>
      <w:r w:rsidR="004279A1">
        <w:rPr>
          <w:rFonts w:ascii="Arial" w:hAnsi="Arial" w:cs="Arial"/>
          <w:sz w:val="20"/>
          <w:szCs w:val="20"/>
        </w:rPr>
        <w:t xml:space="preserve">G </w:t>
      </w:r>
      <w:r>
        <w:rPr>
          <w:rFonts w:ascii="Arial" w:hAnsi="Arial" w:cs="Arial"/>
          <w:sz w:val="20"/>
          <w:szCs w:val="20"/>
        </w:rPr>
        <w:t xml:space="preserve">and any other applicable schedule or tax.  </w:t>
      </w:r>
      <w:r w:rsidR="004279A1">
        <w:rPr>
          <w:rFonts w:ascii="Arial" w:hAnsi="Arial" w:cs="Arial"/>
          <w:sz w:val="20"/>
          <w:szCs w:val="20"/>
        </w:rPr>
        <w:t>Alternatively</w:t>
      </w:r>
      <w:r>
        <w:rPr>
          <w:rFonts w:ascii="Arial" w:hAnsi="Arial" w:cs="Arial"/>
          <w:sz w:val="20"/>
          <w:szCs w:val="20"/>
        </w:rPr>
        <w:t xml:space="preserve">, the Customer may make a prepayment of monthly charges under the provisions in Attachment C, </w:t>
      </w:r>
      <w:r w:rsidR="004279A1">
        <w:rPr>
          <w:rFonts w:ascii="Arial" w:hAnsi="Arial" w:cs="Arial"/>
          <w:sz w:val="20"/>
          <w:szCs w:val="20"/>
        </w:rPr>
        <w:t>section</w:t>
      </w:r>
      <w:r>
        <w:rPr>
          <w:rFonts w:ascii="Arial" w:hAnsi="Arial" w:cs="Arial"/>
          <w:sz w:val="20"/>
          <w:szCs w:val="20"/>
        </w:rPr>
        <w:t xml:space="preserve"> 3.b and the following conditions </w:t>
      </w:r>
      <w:r w:rsidR="004279A1">
        <w:rPr>
          <w:rFonts w:ascii="Arial" w:hAnsi="Arial" w:cs="Arial"/>
          <w:sz w:val="20"/>
          <w:szCs w:val="20"/>
        </w:rPr>
        <w:t xml:space="preserve">shall </w:t>
      </w:r>
      <w:r>
        <w:rPr>
          <w:rFonts w:ascii="Arial" w:hAnsi="Arial" w:cs="Arial"/>
          <w:sz w:val="20"/>
          <w:szCs w:val="20"/>
        </w:rPr>
        <w:t>apply</w:t>
      </w:r>
      <w:r w:rsidR="004279A1">
        <w:rPr>
          <w:rFonts w:ascii="Arial" w:hAnsi="Arial" w:cs="Arial"/>
          <w:sz w:val="20"/>
          <w:szCs w:val="20"/>
        </w:rPr>
        <w:t>:</w:t>
      </w:r>
      <w:r>
        <w:rPr>
          <w:rFonts w:ascii="Arial" w:hAnsi="Arial" w:cs="Arial"/>
          <w:sz w:val="20"/>
          <w:szCs w:val="20"/>
        </w:rPr>
        <w:t xml:space="preserve">  </w:t>
      </w:r>
      <w:r w:rsidR="004279A1">
        <w:rPr>
          <w:rFonts w:ascii="Arial" w:hAnsi="Arial" w:cs="Arial"/>
          <w:sz w:val="20"/>
          <w:szCs w:val="20"/>
        </w:rPr>
        <w:t>s</w:t>
      </w:r>
      <w:r>
        <w:rPr>
          <w:rFonts w:ascii="Arial" w:hAnsi="Arial" w:cs="Arial"/>
          <w:sz w:val="20"/>
          <w:szCs w:val="20"/>
        </w:rPr>
        <w:t xml:space="preserve">uch prepayment of monthly charges </w:t>
      </w:r>
      <w:r w:rsidR="004279A1">
        <w:rPr>
          <w:rFonts w:ascii="Arial" w:hAnsi="Arial" w:cs="Arial"/>
          <w:sz w:val="20"/>
          <w:szCs w:val="20"/>
        </w:rPr>
        <w:t>will</w:t>
      </w:r>
      <w:r>
        <w:rPr>
          <w:rFonts w:ascii="Arial" w:hAnsi="Arial" w:cs="Arial"/>
          <w:sz w:val="20"/>
          <w:szCs w:val="20"/>
        </w:rPr>
        <w:t xml:space="preserve"> not </w:t>
      </w:r>
      <w:r w:rsidR="004279A1">
        <w:rPr>
          <w:rFonts w:ascii="Arial" w:hAnsi="Arial" w:cs="Arial"/>
          <w:sz w:val="20"/>
          <w:szCs w:val="20"/>
        </w:rPr>
        <w:t xml:space="preserve">be </w:t>
      </w:r>
      <w:r>
        <w:rPr>
          <w:rFonts w:ascii="Arial" w:hAnsi="Arial" w:cs="Arial"/>
          <w:sz w:val="20"/>
          <w:szCs w:val="20"/>
        </w:rPr>
        <w:t xml:space="preserve">subject to Schedule </w:t>
      </w:r>
      <w:r w:rsidR="004279A1">
        <w:rPr>
          <w:rFonts w:ascii="Arial" w:hAnsi="Arial" w:cs="Arial"/>
          <w:sz w:val="20"/>
          <w:szCs w:val="20"/>
        </w:rPr>
        <w:t xml:space="preserve">No. </w:t>
      </w:r>
      <w:r>
        <w:rPr>
          <w:rFonts w:ascii="Arial" w:hAnsi="Arial" w:cs="Arial"/>
          <w:sz w:val="20"/>
          <w:szCs w:val="20"/>
        </w:rPr>
        <w:t xml:space="preserve">87 of </w:t>
      </w:r>
      <w:r w:rsidR="004279A1">
        <w:rPr>
          <w:rFonts w:ascii="Arial" w:hAnsi="Arial" w:cs="Arial"/>
          <w:sz w:val="20"/>
          <w:szCs w:val="20"/>
        </w:rPr>
        <w:t>the Company’s Electric Tariff G</w:t>
      </w:r>
      <w:r>
        <w:rPr>
          <w:rFonts w:ascii="Arial" w:hAnsi="Arial" w:cs="Arial"/>
          <w:sz w:val="20"/>
          <w:szCs w:val="20"/>
        </w:rPr>
        <w:t xml:space="preserve"> but </w:t>
      </w:r>
      <w:r w:rsidR="004279A1">
        <w:rPr>
          <w:rFonts w:ascii="Arial" w:hAnsi="Arial" w:cs="Arial"/>
          <w:sz w:val="20"/>
          <w:szCs w:val="20"/>
        </w:rPr>
        <w:t>will be</w:t>
      </w:r>
      <w:r>
        <w:rPr>
          <w:rFonts w:ascii="Arial" w:hAnsi="Arial" w:cs="Arial"/>
          <w:sz w:val="20"/>
          <w:szCs w:val="20"/>
        </w:rPr>
        <w:t xml:space="preserve"> subject to any other applicable schedule or tax</w:t>
      </w:r>
      <w:r w:rsidR="004279A1">
        <w:rPr>
          <w:rFonts w:ascii="Arial" w:hAnsi="Arial" w:cs="Arial"/>
          <w:sz w:val="20"/>
          <w:szCs w:val="20"/>
        </w:rPr>
        <w:t>;</w:t>
      </w:r>
      <w:r>
        <w:rPr>
          <w:rFonts w:ascii="Arial" w:hAnsi="Arial" w:cs="Arial"/>
          <w:sz w:val="20"/>
          <w:szCs w:val="20"/>
        </w:rPr>
        <w:t xml:space="preserve">  </w:t>
      </w:r>
      <w:r w:rsidR="004279A1">
        <w:rPr>
          <w:rFonts w:ascii="Arial" w:hAnsi="Arial" w:cs="Arial"/>
          <w:sz w:val="20"/>
          <w:szCs w:val="20"/>
        </w:rPr>
        <w:t>e</w:t>
      </w:r>
      <w:r>
        <w:rPr>
          <w:rFonts w:ascii="Arial" w:hAnsi="Arial" w:cs="Arial"/>
          <w:sz w:val="20"/>
          <w:szCs w:val="20"/>
        </w:rPr>
        <w:t>xcept for a No Replacement Coverage lease which has required payments for failed equipment, at no time will the overall effect of prepayments be greater than 49% of the original cost or value of the Substation or 49% of the Substation Equipment Capital Charges for the term of the Facilities Agreement</w:t>
      </w:r>
      <w:r w:rsidR="005856DC">
        <w:rPr>
          <w:rFonts w:ascii="Arial" w:hAnsi="Arial" w:cs="Arial"/>
          <w:sz w:val="20"/>
          <w:szCs w:val="20"/>
        </w:rPr>
        <w:t>,</w:t>
      </w:r>
      <w:r w:rsidR="004279A1">
        <w:rPr>
          <w:rFonts w:ascii="Arial" w:hAnsi="Arial" w:cs="Arial"/>
          <w:sz w:val="20"/>
          <w:szCs w:val="20"/>
        </w:rPr>
        <w:t xml:space="preserve"> </w:t>
      </w:r>
      <w:r w:rsidR="005856DC">
        <w:rPr>
          <w:rFonts w:ascii="Arial" w:hAnsi="Arial" w:cs="Arial"/>
          <w:sz w:val="20"/>
          <w:szCs w:val="20"/>
        </w:rPr>
        <w:t>a</w:t>
      </w:r>
      <w:r w:rsidR="004279A1">
        <w:rPr>
          <w:rFonts w:ascii="Arial" w:hAnsi="Arial" w:cs="Arial"/>
          <w:sz w:val="20"/>
          <w:szCs w:val="20"/>
        </w:rPr>
        <w:t>nd the</w:t>
      </w:r>
      <w:r>
        <w:rPr>
          <w:rFonts w:ascii="Arial" w:hAnsi="Arial" w:cs="Arial"/>
          <w:sz w:val="20"/>
          <w:szCs w:val="20"/>
        </w:rPr>
        <w:t xml:space="preserve"> Customer may not prepay both a portion of the original cost or value of the Substation and a portion of the Substation Equipment Capital Charges.</w:t>
      </w:r>
    </w:p>
    <w:p w:rsidR="00BB5197" w:rsidRDefault="00BB5197" w:rsidP="00BB5197">
      <w:pPr>
        <w:spacing w:after="0" w:line="286" w:lineRule="exact"/>
        <w:rPr>
          <w:rFonts w:ascii="Arial" w:hAnsi="Arial" w:cs="Arial"/>
          <w:sz w:val="20"/>
          <w:szCs w:val="20"/>
        </w:rPr>
      </w:pPr>
    </w:p>
    <w:p w:rsidR="00BB5197" w:rsidRPr="00CC5E25" w:rsidRDefault="00BB5197" w:rsidP="00BB5197">
      <w:pPr>
        <w:spacing w:after="0" w:line="286" w:lineRule="exact"/>
        <w:rPr>
          <w:rFonts w:ascii="Arial" w:hAnsi="Arial" w:cs="Arial"/>
          <w:sz w:val="20"/>
          <w:szCs w:val="20"/>
        </w:rPr>
      </w:pPr>
      <w:r>
        <w:rPr>
          <w:rFonts w:ascii="Arial" w:hAnsi="Arial" w:cs="Arial"/>
          <w:b/>
          <w:sz w:val="20"/>
          <w:szCs w:val="20"/>
        </w:rPr>
        <w:t xml:space="preserve">Section 9 – </w:t>
      </w:r>
      <w:r w:rsidR="00DC1038">
        <w:rPr>
          <w:rFonts w:ascii="Arial" w:hAnsi="Arial" w:cs="Arial"/>
          <w:b/>
          <w:sz w:val="20"/>
          <w:szCs w:val="20"/>
        </w:rPr>
        <w:t>OWNERSHIP</w:t>
      </w:r>
      <w:r>
        <w:rPr>
          <w:rFonts w:ascii="Arial" w:hAnsi="Arial" w:cs="Arial"/>
          <w:b/>
          <w:sz w:val="20"/>
          <w:szCs w:val="20"/>
        </w:rPr>
        <w:t>:</w:t>
      </w:r>
      <w:r>
        <w:rPr>
          <w:rFonts w:ascii="Arial" w:hAnsi="Arial" w:cs="Arial"/>
          <w:sz w:val="20"/>
          <w:szCs w:val="20"/>
        </w:rPr>
        <w:t xml:space="preserve">  The substation and feeder equipment referred to in this Schedule, together with any replacements, upgrades and other modifications thereof, shall remain the personal property of the Company at all times.</w:t>
      </w:r>
    </w:p>
    <w:p w:rsidR="00324774" w:rsidRDefault="00324774" w:rsidP="00BC7E42">
      <w:pPr>
        <w:rPr>
          <w:rStyle w:val="Custom2"/>
        </w:rPr>
      </w:pPr>
    </w:p>
    <w:p w:rsidR="00324774" w:rsidRPr="00BC7E42" w:rsidRDefault="00324774" w:rsidP="00BC7E42">
      <w:pPr>
        <w:rPr>
          <w:rStyle w:val="Custom2"/>
        </w:rPr>
      </w:pPr>
      <w:r>
        <w:rPr>
          <w:rStyle w:val="Custom2"/>
        </w:rPr>
        <w:t>(</w:t>
      </w:r>
      <w:r w:rsidR="00DC1038">
        <w:rPr>
          <w:rStyle w:val="Custom2"/>
        </w:rPr>
        <w:t>M</w:t>
      </w:r>
      <w:r>
        <w:rPr>
          <w:rStyle w:val="Custom2"/>
        </w:rPr>
        <w:t>) Transferred from Sheet No. 62-</w:t>
      </w:r>
      <w:r w:rsidR="00DC1038">
        <w:rPr>
          <w:rStyle w:val="Custom2"/>
        </w:rPr>
        <w:t>C</w:t>
      </w:r>
    </w:p>
    <w:sectPr w:rsidR="0032477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822EC96" wp14:editId="6EDB40C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F71DCC">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01T00:00:00Z">
          <w:dateFormat w:val="MMMM d, yyyy"/>
          <w:lid w:val="en-US"/>
          <w:storeMappedDataAs w:val="dateTime"/>
          <w:calendar w:val="gregorian"/>
        </w:date>
      </w:sdtPr>
      <w:sdtEndPr/>
      <w:sdtContent>
        <w:r w:rsidR="00DA0464">
          <w:rPr>
            <w:rFonts w:ascii="Arial" w:hAnsi="Arial" w:cs="Arial"/>
            <w:sz w:val="20"/>
            <w:szCs w:val="20"/>
          </w:rPr>
          <w:t>July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A0464">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0464" w:rsidP="00882FF5">
          <w:pPr>
            <w:pStyle w:val="Footer"/>
            <w:rPr>
              <w:rFonts w:ascii="Arial" w:hAnsi="Arial" w:cs="Arial"/>
              <w:b/>
              <w:sz w:val="20"/>
              <w:szCs w:val="20"/>
            </w:rPr>
          </w:pPr>
          <w:r>
            <w:rPr>
              <w:rFonts w:ascii="Arial" w:hAnsi="Arial" w:cs="Arial"/>
              <w:b/>
              <w:noProof/>
              <w:sz w:val="20"/>
              <w:szCs w:val="20"/>
            </w:rPr>
            <w:drawing>
              <wp:inline distT="0" distB="0" distL="0" distR="0" wp14:anchorId="6C522B06" wp14:editId="27497FB0">
                <wp:extent cx="853440" cy="398351"/>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55510" cy="39931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42E7C" w:rsidP="00D02C25">
    <w:pPr>
      <w:pStyle w:val="NoSpacing"/>
      <w:ind w:right="3600"/>
      <w:jc w:val="right"/>
    </w:pPr>
    <w:r>
      <w:t xml:space="preserve"> </w:t>
    </w:r>
  </w:p>
  <w:p w:rsidR="00B42E7C" w:rsidRPr="00B42E7C" w:rsidRDefault="00AA5BAC" w:rsidP="00D02C25">
    <w:pPr>
      <w:pStyle w:val="NoSpacing"/>
      <w:ind w:right="3600"/>
      <w:jc w:val="right"/>
    </w:pPr>
    <w:r>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 Sheet No. </w:t>
    </w:r>
    <w:sdt>
      <w:sdtPr>
        <w:rPr>
          <w:u w:val="single"/>
        </w:rPr>
        <w:id w:val="2589876"/>
        <w:text/>
      </w:sdtPr>
      <w:sdtEndPr/>
      <w:sdtContent>
        <w:r w:rsidR="00324774">
          <w:rPr>
            <w:u w:val="single"/>
          </w:rPr>
          <w:t>62-E</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1A43170" wp14:editId="63095586">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06658"/>
    <w:rsid w:val="0003601D"/>
    <w:rsid w:val="00053192"/>
    <w:rsid w:val="00060533"/>
    <w:rsid w:val="0007244D"/>
    <w:rsid w:val="0008711D"/>
    <w:rsid w:val="0009579F"/>
    <w:rsid w:val="000A1DBB"/>
    <w:rsid w:val="000B0263"/>
    <w:rsid w:val="000C04B8"/>
    <w:rsid w:val="000C4499"/>
    <w:rsid w:val="000D1EFC"/>
    <w:rsid w:val="000D2886"/>
    <w:rsid w:val="000F642C"/>
    <w:rsid w:val="00104A70"/>
    <w:rsid w:val="00114BC3"/>
    <w:rsid w:val="0013127F"/>
    <w:rsid w:val="001351A6"/>
    <w:rsid w:val="00143924"/>
    <w:rsid w:val="001601CC"/>
    <w:rsid w:val="00186C0A"/>
    <w:rsid w:val="001A513B"/>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4774"/>
    <w:rsid w:val="00350702"/>
    <w:rsid w:val="00350A9F"/>
    <w:rsid w:val="003930FE"/>
    <w:rsid w:val="003A5EFC"/>
    <w:rsid w:val="003D5068"/>
    <w:rsid w:val="003D6A10"/>
    <w:rsid w:val="003D6A6F"/>
    <w:rsid w:val="003F48BD"/>
    <w:rsid w:val="00401C8E"/>
    <w:rsid w:val="004279A1"/>
    <w:rsid w:val="00466466"/>
    <w:rsid w:val="00466546"/>
    <w:rsid w:val="00466A71"/>
    <w:rsid w:val="0047056F"/>
    <w:rsid w:val="00493A9A"/>
    <w:rsid w:val="004A7502"/>
    <w:rsid w:val="005141B1"/>
    <w:rsid w:val="005241EE"/>
    <w:rsid w:val="00543EA4"/>
    <w:rsid w:val="005743AB"/>
    <w:rsid w:val="005746B6"/>
    <w:rsid w:val="005856DC"/>
    <w:rsid w:val="00596AA0"/>
    <w:rsid w:val="005E09BA"/>
    <w:rsid w:val="0064168E"/>
    <w:rsid w:val="006A72BD"/>
    <w:rsid w:val="006C27C7"/>
    <w:rsid w:val="006D2365"/>
    <w:rsid w:val="006E75FB"/>
    <w:rsid w:val="00703E53"/>
    <w:rsid w:val="00707DF4"/>
    <w:rsid w:val="00716A97"/>
    <w:rsid w:val="0071778A"/>
    <w:rsid w:val="00757C64"/>
    <w:rsid w:val="00770E9A"/>
    <w:rsid w:val="00784841"/>
    <w:rsid w:val="00795847"/>
    <w:rsid w:val="007A48CC"/>
    <w:rsid w:val="007A7678"/>
    <w:rsid w:val="007B3F61"/>
    <w:rsid w:val="007D11B1"/>
    <w:rsid w:val="007D434A"/>
    <w:rsid w:val="007E6230"/>
    <w:rsid w:val="007F2C13"/>
    <w:rsid w:val="007F3BEC"/>
    <w:rsid w:val="0080589E"/>
    <w:rsid w:val="00825211"/>
    <w:rsid w:val="008312C9"/>
    <w:rsid w:val="00880B8E"/>
    <w:rsid w:val="00882FF5"/>
    <w:rsid w:val="008A3E31"/>
    <w:rsid w:val="008A7114"/>
    <w:rsid w:val="008A742D"/>
    <w:rsid w:val="008B3592"/>
    <w:rsid w:val="008C1F4D"/>
    <w:rsid w:val="008E3770"/>
    <w:rsid w:val="008E58E7"/>
    <w:rsid w:val="009019F5"/>
    <w:rsid w:val="009273B3"/>
    <w:rsid w:val="009342D5"/>
    <w:rsid w:val="00941F3E"/>
    <w:rsid w:val="009476F6"/>
    <w:rsid w:val="00957A0B"/>
    <w:rsid w:val="0099361B"/>
    <w:rsid w:val="009B1D7A"/>
    <w:rsid w:val="00A0363D"/>
    <w:rsid w:val="00A1049A"/>
    <w:rsid w:val="00A42F11"/>
    <w:rsid w:val="00A47672"/>
    <w:rsid w:val="00A55507"/>
    <w:rsid w:val="00A742E6"/>
    <w:rsid w:val="00A839AA"/>
    <w:rsid w:val="00AA55FC"/>
    <w:rsid w:val="00AA5BAC"/>
    <w:rsid w:val="00AB4028"/>
    <w:rsid w:val="00AB5920"/>
    <w:rsid w:val="00B0749D"/>
    <w:rsid w:val="00B248DC"/>
    <w:rsid w:val="00B30E8E"/>
    <w:rsid w:val="00B42E7C"/>
    <w:rsid w:val="00B60AD9"/>
    <w:rsid w:val="00B64632"/>
    <w:rsid w:val="00B70BA0"/>
    <w:rsid w:val="00B963E0"/>
    <w:rsid w:val="00BA1F04"/>
    <w:rsid w:val="00BB5197"/>
    <w:rsid w:val="00BC0B7D"/>
    <w:rsid w:val="00BC7E42"/>
    <w:rsid w:val="00BE428A"/>
    <w:rsid w:val="00C06D5B"/>
    <w:rsid w:val="00C070F6"/>
    <w:rsid w:val="00C07562"/>
    <w:rsid w:val="00C27AA6"/>
    <w:rsid w:val="00C33152"/>
    <w:rsid w:val="00C411C8"/>
    <w:rsid w:val="00C42132"/>
    <w:rsid w:val="00C67B1F"/>
    <w:rsid w:val="00C701FF"/>
    <w:rsid w:val="00C850A3"/>
    <w:rsid w:val="00CB0AF1"/>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1A4"/>
    <w:rsid w:val="00DA0464"/>
    <w:rsid w:val="00DB3D30"/>
    <w:rsid w:val="00DB60D7"/>
    <w:rsid w:val="00DC040E"/>
    <w:rsid w:val="00DC1038"/>
    <w:rsid w:val="00DC2AAE"/>
    <w:rsid w:val="00DF04B6"/>
    <w:rsid w:val="00E002F2"/>
    <w:rsid w:val="00E07D30"/>
    <w:rsid w:val="00E12B4A"/>
    <w:rsid w:val="00E52079"/>
    <w:rsid w:val="00E526ED"/>
    <w:rsid w:val="00E61AEC"/>
    <w:rsid w:val="00E74A20"/>
    <w:rsid w:val="00E84B31"/>
    <w:rsid w:val="00E9001F"/>
    <w:rsid w:val="00E94710"/>
    <w:rsid w:val="00EC4414"/>
    <w:rsid w:val="00ED6D74"/>
    <w:rsid w:val="00EF663C"/>
    <w:rsid w:val="00F0023E"/>
    <w:rsid w:val="00F468B3"/>
    <w:rsid w:val="00F518C8"/>
    <w:rsid w:val="00F53FC2"/>
    <w:rsid w:val="00F57C21"/>
    <w:rsid w:val="00F70626"/>
    <w:rsid w:val="00F71DCC"/>
    <w:rsid w:val="00F86A24"/>
    <w:rsid w:val="00FA1B13"/>
    <w:rsid w:val="00FE7312"/>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BBC43-AE47-4256-B0D8-2E8A3029B4DF}"/>
</file>

<file path=customXml/itemProps2.xml><?xml version="1.0" encoding="utf-8"?>
<ds:datastoreItem xmlns:ds="http://schemas.openxmlformats.org/officeDocument/2006/customXml" ds:itemID="{036DBAB0-0FD4-4D9D-BDB3-9805B81968D7}"/>
</file>

<file path=customXml/itemProps3.xml><?xml version="1.0" encoding="utf-8"?>
<ds:datastoreItem xmlns:ds="http://schemas.openxmlformats.org/officeDocument/2006/customXml" ds:itemID="{A9D50DF5-41AC-4C98-AE3E-0CB354BEB4DF}"/>
</file>

<file path=customXml/itemProps4.xml><?xml version="1.0" encoding="utf-8"?>
<ds:datastoreItem xmlns:ds="http://schemas.openxmlformats.org/officeDocument/2006/customXml" ds:itemID="{1451BC00-258F-44F1-9B41-F0B3EBE40238}"/>
</file>

<file path=docProps/app.xml><?xml version="1.0" encoding="utf-8"?>
<Properties xmlns="http://schemas.openxmlformats.org/officeDocument/2006/extended-properties" xmlns:vt="http://schemas.openxmlformats.org/officeDocument/2006/docPropsVTypes">
  <Template>Tariff Sheet Template.dotx</Template>
  <TotalTime>2</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2015-05-14T19:40:00Z</cp:lastPrinted>
  <dcterms:created xsi:type="dcterms:W3CDTF">2015-05-21T23:35:00Z</dcterms:created>
  <dcterms:modified xsi:type="dcterms:W3CDTF">2015-05-28T18:48:00Z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