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D4167" w14:textId="77777777" w:rsidR="00440A71" w:rsidRDefault="00440A71" w:rsidP="00440A71">
      <w:pPr>
        <w:rPr>
          <w:rFonts w:ascii="Times New Roman" w:hAnsi="Times New Roman" w:cs="Times New Roman"/>
          <w:sz w:val="24"/>
          <w:szCs w:val="24"/>
        </w:rPr>
      </w:pPr>
      <w:r>
        <w:rPr>
          <w:rFonts w:ascii="Times New Roman" w:hAnsi="Times New Roman" w:cs="Times New Roman"/>
          <w:sz w:val="24"/>
          <w:szCs w:val="24"/>
        </w:rPr>
        <w:t>Agenda Date:</w:t>
      </w:r>
      <w:r>
        <w:rPr>
          <w:rFonts w:ascii="Times New Roman" w:hAnsi="Times New Roman" w:cs="Times New Roman"/>
          <w:sz w:val="24"/>
          <w:szCs w:val="24"/>
        </w:rPr>
        <w:tab/>
      </w:r>
      <w:r>
        <w:rPr>
          <w:rFonts w:ascii="Times New Roman" w:hAnsi="Times New Roman" w:cs="Times New Roman"/>
          <w:sz w:val="24"/>
          <w:szCs w:val="24"/>
        </w:rPr>
        <w:tab/>
        <w:t>April 30, 2015</w:t>
      </w:r>
    </w:p>
    <w:p w14:paraId="31AD4168" w14:textId="77777777" w:rsidR="00440A71" w:rsidRDefault="00440A71" w:rsidP="00440A71">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660013">
        <w:rPr>
          <w:rFonts w:ascii="Times New Roman" w:hAnsi="Times New Roman" w:cs="Times New Roman"/>
          <w:sz w:val="24"/>
          <w:szCs w:val="24"/>
        </w:rPr>
        <w:t>F13</w:t>
      </w:r>
    </w:p>
    <w:p w14:paraId="31AD4169" w14:textId="77777777" w:rsidR="00440A71" w:rsidRDefault="00440A71" w:rsidP="00440A71">
      <w:pPr>
        <w:rPr>
          <w:rFonts w:ascii="Times New Roman" w:hAnsi="Times New Roman" w:cs="Times New Roman"/>
          <w:sz w:val="24"/>
          <w:szCs w:val="24"/>
        </w:rPr>
      </w:pPr>
    </w:p>
    <w:p w14:paraId="31AD416A" w14:textId="77777777" w:rsidR="00440A71" w:rsidRDefault="00440A71" w:rsidP="00440A71">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UG-150342</w:t>
      </w:r>
    </w:p>
    <w:p w14:paraId="31AD416B" w14:textId="77777777" w:rsidR="00440A71" w:rsidRDefault="00440A71" w:rsidP="00440A71">
      <w:pPr>
        <w:rPr>
          <w:rFonts w:ascii="Times New Roman" w:hAnsi="Times New Roman" w:cs="Times New Roman"/>
          <w:sz w:val="24"/>
          <w:szCs w:val="24"/>
        </w:rPr>
      </w:pPr>
      <w:r>
        <w:rPr>
          <w:rFonts w:ascii="Times New Roman" w:hAnsi="Times New Roman" w:cs="Times New Roman"/>
          <w:sz w:val="24"/>
          <w:szCs w:val="24"/>
        </w:rPr>
        <w:t>Company:</w:t>
      </w:r>
      <w:r>
        <w:rPr>
          <w:rFonts w:ascii="Times New Roman" w:hAnsi="Times New Roman" w:cs="Times New Roman"/>
          <w:sz w:val="24"/>
          <w:szCs w:val="24"/>
        </w:rPr>
        <w:tab/>
      </w:r>
      <w:r>
        <w:rPr>
          <w:rFonts w:ascii="Times New Roman" w:hAnsi="Times New Roman" w:cs="Times New Roman"/>
          <w:sz w:val="24"/>
          <w:szCs w:val="24"/>
        </w:rPr>
        <w:tab/>
        <w:t>Puget Sound Energy</w:t>
      </w:r>
    </w:p>
    <w:p w14:paraId="31AD416C" w14:textId="77777777" w:rsidR="00440A71" w:rsidRDefault="00440A71" w:rsidP="00440A71">
      <w:pPr>
        <w:rPr>
          <w:rFonts w:ascii="Times New Roman" w:hAnsi="Times New Roman" w:cs="Times New Roman"/>
          <w:sz w:val="24"/>
          <w:szCs w:val="24"/>
        </w:rPr>
      </w:pPr>
    </w:p>
    <w:p w14:paraId="31AD416D" w14:textId="77777777" w:rsidR="00440A71" w:rsidRDefault="00440A71" w:rsidP="00440A71">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Jeremy Twitchell, Regulatory Analyst</w:t>
      </w:r>
    </w:p>
    <w:p w14:paraId="31AD416E" w14:textId="77777777" w:rsidR="00440A71" w:rsidRDefault="00440A71" w:rsidP="00440A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Juliana Williams, Regulatory Analyst</w:t>
      </w:r>
    </w:p>
    <w:p w14:paraId="31AD416F" w14:textId="77777777" w:rsidR="00440A71" w:rsidRDefault="00440A71" w:rsidP="00440A71">
      <w:pPr>
        <w:rPr>
          <w:rFonts w:ascii="Times New Roman" w:hAnsi="Times New Roman" w:cs="Times New Roman"/>
          <w:sz w:val="24"/>
          <w:szCs w:val="24"/>
        </w:rPr>
      </w:pPr>
    </w:p>
    <w:p w14:paraId="31AD4170" w14:textId="77777777" w:rsidR="00440A71" w:rsidRDefault="00440A71" w:rsidP="00440A71">
      <w:pPr>
        <w:rPr>
          <w:rFonts w:ascii="Times New Roman" w:hAnsi="Times New Roman" w:cs="Times New Roman"/>
          <w:sz w:val="24"/>
          <w:szCs w:val="24"/>
        </w:rPr>
      </w:pPr>
      <w:r>
        <w:rPr>
          <w:rFonts w:ascii="Times New Roman" w:hAnsi="Times New Roman" w:cs="Times New Roman"/>
          <w:b/>
          <w:sz w:val="24"/>
          <w:szCs w:val="24"/>
          <w:u w:val="single"/>
        </w:rPr>
        <w:t>Recommendation</w:t>
      </w:r>
    </w:p>
    <w:p w14:paraId="31AD4171" w14:textId="77777777" w:rsidR="00440A71" w:rsidRDefault="00440A71" w:rsidP="00440A71">
      <w:pPr>
        <w:rPr>
          <w:rFonts w:ascii="Times New Roman" w:hAnsi="Times New Roman" w:cs="Times New Roman"/>
          <w:sz w:val="24"/>
          <w:szCs w:val="24"/>
        </w:rPr>
      </w:pPr>
    </w:p>
    <w:p w14:paraId="31AD4172" w14:textId="77777777" w:rsidR="00440A71" w:rsidRDefault="00440A71" w:rsidP="00440A71">
      <w:pPr>
        <w:rPr>
          <w:rFonts w:ascii="Times New Roman" w:hAnsi="Times New Roman" w:cs="Times New Roman"/>
          <w:sz w:val="24"/>
          <w:szCs w:val="24"/>
        </w:rPr>
      </w:pPr>
      <w:r>
        <w:rPr>
          <w:rFonts w:ascii="Times New Roman" w:hAnsi="Times New Roman" w:cs="Times New Roman"/>
          <w:sz w:val="24"/>
          <w:szCs w:val="24"/>
        </w:rPr>
        <w:t xml:space="preserve">Take no action, thereby allowing the tariff filing made by Puget Sound Energy in Docket UG-150342 to become effective on May 1, 2015 by operation of law. </w:t>
      </w:r>
    </w:p>
    <w:p w14:paraId="31AD4173" w14:textId="77777777" w:rsidR="00440A71" w:rsidRDefault="00440A71" w:rsidP="00440A71">
      <w:pPr>
        <w:rPr>
          <w:rFonts w:ascii="Times New Roman" w:hAnsi="Times New Roman" w:cs="Times New Roman"/>
          <w:sz w:val="24"/>
          <w:szCs w:val="24"/>
        </w:rPr>
      </w:pPr>
    </w:p>
    <w:p w14:paraId="31AD4174" w14:textId="77777777" w:rsidR="00440A71" w:rsidRDefault="00440A71" w:rsidP="00440A71">
      <w:pPr>
        <w:rPr>
          <w:rFonts w:ascii="Times New Roman" w:hAnsi="Times New Roman" w:cs="Times New Roman"/>
          <w:sz w:val="24"/>
          <w:szCs w:val="24"/>
        </w:rPr>
      </w:pPr>
      <w:r>
        <w:rPr>
          <w:rFonts w:ascii="Times New Roman" w:hAnsi="Times New Roman" w:cs="Times New Roman"/>
          <w:b/>
          <w:sz w:val="24"/>
          <w:szCs w:val="24"/>
          <w:u w:val="single"/>
        </w:rPr>
        <w:t>Background</w:t>
      </w:r>
    </w:p>
    <w:p w14:paraId="31AD4175" w14:textId="77777777" w:rsidR="00440A71" w:rsidRDefault="00440A71" w:rsidP="00440A71">
      <w:pPr>
        <w:rPr>
          <w:rFonts w:ascii="Times New Roman" w:hAnsi="Times New Roman" w:cs="Times New Roman"/>
          <w:sz w:val="24"/>
          <w:szCs w:val="24"/>
        </w:rPr>
      </w:pPr>
    </w:p>
    <w:p w14:paraId="31AD4176" w14:textId="77777777" w:rsidR="00053D8D" w:rsidRPr="00053D8D" w:rsidRDefault="00053D8D" w:rsidP="00053D8D">
      <w:pPr>
        <w:rPr>
          <w:rFonts w:ascii="Times New Roman" w:hAnsi="Times New Roman" w:cs="Times New Roman"/>
          <w:sz w:val="24"/>
          <w:szCs w:val="24"/>
        </w:rPr>
      </w:pPr>
      <w:r w:rsidRPr="00053D8D">
        <w:rPr>
          <w:rFonts w:ascii="Times New Roman" w:hAnsi="Times New Roman" w:cs="Times New Roman"/>
          <w:sz w:val="24"/>
          <w:szCs w:val="24"/>
        </w:rPr>
        <w:t xml:space="preserve">On February 27, 2015, Puget Sound Energy (PSE or company) filed revisions to its </w:t>
      </w:r>
      <w:r>
        <w:rPr>
          <w:rFonts w:ascii="Times New Roman" w:hAnsi="Times New Roman" w:cs="Times New Roman"/>
          <w:sz w:val="24"/>
          <w:szCs w:val="24"/>
        </w:rPr>
        <w:t>Natural Gas</w:t>
      </w:r>
      <w:r w:rsidRPr="00053D8D">
        <w:rPr>
          <w:rFonts w:ascii="Times New Roman" w:hAnsi="Times New Roman" w:cs="Times New Roman"/>
          <w:sz w:val="24"/>
          <w:szCs w:val="24"/>
        </w:rPr>
        <w:t xml:space="preserve"> Conservation Service Rider, Schedule 120, with an </w:t>
      </w:r>
      <w:r>
        <w:rPr>
          <w:rFonts w:ascii="Times New Roman" w:hAnsi="Times New Roman" w:cs="Times New Roman"/>
          <w:sz w:val="24"/>
          <w:szCs w:val="24"/>
        </w:rPr>
        <w:t xml:space="preserve">effective date of May 1, 2015. </w:t>
      </w:r>
      <w:r w:rsidRPr="00053D8D">
        <w:rPr>
          <w:rFonts w:ascii="Times New Roman" w:hAnsi="Times New Roman" w:cs="Times New Roman"/>
          <w:sz w:val="24"/>
          <w:szCs w:val="24"/>
        </w:rPr>
        <w:t>This mechanism was established as part of a settlement agreement previously approved by the Washington Utilities and Transport</w:t>
      </w:r>
      <w:r w:rsidR="0097224D">
        <w:rPr>
          <w:rFonts w:ascii="Times New Roman" w:hAnsi="Times New Roman" w:cs="Times New Roman"/>
          <w:sz w:val="24"/>
          <w:szCs w:val="24"/>
        </w:rPr>
        <w:t>ation Commission (commission).</w:t>
      </w:r>
      <w:r>
        <w:rPr>
          <w:rStyle w:val="FootnoteReference"/>
          <w:rFonts w:ascii="Times New Roman" w:hAnsi="Times New Roman"/>
        </w:rPr>
        <w:footnoteReference w:id="1"/>
      </w:r>
      <w:r>
        <w:rPr>
          <w:rFonts w:ascii="Times New Roman" w:hAnsi="Times New Roman" w:cs="Times New Roman"/>
          <w:sz w:val="24"/>
          <w:szCs w:val="24"/>
        </w:rPr>
        <w:t xml:space="preserve"> </w:t>
      </w:r>
    </w:p>
    <w:p w14:paraId="31AD4177" w14:textId="77777777" w:rsidR="00053D8D" w:rsidRPr="00053D8D" w:rsidRDefault="00053D8D" w:rsidP="00053D8D">
      <w:pPr>
        <w:rPr>
          <w:rFonts w:ascii="Times New Roman" w:hAnsi="Times New Roman" w:cs="Times New Roman"/>
          <w:sz w:val="24"/>
          <w:szCs w:val="24"/>
        </w:rPr>
      </w:pPr>
    </w:p>
    <w:p w14:paraId="31AD4178" w14:textId="0637885A" w:rsidR="00440A71" w:rsidRDefault="00053D8D" w:rsidP="00053D8D">
      <w:pPr>
        <w:rPr>
          <w:rFonts w:ascii="Times New Roman" w:hAnsi="Times New Roman" w:cs="Times New Roman"/>
          <w:sz w:val="24"/>
          <w:szCs w:val="24"/>
        </w:rPr>
      </w:pPr>
      <w:r w:rsidRPr="00053D8D">
        <w:rPr>
          <w:rFonts w:ascii="Times New Roman" w:hAnsi="Times New Roman" w:cs="Times New Roman"/>
          <w:sz w:val="24"/>
          <w:szCs w:val="24"/>
        </w:rPr>
        <w:t>The purpose of this tariff filing is to establish rates for conservation programs, reflecting changes documented in PSE’s 2014 Annual Report of Energy Conservation Accomplishments</w:t>
      </w:r>
      <w:r>
        <w:rPr>
          <w:rStyle w:val="FootnoteReference"/>
          <w:rFonts w:ascii="Times New Roman" w:hAnsi="Times New Roman"/>
        </w:rPr>
        <w:footnoteReference w:id="2"/>
      </w:r>
      <w:r w:rsidR="002B7B8A">
        <w:rPr>
          <w:rFonts w:ascii="Times New Roman" w:hAnsi="Times New Roman" w:cs="Times New Roman"/>
          <w:sz w:val="24"/>
          <w:szCs w:val="24"/>
        </w:rPr>
        <w:t xml:space="preserve"> </w:t>
      </w:r>
      <w:r w:rsidRPr="00053D8D">
        <w:rPr>
          <w:rFonts w:ascii="Times New Roman" w:hAnsi="Times New Roman" w:cs="Times New Roman"/>
          <w:sz w:val="24"/>
          <w:szCs w:val="24"/>
        </w:rPr>
        <w:t>(2014 Annual Report) and expec</w:t>
      </w:r>
      <w:r w:rsidR="0097224D">
        <w:rPr>
          <w:rFonts w:ascii="Times New Roman" w:hAnsi="Times New Roman" w:cs="Times New Roman"/>
          <w:sz w:val="24"/>
          <w:szCs w:val="24"/>
        </w:rPr>
        <w:t>ted 2015</w:t>
      </w:r>
      <w:r w:rsidRPr="00053D8D">
        <w:rPr>
          <w:rFonts w:ascii="Times New Roman" w:hAnsi="Times New Roman" w:cs="Times New Roman"/>
          <w:sz w:val="24"/>
          <w:szCs w:val="24"/>
        </w:rPr>
        <w:t xml:space="preserve"> expenditures. The 2015 conservation budget and target were reviewed by the Conservation Resources Advisory Group (CRAG) and </w:t>
      </w:r>
      <w:r>
        <w:rPr>
          <w:rFonts w:ascii="Times New Roman" w:hAnsi="Times New Roman" w:cs="Times New Roman"/>
          <w:sz w:val="24"/>
          <w:szCs w:val="24"/>
        </w:rPr>
        <w:t xml:space="preserve">acknowledged by the commission </w:t>
      </w:r>
      <w:r w:rsidRPr="00053D8D">
        <w:rPr>
          <w:rFonts w:ascii="Times New Roman" w:hAnsi="Times New Roman" w:cs="Times New Roman"/>
          <w:sz w:val="24"/>
          <w:szCs w:val="24"/>
        </w:rPr>
        <w:t>on the No Action Agenda of the December 30, 2014, open meeting.</w:t>
      </w:r>
    </w:p>
    <w:p w14:paraId="31AD4179" w14:textId="77777777" w:rsidR="00053D8D" w:rsidRDefault="00053D8D" w:rsidP="00053D8D">
      <w:pPr>
        <w:rPr>
          <w:rFonts w:ascii="Times New Roman" w:hAnsi="Times New Roman" w:cs="Times New Roman"/>
          <w:b/>
          <w:sz w:val="24"/>
          <w:szCs w:val="24"/>
          <w:u w:val="single"/>
        </w:rPr>
      </w:pPr>
    </w:p>
    <w:p w14:paraId="31AD417A" w14:textId="77777777" w:rsidR="00440A71" w:rsidRDefault="00053D8D" w:rsidP="00440A71">
      <w:pPr>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31AD417B" w14:textId="77777777" w:rsidR="00053D8D" w:rsidRDefault="00053D8D" w:rsidP="00440A71">
      <w:pPr>
        <w:rPr>
          <w:rFonts w:ascii="Times New Roman" w:hAnsi="Times New Roman" w:cs="Times New Roman"/>
          <w:b/>
          <w:sz w:val="24"/>
          <w:szCs w:val="24"/>
          <w:u w:val="single"/>
        </w:rPr>
      </w:pPr>
    </w:p>
    <w:p w14:paraId="31AD417C" w14:textId="2EC16CC8" w:rsidR="00053D8D" w:rsidRDefault="000A375F" w:rsidP="00440A71">
      <w:pPr>
        <w:rPr>
          <w:rFonts w:ascii="Times New Roman" w:hAnsi="Times New Roman" w:cs="Times New Roman"/>
          <w:sz w:val="24"/>
          <w:szCs w:val="24"/>
        </w:rPr>
      </w:pPr>
      <w:r>
        <w:rPr>
          <w:rFonts w:ascii="Times New Roman" w:hAnsi="Times New Roman" w:cs="Times New Roman"/>
          <w:sz w:val="24"/>
          <w:szCs w:val="24"/>
        </w:rPr>
        <w:t xml:space="preserve">PSE spent $11.89 million on its natural gas conservation programs in 2014, 0.3 percent less than the $11.93 million budget that the </w:t>
      </w:r>
      <w:r w:rsidR="002B7B8A">
        <w:rPr>
          <w:rFonts w:ascii="Times New Roman" w:hAnsi="Times New Roman" w:cs="Times New Roman"/>
          <w:sz w:val="24"/>
          <w:szCs w:val="24"/>
        </w:rPr>
        <w:t>c</w:t>
      </w:r>
      <w:r>
        <w:rPr>
          <w:rFonts w:ascii="Times New Roman" w:hAnsi="Times New Roman" w:cs="Times New Roman"/>
          <w:sz w:val="24"/>
          <w:szCs w:val="24"/>
        </w:rPr>
        <w:t xml:space="preserve">ommission approved for the 2014 program year. The program </w:t>
      </w:r>
      <w:r w:rsidR="004A6DE3">
        <w:rPr>
          <w:rFonts w:ascii="Times New Roman" w:hAnsi="Times New Roman" w:cs="Times New Roman"/>
          <w:sz w:val="24"/>
          <w:szCs w:val="24"/>
        </w:rPr>
        <w:t xml:space="preserve">saved 4.35 million </w:t>
      </w:r>
      <w:proofErr w:type="spellStart"/>
      <w:r w:rsidR="004A6DE3">
        <w:rPr>
          <w:rFonts w:ascii="Times New Roman" w:hAnsi="Times New Roman" w:cs="Times New Roman"/>
          <w:sz w:val="24"/>
          <w:szCs w:val="24"/>
        </w:rPr>
        <w:t>therms</w:t>
      </w:r>
      <w:proofErr w:type="spellEnd"/>
      <w:r>
        <w:rPr>
          <w:rFonts w:ascii="Times New Roman" w:hAnsi="Times New Roman" w:cs="Times New Roman"/>
          <w:sz w:val="24"/>
          <w:szCs w:val="24"/>
        </w:rPr>
        <w:t xml:space="preserve">, exceeding its goal of 3.89 million </w:t>
      </w:r>
      <w:proofErr w:type="spellStart"/>
      <w:r>
        <w:rPr>
          <w:rFonts w:ascii="Times New Roman" w:hAnsi="Times New Roman" w:cs="Times New Roman"/>
          <w:sz w:val="24"/>
          <w:szCs w:val="24"/>
        </w:rPr>
        <w:t>therms</w:t>
      </w:r>
      <w:proofErr w:type="spellEnd"/>
      <w:r>
        <w:rPr>
          <w:rFonts w:ascii="Times New Roman" w:hAnsi="Times New Roman" w:cs="Times New Roman"/>
          <w:sz w:val="24"/>
          <w:szCs w:val="24"/>
        </w:rPr>
        <w:t xml:space="preserve"> by 12 percent. </w:t>
      </w:r>
      <w:r w:rsidR="005A6872">
        <w:rPr>
          <w:rFonts w:ascii="Times New Roman" w:hAnsi="Times New Roman" w:cs="Times New Roman"/>
          <w:sz w:val="24"/>
          <w:szCs w:val="24"/>
        </w:rPr>
        <w:t>The program achieved a cost-effectiveness ratio of 1.09 in 2014.</w:t>
      </w:r>
      <w:r w:rsidR="0034228B">
        <w:rPr>
          <w:rStyle w:val="FootnoteReference"/>
          <w:rFonts w:ascii="Times New Roman" w:hAnsi="Times New Roman" w:cs="Times New Roman"/>
          <w:sz w:val="24"/>
          <w:szCs w:val="24"/>
        </w:rPr>
        <w:footnoteReference w:id="3"/>
      </w:r>
    </w:p>
    <w:p w14:paraId="31AD417D" w14:textId="77777777" w:rsidR="000A375F" w:rsidRDefault="000A375F" w:rsidP="00440A71">
      <w:pPr>
        <w:rPr>
          <w:rFonts w:ascii="Times New Roman" w:hAnsi="Times New Roman" w:cs="Times New Roman"/>
          <w:sz w:val="24"/>
          <w:szCs w:val="24"/>
        </w:rPr>
      </w:pPr>
    </w:p>
    <w:p w14:paraId="31AD417E" w14:textId="77777777" w:rsidR="000A375F" w:rsidRPr="000A375F" w:rsidRDefault="004A6DE3" w:rsidP="000A375F">
      <w:pPr>
        <w:rPr>
          <w:rFonts w:ascii="Times New Roman" w:hAnsi="Times New Roman" w:cs="Times New Roman"/>
          <w:sz w:val="24"/>
          <w:szCs w:val="24"/>
        </w:rPr>
      </w:pPr>
      <w:r>
        <w:rPr>
          <w:rFonts w:ascii="Times New Roman" w:hAnsi="Times New Roman" w:cs="Times New Roman"/>
          <w:sz w:val="24"/>
          <w:szCs w:val="24"/>
        </w:rPr>
        <w:t>This filing requests a 2015</w:t>
      </w:r>
      <w:r w:rsidR="000A375F">
        <w:rPr>
          <w:rFonts w:ascii="Times New Roman" w:hAnsi="Times New Roman" w:cs="Times New Roman"/>
          <w:sz w:val="24"/>
          <w:szCs w:val="24"/>
        </w:rPr>
        <w:t xml:space="preserve"> revenue requirement of $14.54 million, which consists </w:t>
      </w:r>
      <w:r>
        <w:rPr>
          <w:rFonts w:ascii="Times New Roman" w:hAnsi="Times New Roman" w:cs="Times New Roman"/>
          <w:sz w:val="24"/>
          <w:szCs w:val="24"/>
        </w:rPr>
        <w:t xml:space="preserve">of </w:t>
      </w:r>
      <w:r w:rsidR="00E93225">
        <w:rPr>
          <w:rFonts w:ascii="Times New Roman" w:hAnsi="Times New Roman" w:cs="Times New Roman"/>
          <w:sz w:val="24"/>
          <w:szCs w:val="24"/>
        </w:rPr>
        <w:t>$13.94 million for 2015 program year</w:t>
      </w:r>
      <w:r w:rsidR="000A375F" w:rsidRPr="000A375F">
        <w:rPr>
          <w:rFonts w:ascii="Times New Roman" w:hAnsi="Times New Roman" w:cs="Times New Roman"/>
          <w:sz w:val="24"/>
          <w:szCs w:val="24"/>
        </w:rPr>
        <w:t xml:space="preserve"> expenditures </w:t>
      </w:r>
      <w:r w:rsidR="00E93225">
        <w:rPr>
          <w:rFonts w:ascii="Times New Roman" w:hAnsi="Times New Roman" w:cs="Times New Roman"/>
          <w:sz w:val="24"/>
          <w:szCs w:val="24"/>
        </w:rPr>
        <w:t xml:space="preserve">and $0.6 million to true up revenues and expenditures from </w:t>
      </w:r>
      <w:r w:rsidR="005A6872">
        <w:rPr>
          <w:rFonts w:ascii="Times New Roman" w:hAnsi="Times New Roman" w:cs="Times New Roman"/>
          <w:sz w:val="24"/>
          <w:szCs w:val="24"/>
        </w:rPr>
        <w:t xml:space="preserve">the </w:t>
      </w:r>
      <w:r w:rsidR="0097224D">
        <w:rPr>
          <w:rFonts w:ascii="Times New Roman" w:hAnsi="Times New Roman" w:cs="Times New Roman"/>
          <w:sz w:val="24"/>
          <w:szCs w:val="24"/>
        </w:rPr>
        <w:t>2014</w:t>
      </w:r>
      <w:r w:rsidR="005A6872">
        <w:rPr>
          <w:rFonts w:ascii="Times New Roman" w:hAnsi="Times New Roman" w:cs="Times New Roman"/>
          <w:sz w:val="24"/>
          <w:szCs w:val="24"/>
        </w:rPr>
        <w:t xml:space="preserve"> program year</w:t>
      </w:r>
      <w:r w:rsidR="00E93225">
        <w:rPr>
          <w:rFonts w:ascii="Times New Roman" w:hAnsi="Times New Roman" w:cs="Times New Roman"/>
          <w:sz w:val="24"/>
          <w:szCs w:val="24"/>
        </w:rPr>
        <w:t>.</w:t>
      </w:r>
      <w:r>
        <w:rPr>
          <w:rFonts w:ascii="Times New Roman" w:hAnsi="Times New Roman" w:cs="Times New Roman"/>
          <w:sz w:val="24"/>
          <w:szCs w:val="24"/>
        </w:rPr>
        <w:t xml:space="preserve"> The company’s savings goal for 2015 is 3.08 million </w:t>
      </w:r>
      <w:proofErr w:type="spellStart"/>
      <w:r>
        <w:rPr>
          <w:rFonts w:ascii="Times New Roman" w:hAnsi="Times New Roman" w:cs="Times New Roman"/>
          <w:sz w:val="24"/>
          <w:szCs w:val="24"/>
        </w:rPr>
        <w:t>therms</w:t>
      </w:r>
      <w:proofErr w:type="spellEnd"/>
      <w:r>
        <w:rPr>
          <w:rFonts w:ascii="Times New Roman" w:hAnsi="Times New Roman" w:cs="Times New Roman"/>
          <w:sz w:val="24"/>
          <w:szCs w:val="24"/>
        </w:rPr>
        <w:t>.</w:t>
      </w:r>
    </w:p>
    <w:p w14:paraId="31AD417F" w14:textId="77777777" w:rsidR="000A375F" w:rsidRDefault="000A375F" w:rsidP="00440A71">
      <w:pPr>
        <w:rPr>
          <w:rFonts w:ascii="Times New Roman" w:hAnsi="Times New Roman" w:cs="Times New Roman"/>
          <w:sz w:val="24"/>
          <w:szCs w:val="24"/>
        </w:rPr>
      </w:pPr>
    </w:p>
    <w:p w14:paraId="31AD4180" w14:textId="77777777" w:rsidR="000A375F" w:rsidRDefault="00E93225" w:rsidP="00440A71">
      <w:pPr>
        <w:rPr>
          <w:rFonts w:ascii="Times New Roman" w:hAnsi="Times New Roman" w:cs="Times New Roman"/>
          <w:sz w:val="24"/>
          <w:szCs w:val="24"/>
        </w:rPr>
      </w:pPr>
      <w:r>
        <w:rPr>
          <w:rFonts w:ascii="Times New Roman" w:hAnsi="Times New Roman" w:cs="Times New Roman"/>
          <w:sz w:val="24"/>
          <w:szCs w:val="24"/>
        </w:rPr>
        <w:lastRenderedPageBreak/>
        <w:t>The requested</w:t>
      </w:r>
      <w:r w:rsidR="0097224D">
        <w:rPr>
          <w:rFonts w:ascii="Times New Roman" w:hAnsi="Times New Roman" w:cs="Times New Roman"/>
          <w:sz w:val="24"/>
          <w:szCs w:val="24"/>
        </w:rPr>
        <w:t xml:space="preserve"> revenue requirement would be </w:t>
      </w:r>
      <w:r w:rsidR="00AF45F7">
        <w:rPr>
          <w:rFonts w:ascii="Times New Roman" w:hAnsi="Times New Roman" w:cs="Times New Roman"/>
          <w:sz w:val="24"/>
          <w:szCs w:val="24"/>
        </w:rPr>
        <w:t xml:space="preserve">a 0.21 percent increase in annual revenue. The average residential natural gas customer using 68 </w:t>
      </w:r>
      <w:proofErr w:type="spellStart"/>
      <w:r w:rsidR="00AF45F7">
        <w:rPr>
          <w:rFonts w:ascii="Times New Roman" w:hAnsi="Times New Roman" w:cs="Times New Roman"/>
          <w:sz w:val="24"/>
          <w:szCs w:val="24"/>
        </w:rPr>
        <w:t>therms</w:t>
      </w:r>
      <w:proofErr w:type="spellEnd"/>
      <w:r w:rsidR="00AF45F7">
        <w:rPr>
          <w:rFonts w:ascii="Times New Roman" w:hAnsi="Times New Roman" w:cs="Times New Roman"/>
          <w:sz w:val="24"/>
          <w:szCs w:val="24"/>
        </w:rPr>
        <w:t xml:space="preserve"> per month would see a bill increase of $0.16 per month.</w:t>
      </w:r>
    </w:p>
    <w:p w14:paraId="31AD4181" w14:textId="77777777" w:rsidR="0097224D" w:rsidRDefault="0097224D" w:rsidP="00440A71">
      <w:pPr>
        <w:rPr>
          <w:rFonts w:ascii="Times New Roman" w:hAnsi="Times New Roman" w:cs="Times New Roman"/>
          <w:sz w:val="24"/>
          <w:szCs w:val="24"/>
        </w:rPr>
      </w:pPr>
    </w:p>
    <w:p w14:paraId="31AD4182" w14:textId="77777777" w:rsidR="00AF45F7" w:rsidRDefault="00AF45F7" w:rsidP="00440A71">
      <w:pPr>
        <w:rPr>
          <w:rFonts w:ascii="Times New Roman" w:hAnsi="Times New Roman" w:cs="Times New Roman"/>
          <w:sz w:val="24"/>
          <w:szCs w:val="24"/>
        </w:rPr>
      </w:pPr>
      <w:r>
        <w:rPr>
          <w:rFonts w:ascii="Times New Roman" w:hAnsi="Times New Roman" w:cs="Times New Roman"/>
          <w:sz w:val="24"/>
          <w:szCs w:val="24"/>
        </w:rPr>
        <w:t>If allowed to go into effect, the company’s filing would change the natural gas rider rates as shown in the table below:</w:t>
      </w:r>
    </w:p>
    <w:p w14:paraId="31AD4183" w14:textId="77777777" w:rsidR="00AF45F7" w:rsidRDefault="00AF45F7" w:rsidP="00440A71">
      <w:pPr>
        <w:rPr>
          <w:rFonts w:ascii="Times New Roman" w:hAnsi="Times New Roman" w:cs="Times New Roman"/>
          <w:sz w:val="24"/>
          <w:szCs w:val="24"/>
        </w:rPr>
      </w:pPr>
    </w:p>
    <w:tbl>
      <w:tblPr>
        <w:tblW w:w="0" w:type="auto"/>
        <w:tblBorders>
          <w:top w:val="single" w:sz="4" w:space="0" w:color="000000"/>
          <w:insideH w:val="single" w:sz="4" w:space="0" w:color="000000"/>
        </w:tblBorders>
        <w:tblLook w:val="04A0" w:firstRow="1" w:lastRow="0" w:firstColumn="1" w:lastColumn="0" w:noHBand="0" w:noVBand="1"/>
      </w:tblPr>
      <w:tblGrid>
        <w:gridCol w:w="2343"/>
        <w:gridCol w:w="3889"/>
        <w:gridCol w:w="1511"/>
        <w:gridCol w:w="1594"/>
        <w:gridCol w:w="23"/>
      </w:tblGrid>
      <w:tr w:rsidR="00AF45F7" w:rsidRPr="00694070" w14:paraId="31AD418B" w14:textId="77777777" w:rsidTr="00586C2F">
        <w:trPr>
          <w:gridAfter w:val="1"/>
          <w:wAfter w:w="24" w:type="dxa"/>
          <w:trHeight w:val="557"/>
        </w:trPr>
        <w:tc>
          <w:tcPr>
            <w:tcW w:w="2388" w:type="dxa"/>
          </w:tcPr>
          <w:p w14:paraId="31AD4184" w14:textId="77777777" w:rsidR="00AF45F7" w:rsidRPr="00694070" w:rsidRDefault="00AF45F7" w:rsidP="00586C2F">
            <w:pPr>
              <w:rPr>
                <w:rFonts w:ascii="Times New Roman" w:hAnsi="Times New Roman"/>
                <w:b/>
                <w:sz w:val="24"/>
                <w:szCs w:val="24"/>
              </w:rPr>
            </w:pPr>
          </w:p>
        </w:tc>
        <w:tc>
          <w:tcPr>
            <w:tcW w:w="4020" w:type="dxa"/>
          </w:tcPr>
          <w:p w14:paraId="31AD4185" w14:textId="77777777" w:rsidR="00AF45F7" w:rsidRDefault="00AF45F7" w:rsidP="00586C2F">
            <w:pPr>
              <w:rPr>
                <w:rFonts w:ascii="Times New Roman" w:hAnsi="Times New Roman"/>
                <w:b/>
                <w:bCs/>
                <w:sz w:val="24"/>
                <w:szCs w:val="24"/>
              </w:rPr>
            </w:pPr>
          </w:p>
          <w:p w14:paraId="31AD4186" w14:textId="77777777" w:rsidR="00AF45F7" w:rsidRPr="00694070" w:rsidRDefault="00AF45F7" w:rsidP="00586C2F">
            <w:pPr>
              <w:rPr>
                <w:rFonts w:ascii="Times New Roman" w:hAnsi="Times New Roman"/>
                <w:b/>
                <w:sz w:val="24"/>
                <w:szCs w:val="24"/>
              </w:rPr>
            </w:pPr>
            <w:r w:rsidRPr="00694070">
              <w:rPr>
                <w:rFonts w:ascii="Times New Roman" w:hAnsi="Times New Roman"/>
                <w:b/>
                <w:bCs/>
                <w:sz w:val="24"/>
                <w:szCs w:val="24"/>
              </w:rPr>
              <w:t>Schedule</w:t>
            </w:r>
          </w:p>
        </w:tc>
        <w:tc>
          <w:tcPr>
            <w:tcW w:w="1530" w:type="dxa"/>
          </w:tcPr>
          <w:p w14:paraId="31AD4187" w14:textId="77777777" w:rsidR="00AF45F7" w:rsidRPr="00694070" w:rsidRDefault="00AF45F7" w:rsidP="00586C2F">
            <w:pPr>
              <w:rPr>
                <w:rFonts w:ascii="Times New Roman" w:hAnsi="Times New Roman"/>
                <w:b/>
                <w:bCs/>
                <w:sz w:val="24"/>
                <w:szCs w:val="24"/>
              </w:rPr>
            </w:pPr>
            <w:r w:rsidRPr="00694070">
              <w:rPr>
                <w:rFonts w:ascii="Times New Roman" w:hAnsi="Times New Roman"/>
                <w:b/>
                <w:bCs/>
                <w:sz w:val="24"/>
                <w:szCs w:val="24"/>
              </w:rPr>
              <w:t xml:space="preserve">Current Rate </w:t>
            </w:r>
          </w:p>
          <w:p w14:paraId="31AD4188" w14:textId="77777777" w:rsidR="00AF45F7" w:rsidRPr="00694070" w:rsidRDefault="00AF45F7" w:rsidP="00586C2F">
            <w:pPr>
              <w:rPr>
                <w:rFonts w:ascii="Times New Roman" w:hAnsi="Times New Roman"/>
                <w:b/>
                <w:sz w:val="24"/>
                <w:szCs w:val="24"/>
              </w:rPr>
            </w:pPr>
            <w:r w:rsidRPr="00694070">
              <w:rPr>
                <w:rFonts w:ascii="Times New Roman" w:hAnsi="Times New Roman"/>
                <w:b/>
                <w:bCs/>
                <w:sz w:val="24"/>
                <w:szCs w:val="24"/>
              </w:rPr>
              <w:t xml:space="preserve">per </w:t>
            </w:r>
            <w:r>
              <w:rPr>
                <w:rFonts w:ascii="Times New Roman" w:hAnsi="Times New Roman"/>
                <w:b/>
                <w:bCs/>
                <w:sz w:val="24"/>
                <w:szCs w:val="24"/>
              </w:rPr>
              <w:t>Therm</w:t>
            </w:r>
          </w:p>
        </w:tc>
        <w:tc>
          <w:tcPr>
            <w:tcW w:w="1614" w:type="dxa"/>
          </w:tcPr>
          <w:p w14:paraId="31AD4189" w14:textId="77777777" w:rsidR="00AF45F7" w:rsidRPr="00694070" w:rsidRDefault="00AF45F7" w:rsidP="00586C2F">
            <w:pPr>
              <w:rPr>
                <w:rFonts w:ascii="Times New Roman" w:hAnsi="Times New Roman"/>
                <w:b/>
                <w:sz w:val="24"/>
                <w:szCs w:val="24"/>
                <w:vertAlign w:val="superscript"/>
              </w:rPr>
            </w:pPr>
            <w:r w:rsidRPr="00694070">
              <w:rPr>
                <w:rFonts w:ascii="Times New Roman" w:hAnsi="Times New Roman"/>
                <w:b/>
                <w:sz w:val="24"/>
                <w:szCs w:val="24"/>
              </w:rPr>
              <w:t>Proposed</w:t>
            </w:r>
          </w:p>
          <w:p w14:paraId="31AD418A" w14:textId="77777777" w:rsidR="00AF45F7" w:rsidRPr="00694070" w:rsidRDefault="00AF45F7" w:rsidP="00586C2F">
            <w:pPr>
              <w:rPr>
                <w:rFonts w:ascii="Times New Roman" w:hAnsi="Times New Roman"/>
                <w:b/>
                <w:sz w:val="24"/>
                <w:szCs w:val="24"/>
              </w:rPr>
            </w:pPr>
            <w:r w:rsidRPr="00694070">
              <w:rPr>
                <w:rFonts w:ascii="Times New Roman" w:hAnsi="Times New Roman"/>
                <w:b/>
                <w:sz w:val="24"/>
                <w:szCs w:val="24"/>
              </w:rPr>
              <w:t xml:space="preserve">Rate per </w:t>
            </w:r>
            <w:r>
              <w:rPr>
                <w:rFonts w:ascii="Times New Roman" w:hAnsi="Times New Roman"/>
                <w:b/>
                <w:sz w:val="24"/>
                <w:szCs w:val="24"/>
              </w:rPr>
              <w:t>Therm</w:t>
            </w:r>
          </w:p>
        </w:tc>
      </w:tr>
      <w:tr w:rsidR="00AF45F7" w:rsidRPr="00694070" w14:paraId="31AD4190" w14:textId="77777777" w:rsidTr="00AF45F7">
        <w:tc>
          <w:tcPr>
            <w:tcW w:w="2388" w:type="dxa"/>
            <w:tcBorders>
              <w:bottom w:val="single" w:sz="4" w:space="0" w:color="000000"/>
            </w:tcBorders>
          </w:tcPr>
          <w:p w14:paraId="31AD418C" w14:textId="77777777" w:rsidR="00AF45F7" w:rsidRPr="00694070" w:rsidRDefault="00AF45F7" w:rsidP="00AF45F7">
            <w:pPr>
              <w:rPr>
                <w:rFonts w:ascii="Times New Roman" w:hAnsi="Times New Roman"/>
                <w:sz w:val="24"/>
                <w:szCs w:val="24"/>
              </w:rPr>
            </w:pPr>
            <w:r w:rsidRPr="00694070">
              <w:rPr>
                <w:rFonts w:ascii="Times New Roman" w:hAnsi="Times New Roman"/>
                <w:sz w:val="24"/>
                <w:szCs w:val="24"/>
              </w:rPr>
              <w:t>Firm Sales</w:t>
            </w:r>
          </w:p>
        </w:tc>
        <w:tc>
          <w:tcPr>
            <w:tcW w:w="4020" w:type="dxa"/>
            <w:tcBorders>
              <w:bottom w:val="single" w:sz="4" w:space="0" w:color="000000"/>
            </w:tcBorders>
          </w:tcPr>
          <w:p w14:paraId="31AD418D" w14:textId="77777777" w:rsidR="00AF45F7" w:rsidRPr="00694070" w:rsidRDefault="00AF45F7" w:rsidP="00586C2F">
            <w:pPr>
              <w:rPr>
                <w:rFonts w:ascii="Times New Roman" w:hAnsi="Times New Roman"/>
                <w:sz w:val="24"/>
                <w:szCs w:val="24"/>
              </w:rPr>
            </w:pPr>
            <w:r w:rsidRPr="00694070">
              <w:rPr>
                <w:rFonts w:ascii="Times New Roman" w:hAnsi="Times New Roman"/>
                <w:sz w:val="24"/>
                <w:szCs w:val="24"/>
              </w:rPr>
              <w:t>Schedule</w:t>
            </w:r>
            <w:r>
              <w:rPr>
                <w:rFonts w:ascii="Times New Roman" w:hAnsi="Times New Roman"/>
                <w:sz w:val="24"/>
                <w:szCs w:val="24"/>
              </w:rPr>
              <w:t>s 16, 23, 31, 41 and 53</w:t>
            </w:r>
          </w:p>
        </w:tc>
        <w:tc>
          <w:tcPr>
            <w:tcW w:w="1530" w:type="dxa"/>
            <w:tcBorders>
              <w:bottom w:val="single" w:sz="4" w:space="0" w:color="000000"/>
            </w:tcBorders>
          </w:tcPr>
          <w:p w14:paraId="31AD418E" w14:textId="77777777" w:rsidR="00AF45F7" w:rsidRPr="00694070" w:rsidRDefault="00AF45F7" w:rsidP="00586C2F">
            <w:pPr>
              <w:rPr>
                <w:rFonts w:ascii="Times New Roman" w:hAnsi="Times New Roman"/>
                <w:sz w:val="24"/>
                <w:szCs w:val="24"/>
              </w:rPr>
            </w:pPr>
            <w:r w:rsidRPr="00694070">
              <w:rPr>
                <w:rFonts w:ascii="Times New Roman" w:hAnsi="Times New Roman"/>
                <w:sz w:val="24"/>
                <w:szCs w:val="24"/>
              </w:rPr>
              <w:t>$0.0</w:t>
            </w:r>
            <w:r>
              <w:rPr>
                <w:rFonts w:ascii="Times New Roman" w:hAnsi="Times New Roman"/>
                <w:sz w:val="24"/>
                <w:szCs w:val="24"/>
              </w:rPr>
              <w:t>1268</w:t>
            </w:r>
          </w:p>
        </w:tc>
        <w:tc>
          <w:tcPr>
            <w:tcW w:w="1638" w:type="dxa"/>
            <w:gridSpan w:val="2"/>
            <w:tcBorders>
              <w:bottom w:val="single" w:sz="4" w:space="0" w:color="000000"/>
            </w:tcBorders>
          </w:tcPr>
          <w:p w14:paraId="31AD418F" w14:textId="77777777" w:rsidR="00AF45F7" w:rsidRPr="00694070" w:rsidRDefault="00AF45F7" w:rsidP="00AF45F7">
            <w:pPr>
              <w:rPr>
                <w:rFonts w:ascii="Times New Roman" w:hAnsi="Times New Roman"/>
                <w:sz w:val="24"/>
                <w:szCs w:val="24"/>
              </w:rPr>
            </w:pPr>
            <w:r w:rsidRPr="00694070">
              <w:rPr>
                <w:rFonts w:ascii="Times New Roman" w:hAnsi="Times New Roman"/>
                <w:sz w:val="24"/>
                <w:szCs w:val="24"/>
              </w:rPr>
              <w:t>$0.0</w:t>
            </w:r>
            <w:r>
              <w:rPr>
                <w:rFonts w:ascii="Times New Roman" w:hAnsi="Times New Roman"/>
                <w:sz w:val="24"/>
                <w:szCs w:val="24"/>
              </w:rPr>
              <w:t>1504</w:t>
            </w:r>
          </w:p>
        </w:tc>
      </w:tr>
      <w:tr w:rsidR="00AF45F7" w:rsidRPr="00694070" w14:paraId="31AD4195" w14:textId="77777777" w:rsidTr="00AF45F7">
        <w:tc>
          <w:tcPr>
            <w:tcW w:w="2388" w:type="dxa"/>
            <w:tcBorders>
              <w:bottom w:val="single" w:sz="4" w:space="0" w:color="auto"/>
            </w:tcBorders>
          </w:tcPr>
          <w:p w14:paraId="31AD4191" w14:textId="77777777" w:rsidR="00AF45F7" w:rsidRPr="00694070" w:rsidRDefault="00AF45F7" w:rsidP="00AF45F7">
            <w:pPr>
              <w:rPr>
                <w:rFonts w:ascii="Times New Roman" w:hAnsi="Times New Roman"/>
                <w:sz w:val="24"/>
                <w:szCs w:val="24"/>
              </w:rPr>
            </w:pPr>
            <w:r>
              <w:rPr>
                <w:rFonts w:ascii="Times New Roman" w:hAnsi="Times New Roman"/>
                <w:sz w:val="24"/>
                <w:szCs w:val="24"/>
              </w:rPr>
              <w:t>Interruptible Sales</w:t>
            </w:r>
          </w:p>
        </w:tc>
        <w:tc>
          <w:tcPr>
            <w:tcW w:w="4020" w:type="dxa"/>
            <w:tcBorders>
              <w:bottom w:val="single" w:sz="4" w:space="0" w:color="auto"/>
            </w:tcBorders>
          </w:tcPr>
          <w:p w14:paraId="31AD4192" w14:textId="77777777" w:rsidR="00AF45F7" w:rsidRPr="00694070" w:rsidRDefault="00AF45F7" w:rsidP="00586C2F">
            <w:pPr>
              <w:rPr>
                <w:rFonts w:ascii="Times New Roman" w:hAnsi="Times New Roman"/>
                <w:sz w:val="24"/>
                <w:szCs w:val="24"/>
              </w:rPr>
            </w:pPr>
            <w:r w:rsidRPr="00694070">
              <w:rPr>
                <w:rFonts w:ascii="Times New Roman" w:hAnsi="Times New Roman"/>
                <w:sz w:val="24"/>
                <w:szCs w:val="24"/>
              </w:rPr>
              <w:t xml:space="preserve">Schedules </w:t>
            </w:r>
            <w:r>
              <w:rPr>
                <w:rFonts w:ascii="Times New Roman" w:hAnsi="Times New Roman"/>
                <w:sz w:val="24"/>
                <w:szCs w:val="24"/>
              </w:rPr>
              <w:t>85, 86, 87</w:t>
            </w:r>
            <w:r w:rsidRPr="00694070">
              <w:rPr>
                <w:rFonts w:ascii="Times New Roman" w:hAnsi="Times New Roman"/>
                <w:sz w:val="24"/>
                <w:szCs w:val="24"/>
              </w:rPr>
              <w:t xml:space="preserve"> </w:t>
            </w:r>
          </w:p>
        </w:tc>
        <w:tc>
          <w:tcPr>
            <w:tcW w:w="1530" w:type="dxa"/>
            <w:tcBorders>
              <w:bottom w:val="single" w:sz="4" w:space="0" w:color="auto"/>
            </w:tcBorders>
          </w:tcPr>
          <w:p w14:paraId="31AD4193" w14:textId="77777777" w:rsidR="00AF45F7" w:rsidRPr="00694070" w:rsidRDefault="00AF45F7" w:rsidP="00AF45F7">
            <w:pPr>
              <w:rPr>
                <w:rFonts w:ascii="Times New Roman" w:hAnsi="Times New Roman"/>
                <w:sz w:val="24"/>
                <w:szCs w:val="24"/>
              </w:rPr>
            </w:pPr>
            <w:r w:rsidRPr="00694070">
              <w:rPr>
                <w:rFonts w:ascii="Times New Roman" w:hAnsi="Times New Roman"/>
                <w:sz w:val="24"/>
                <w:szCs w:val="24"/>
              </w:rPr>
              <w:t>$0.0</w:t>
            </w:r>
            <w:r>
              <w:rPr>
                <w:rFonts w:ascii="Times New Roman" w:hAnsi="Times New Roman"/>
                <w:sz w:val="24"/>
                <w:szCs w:val="24"/>
              </w:rPr>
              <w:t>1137</w:t>
            </w:r>
          </w:p>
        </w:tc>
        <w:tc>
          <w:tcPr>
            <w:tcW w:w="1638" w:type="dxa"/>
            <w:gridSpan w:val="2"/>
            <w:tcBorders>
              <w:bottom w:val="single" w:sz="4" w:space="0" w:color="auto"/>
            </w:tcBorders>
          </w:tcPr>
          <w:p w14:paraId="31AD4194" w14:textId="77777777" w:rsidR="00AF45F7" w:rsidRPr="00694070" w:rsidRDefault="00AF45F7" w:rsidP="00AF45F7">
            <w:pPr>
              <w:rPr>
                <w:rFonts w:ascii="Times New Roman" w:hAnsi="Times New Roman"/>
                <w:sz w:val="24"/>
                <w:szCs w:val="24"/>
              </w:rPr>
            </w:pPr>
            <w:r w:rsidRPr="00694070">
              <w:rPr>
                <w:rFonts w:ascii="Times New Roman" w:hAnsi="Times New Roman"/>
                <w:sz w:val="24"/>
                <w:szCs w:val="24"/>
              </w:rPr>
              <w:t>$0.0</w:t>
            </w:r>
            <w:r>
              <w:rPr>
                <w:rFonts w:ascii="Times New Roman" w:hAnsi="Times New Roman"/>
                <w:sz w:val="24"/>
                <w:szCs w:val="24"/>
              </w:rPr>
              <w:t>1359</w:t>
            </w:r>
          </w:p>
        </w:tc>
      </w:tr>
    </w:tbl>
    <w:p w14:paraId="31AD4196" w14:textId="77777777" w:rsidR="00AF45F7" w:rsidRDefault="00AF45F7" w:rsidP="00440A71">
      <w:pPr>
        <w:rPr>
          <w:rFonts w:ascii="Times New Roman" w:hAnsi="Times New Roman" w:cs="Times New Roman"/>
          <w:sz w:val="24"/>
          <w:szCs w:val="24"/>
        </w:rPr>
      </w:pPr>
    </w:p>
    <w:p w14:paraId="31AD4197" w14:textId="77777777" w:rsidR="00823958" w:rsidRDefault="00440A71" w:rsidP="00440A71">
      <w:pPr>
        <w:rPr>
          <w:rFonts w:ascii="Times New Roman" w:hAnsi="Times New Roman" w:cs="Times New Roman"/>
          <w:b/>
          <w:i/>
          <w:sz w:val="24"/>
          <w:szCs w:val="24"/>
        </w:rPr>
      </w:pPr>
      <w:r w:rsidRPr="00887DB1">
        <w:rPr>
          <w:rFonts w:ascii="Times New Roman" w:hAnsi="Times New Roman" w:cs="Times New Roman"/>
          <w:b/>
          <w:i/>
          <w:sz w:val="24"/>
          <w:szCs w:val="24"/>
        </w:rPr>
        <w:t>Review of variance</w:t>
      </w:r>
    </w:p>
    <w:p w14:paraId="31AD4198" w14:textId="77777777" w:rsidR="00823958" w:rsidRDefault="00823958" w:rsidP="00440A71">
      <w:pPr>
        <w:rPr>
          <w:rFonts w:ascii="Times New Roman" w:hAnsi="Times New Roman" w:cs="Times New Roman"/>
          <w:sz w:val="24"/>
          <w:szCs w:val="24"/>
        </w:rPr>
      </w:pPr>
      <w:r>
        <w:rPr>
          <w:rFonts w:ascii="Times New Roman" w:hAnsi="Times New Roman" w:cs="Times New Roman"/>
          <w:sz w:val="24"/>
          <w:szCs w:val="24"/>
        </w:rPr>
        <w:t xml:space="preserve">While PSE spent slightly less than it budgeted for natural gas conservation programs in 2014, reduced sales resulted in the company collecting about $575,000 less than it had expected. This amount, when adjusted for </w:t>
      </w:r>
      <w:r w:rsidR="004A23EC">
        <w:rPr>
          <w:rFonts w:ascii="Times New Roman" w:hAnsi="Times New Roman" w:cs="Times New Roman"/>
          <w:sz w:val="24"/>
          <w:szCs w:val="24"/>
        </w:rPr>
        <w:t>taxes, regulatory fees and bad debts, constitutes the $601,000 true up that the company is seeking for the 2014 program year.</w:t>
      </w:r>
    </w:p>
    <w:p w14:paraId="31AD4199" w14:textId="77777777" w:rsidR="004A23EC" w:rsidRDefault="004A23EC" w:rsidP="00440A71">
      <w:pPr>
        <w:rPr>
          <w:rFonts w:ascii="Times New Roman" w:hAnsi="Times New Roman" w:cs="Times New Roman"/>
          <w:sz w:val="24"/>
          <w:szCs w:val="24"/>
        </w:rPr>
      </w:pPr>
    </w:p>
    <w:p w14:paraId="31AD419A" w14:textId="77777777" w:rsidR="004A23EC" w:rsidRDefault="004A23EC" w:rsidP="00440A71">
      <w:pPr>
        <w:rPr>
          <w:rFonts w:ascii="Times New Roman" w:hAnsi="Times New Roman" w:cs="Times New Roman"/>
          <w:sz w:val="24"/>
          <w:szCs w:val="24"/>
        </w:rPr>
      </w:pPr>
      <w:r>
        <w:rPr>
          <w:rFonts w:ascii="Times New Roman" w:hAnsi="Times New Roman" w:cs="Times New Roman"/>
          <w:sz w:val="24"/>
          <w:szCs w:val="24"/>
        </w:rPr>
        <w:t xml:space="preserve">PSE’s proposed 2015 budget of $13.94 million represents an increase of $1.46 million, or 11.7 percent, over the 2014 budget. Half of that increase is attributable to the company’s $738,000 funding commitment for the newly formed natural gas market transformation initiative being undertaken by the Northwest Energy Efficiency Alliance. The remainder of the increase is primarily driven by funding increases for the company’s programs that target new construction in the residential and commercial/industrial sectors. </w:t>
      </w:r>
    </w:p>
    <w:p w14:paraId="31AD419B" w14:textId="77777777" w:rsidR="004A23EC" w:rsidRDefault="004A23EC" w:rsidP="00440A71">
      <w:pPr>
        <w:rPr>
          <w:rFonts w:ascii="Times New Roman" w:hAnsi="Times New Roman" w:cs="Times New Roman"/>
          <w:sz w:val="24"/>
          <w:szCs w:val="24"/>
        </w:rPr>
      </w:pPr>
    </w:p>
    <w:p w14:paraId="31AD419C" w14:textId="77777777" w:rsidR="00440A71" w:rsidRDefault="00440A71" w:rsidP="00440A71">
      <w:pPr>
        <w:rPr>
          <w:rFonts w:ascii="Times New Roman" w:hAnsi="Times New Roman" w:cs="Times New Roman"/>
          <w:sz w:val="24"/>
          <w:szCs w:val="24"/>
        </w:rPr>
      </w:pPr>
      <w:r>
        <w:rPr>
          <w:rFonts w:ascii="Times New Roman" w:hAnsi="Times New Roman" w:cs="Times New Roman"/>
          <w:sz w:val="24"/>
          <w:szCs w:val="24"/>
        </w:rPr>
        <w:t>To measure the performance of its conservation programs, PSE has developed a metric called the Direct Benefit to Customers (</w:t>
      </w:r>
      <w:proofErr w:type="spellStart"/>
      <w:r>
        <w:rPr>
          <w:rFonts w:ascii="Times New Roman" w:hAnsi="Times New Roman" w:cs="Times New Roman"/>
          <w:sz w:val="24"/>
          <w:szCs w:val="24"/>
        </w:rPr>
        <w:t>DBtC</w:t>
      </w:r>
      <w:proofErr w:type="spellEnd"/>
      <w:r>
        <w:rPr>
          <w:rFonts w:ascii="Times New Roman" w:hAnsi="Times New Roman" w:cs="Times New Roman"/>
          <w:sz w:val="24"/>
          <w:szCs w:val="24"/>
        </w:rPr>
        <w:t xml:space="preserve">), which measures the portion of program expenditures that provide a measurable benefit to customers. In addition to incentives paid to customers, this metric also includes benefits such as appliance removal and recycling and regional market transformation funding that lowers the price of energy-efficient equipment for customers over time. Though somewhat subjective, the </w:t>
      </w:r>
      <w:proofErr w:type="spellStart"/>
      <w:r>
        <w:rPr>
          <w:rFonts w:ascii="Times New Roman" w:hAnsi="Times New Roman" w:cs="Times New Roman"/>
          <w:sz w:val="24"/>
          <w:szCs w:val="24"/>
        </w:rPr>
        <w:t>DBtC</w:t>
      </w:r>
      <w:proofErr w:type="spellEnd"/>
      <w:r>
        <w:rPr>
          <w:rFonts w:ascii="Times New Roman" w:hAnsi="Times New Roman" w:cs="Times New Roman"/>
          <w:sz w:val="24"/>
          <w:szCs w:val="24"/>
        </w:rPr>
        <w:t xml:space="preserve"> has been consistently applied over the years and has become a meaningful metric for evaluating the customer impacts of PSE’s conservation programs over time.</w:t>
      </w:r>
    </w:p>
    <w:p w14:paraId="31AD419D" w14:textId="77777777" w:rsidR="00440A71" w:rsidRDefault="00440A71" w:rsidP="00440A71">
      <w:pPr>
        <w:rPr>
          <w:rFonts w:ascii="Times New Roman" w:hAnsi="Times New Roman" w:cs="Times New Roman"/>
          <w:sz w:val="24"/>
          <w:szCs w:val="24"/>
        </w:rPr>
      </w:pPr>
    </w:p>
    <w:p w14:paraId="31AD419E" w14:textId="77777777" w:rsidR="00440A71" w:rsidRPr="007B11D7" w:rsidRDefault="00440A71" w:rsidP="00440A71">
      <w:pPr>
        <w:rPr>
          <w:rFonts w:ascii="Times New Roman" w:hAnsi="Times New Roman" w:cs="Times New Roman"/>
          <w:sz w:val="24"/>
          <w:szCs w:val="24"/>
        </w:rPr>
      </w:pPr>
      <w:r>
        <w:rPr>
          <w:rFonts w:ascii="Times New Roman" w:hAnsi="Times New Roman" w:cs="Times New Roman"/>
          <w:sz w:val="24"/>
          <w:szCs w:val="24"/>
        </w:rPr>
        <w:t xml:space="preserve">As the table below shows, the </w:t>
      </w:r>
      <w:proofErr w:type="spellStart"/>
      <w:r>
        <w:rPr>
          <w:rFonts w:ascii="Times New Roman" w:hAnsi="Times New Roman" w:cs="Times New Roman"/>
          <w:sz w:val="24"/>
          <w:szCs w:val="24"/>
        </w:rPr>
        <w:t>DBtC</w:t>
      </w:r>
      <w:proofErr w:type="spellEnd"/>
      <w:r>
        <w:rPr>
          <w:rFonts w:ascii="Times New Roman" w:hAnsi="Times New Roman" w:cs="Times New Roman"/>
          <w:sz w:val="24"/>
          <w:szCs w:val="24"/>
        </w:rPr>
        <w:t xml:space="preserve"> for PSE’s natural gas conservation programs </w:t>
      </w:r>
      <w:r w:rsidR="00907CB8">
        <w:rPr>
          <w:rFonts w:ascii="Times New Roman" w:hAnsi="Times New Roman" w:cs="Times New Roman"/>
          <w:sz w:val="24"/>
          <w:szCs w:val="24"/>
        </w:rPr>
        <w:t>in 2014 increased on the residential side and decreased on the business side, with a net increase overall:</w:t>
      </w:r>
    </w:p>
    <w:p w14:paraId="31AD419F" w14:textId="77777777" w:rsidR="00440A71" w:rsidRPr="007B11D7" w:rsidRDefault="00440A71" w:rsidP="00440A71">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030"/>
        <w:gridCol w:w="1510"/>
        <w:gridCol w:w="1589"/>
        <w:gridCol w:w="1702"/>
        <w:gridCol w:w="1702"/>
      </w:tblGrid>
      <w:tr w:rsidR="00FE36F8" w:rsidRPr="007B11D7" w14:paraId="31AD41AB" w14:textId="77777777" w:rsidTr="002B7B8A">
        <w:tc>
          <w:tcPr>
            <w:tcW w:w="2030" w:type="dxa"/>
            <w:vAlign w:val="bottom"/>
          </w:tcPr>
          <w:p w14:paraId="31AD41A0" w14:textId="77777777" w:rsidR="00FE36F8" w:rsidRPr="007B11D7" w:rsidRDefault="00FE36F8" w:rsidP="00586C2F">
            <w:pPr>
              <w:jc w:val="center"/>
              <w:rPr>
                <w:rFonts w:ascii="Times New Roman" w:hAnsi="Times New Roman" w:cs="Times New Roman"/>
                <w:b/>
                <w:sz w:val="24"/>
                <w:szCs w:val="24"/>
              </w:rPr>
            </w:pPr>
            <w:r>
              <w:rPr>
                <w:rFonts w:ascii="Times New Roman" w:hAnsi="Times New Roman" w:cs="Times New Roman"/>
                <w:b/>
                <w:sz w:val="24"/>
                <w:szCs w:val="24"/>
              </w:rPr>
              <w:t>PSE</w:t>
            </w:r>
            <w:r w:rsidRPr="007B11D7">
              <w:rPr>
                <w:rFonts w:ascii="Times New Roman" w:hAnsi="Times New Roman" w:cs="Times New Roman"/>
                <w:b/>
                <w:sz w:val="24"/>
                <w:szCs w:val="24"/>
              </w:rPr>
              <w:t xml:space="preserve"> Direct Benefit to Customers</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DBtC</w:t>
            </w:r>
            <w:proofErr w:type="spellEnd"/>
            <w:r>
              <w:rPr>
                <w:rFonts w:ascii="Times New Roman" w:hAnsi="Times New Roman" w:cs="Times New Roman"/>
                <w:b/>
                <w:sz w:val="24"/>
                <w:szCs w:val="24"/>
              </w:rPr>
              <w:t>)</w:t>
            </w:r>
          </w:p>
        </w:tc>
        <w:tc>
          <w:tcPr>
            <w:tcW w:w="1510" w:type="dxa"/>
          </w:tcPr>
          <w:p w14:paraId="31AD41A1" w14:textId="77777777" w:rsidR="00FE36F8" w:rsidRDefault="00FE36F8" w:rsidP="00586C2F">
            <w:pPr>
              <w:jc w:val="center"/>
              <w:rPr>
                <w:rFonts w:ascii="Times New Roman" w:hAnsi="Times New Roman" w:cs="Times New Roman"/>
                <w:b/>
                <w:sz w:val="24"/>
                <w:szCs w:val="24"/>
              </w:rPr>
            </w:pPr>
          </w:p>
          <w:p w14:paraId="31AD41A2" w14:textId="77777777" w:rsidR="00FE36F8" w:rsidRDefault="00FE36F8" w:rsidP="00586C2F">
            <w:pPr>
              <w:jc w:val="center"/>
              <w:rPr>
                <w:rFonts w:ascii="Times New Roman" w:hAnsi="Times New Roman" w:cs="Times New Roman"/>
                <w:b/>
                <w:sz w:val="24"/>
                <w:szCs w:val="24"/>
              </w:rPr>
            </w:pPr>
          </w:p>
          <w:p w14:paraId="31AD41A3" w14:textId="77777777" w:rsidR="00FE36F8" w:rsidRDefault="00FE36F8" w:rsidP="00586C2F">
            <w:pPr>
              <w:jc w:val="center"/>
              <w:rPr>
                <w:rFonts w:ascii="Times New Roman" w:hAnsi="Times New Roman" w:cs="Times New Roman"/>
                <w:b/>
                <w:sz w:val="24"/>
                <w:szCs w:val="24"/>
              </w:rPr>
            </w:pPr>
          </w:p>
          <w:p w14:paraId="31AD41A4" w14:textId="77777777" w:rsidR="00FE36F8" w:rsidRDefault="00FE36F8" w:rsidP="00586C2F">
            <w:pPr>
              <w:jc w:val="center"/>
              <w:rPr>
                <w:rFonts w:ascii="Times New Roman" w:hAnsi="Times New Roman" w:cs="Times New Roman"/>
                <w:b/>
                <w:sz w:val="24"/>
                <w:szCs w:val="24"/>
              </w:rPr>
            </w:pPr>
            <w:r>
              <w:rPr>
                <w:rFonts w:ascii="Times New Roman" w:hAnsi="Times New Roman" w:cs="Times New Roman"/>
                <w:b/>
                <w:sz w:val="24"/>
                <w:szCs w:val="24"/>
              </w:rPr>
              <w:t>2014</w:t>
            </w:r>
          </w:p>
        </w:tc>
        <w:tc>
          <w:tcPr>
            <w:tcW w:w="1589" w:type="dxa"/>
          </w:tcPr>
          <w:p w14:paraId="31AD41A5" w14:textId="77777777" w:rsidR="00FE36F8" w:rsidRDefault="00FE36F8" w:rsidP="00586C2F">
            <w:pPr>
              <w:jc w:val="center"/>
              <w:rPr>
                <w:rFonts w:ascii="Times New Roman" w:hAnsi="Times New Roman" w:cs="Times New Roman"/>
                <w:b/>
                <w:sz w:val="24"/>
                <w:szCs w:val="24"/>
              </w:rPr>
            </w:pPr>
          </w:p>
          <w:p w14:paraId="31AD41A6" w14:textId="77777777" w:rsidR="00FE36F8" w:rsidRDefault="00FE36F8" w:rsidP="00586C2F">
            <w:pPr>
              <w:jc w:val="center"/>
              <w:rPr>
                <w:rFonts w:ascii="Times New Roman" w:hAnsi="Times New Roman" w:cs="Times New Roman"/>
                <w:b/>
                <w:sz w:val="24"/>
                <w:szCs w:val="24"/>
              </w:rPr>
            </w:pPr>
          </w:p>
          <w:p w14:paraId="31AD41A7" w14:textId="77777777" w:rsidR="00FE36F8" w:rsidRDefault="00FE36F8" w:rsidP="00586C2F">
            <w:pPr>
              <w:jc w:val="center"/>
              <w:rPr>
                <w:rFonts w:ascii="Times New Roman" w:hAnsi="Times New Roman" w:cs="Times New Roman"/>
                <w:b/>
                <w:sz w:val="24"/>
                <w:szCs w:val="24"/>
              </w:rPr>
            </w:pPr>
          </w:p>
          <w:p w14:paraId="31AD41A8" w14:textId="77777777" w:rsidR="00FE36F8" w:rsidRDefault="00FE36F8" w:rsidP="00586C2F">
            <w:pPr>
              <w:jc w:val="center"/>
              <w:rPr>
                <w:rFonts w:ascii="Times New Roman" w:hAnsi="Times New Roman" w:cs="Times New Roman"/>
                <w:b/>
                <w:sz w:val="24"/>
                <w:szCs w:val="24"/>
              </w:rPr>
            </w:pPr>
            <w:r>
              <w:rPr>
                <w:rFonts w:ascii="Times New Roman" w:hAnsi="Times New Roman" w:cs="Times New Roman"/>
                <w:b/>
                <w:sz w:val="24"/>
                <w:szCs w:val="24"/>
              </w:rPr>
              <w:t>2013</w:t>
            </w:r>
          </w:p>
        </w:tc>
        <w:tc>
          <w:tcPr>
            <w:tcW w:w="1702" w:type="dxa"/>
            <w:vAlign w:val="bottom"/>
          </w:tcPr>
          <w:p w14:paraId="31AD41A9" w14:textId="77777777" w:rsidR="00FE36F8" w:rsidRPr="007B11D7" w:rsidRDefault="00FE36F8" w:rsidP="00586C2F">
            <w:pPr>
              <w:jc w:val="center"/>
              <w:rPr>
                <w:rFonts w:ascii="Times New Roman" w:hAnsi="Times New Roman" w:cs="Times New Roman"/>
                <w:b/>
                <w:sz w:val="24"/>
                <w:szCs w:val="24"/>
              </w:rPr>
            </w:pPr>
            <w:r>
              <w:rPr>
                <w:rFonts w:ascii="Times New Roman" w:hAnsi="Times New Roman" w:cs="Times New Roman"/>
                <w:b/>
                <w:sz w:val="24"/>
                <w:szCs w:val="24"/>
              </w:rPr>
              <w:t>2012</w:t>
            </w:r>
          </w:p>
        </w:tc>
        <w:tc>
          <w:tcPr>
            <w:tcW w:w="1702" w:type="dxa"/>
            <w:vAlign w:val="bottom"/>
          </w:tcPr>
          <w:p w14:paraId="31AD41AA" w14:textId="77777777" w:rsidR="00FE36F8" w:rsidRPr="007B11D7" w:rsidRDefault="00FE36F8" w:rsidP="00586C2F">
            <w:pPr>
              <w:jc w:val="center"/>
              <w:rPr>
                <w:rFonts w:ascii="Times New Roman" w:hAnsi="Times New Roman" w:cs="Times New Roman"/>
                <w:b/>
                <w:sz w:val="24"/>
                <w:szCs w:val="24"/>
              </w:rPr>
            </w:pPr>
            <w:r w:rsidRPr="007B11D7">
              <w:rPr>
                <w:rFonts w:ascii="Times New Roman" w:hAnsi="Times New Roman" w:cs="Times New Roman"/>
                <w:b/>
                <w:sz w:val="24"/>
                <w:szCs w:val="24"/>
              </w:rPr>
              <w:t>2011</w:t>
            </w:r>
          </w:p>
        </w:tc>
        <w:bookmarkStart w:id="0" w:name="_GoBack"/>
        <w:bookmarkEnd w:id="0"/>
      </w:tr>
      <w:tr w:rsidR="00FE36F8" w:rsidRPr="007B11D7" w14:paraId="31AD41B1" w14:textId="77777777" w:rsidTr="002B7B8A">
        <w:tc>
          <w:tcPr>
            <w:tcW w:w="2030" w:type="dxa"/>
          </w:tcPr>
          <w:p w14:paraId="31AD41AC" w14:textId="77777777" w:rsidR="00FE36F8" w:rsidRPr="00BE6CDB" w:rsidRDefault="00FE36F8" w:rsidP="00586C2F">
            <w:pPr>
              <w:rPr>
                <w:rFonts w:ascii="Times New Roman" w:hAnsi="Times New Roman" w:cs="Times New Roman"/>
                <w:sz w:val="24"/>
                <w:szCs w:val="24"/>
              </w:rPr>
            </w:pPr>
            <w:r w:rsidRPr="00BE6CDB">
              <w:rPr>
                <w:rFonts w:ascii="Times New Roman" w:hAnsi="Times New Roman" w:cs="Times New Roman"/>
                <w:sz w:val="24"/>
                <w:szCs w:val="24"/>
              </w:rPr>
              <w:t>Residential – Gas</w:t>
            </w:r>
          </w:p>
        </w:tc>
        <w:tc>
          <w:tcPr>
            <w:tcW w:w="1510" w:type="dxa"/>
          </w:tcPr>
          <w:p w14:paraId="31AD41AD" w14:textId="77777777" w:rsidR="00FE36F8" w:rsidRDefault="00FE36F8" w:rsidP="00586C2F">
            <w:pPr>
              <w:jc w:val="center"/>
              <w:rPr>
                <w:rFonts w:ascii="Times New Roman" w:hAnsi="Times New Roman" w:cs="Times New Roman"/>
                <w:sz w:val="24"/>
                <w:szCs w:val="24"/>
              </w:rPr>
            </w:pPr>
            <w:r>
              <w:rPr>
                <w:rFonts w:ascii="Times New Roman" w:hAnsi="Times New Roman" w:cs="Times New Roman"/>
                <w:sz w:val="24"/>
                <w:szCs w:val="24"/>
              </w:rPr>
              <w:t>83%</w:t>
            </w:r>
          </w:p>
        </w:tc>
        <w:tc>
          <w:tcPr>
            <w:tcW w:w="1589" w:type="dxa"/>
          </w:tcPr>
          <w:p w14:paraId="31AD41AE" w14:textId="77777777" w:rsidR="00FE36F8" w:rsidRPr="00BE6CDB" w:rsidRDefault="00FE36F8" w:rsidP="00586C2F">
            <w:pPr>
              <w:jc w:val="center"/>
              <w:rPr>
                <w:rFonts w:ascii="Times New Roman" w:hAnsi="Times New Roman" w:cs="Times New Roman"/>
                <w:sz w:val="24"/>
                <w:szCs w:val="24"/>
              </w:rPr>
            </w:pPr>
            <w:r>
              <w:rPr>
                <w:rFonts w:ascii="Times New Roman" w:hAnsi="Times New Roman" w:cs="Times New Roman"/>
                <w:sz w:val="24"/>
                <w:szCs w:val="24"/>
              </w:rPr>
              <w:t>73%</w:t>
            </w:r>
          </w:p>
        </w:tc>
        <w:tc>
          <w:tcPr>
            <w:tcW w:w="1702" w:type="dxa"/>
          </w:tcPr>
          <w:p w14:paraId="31AD41AF" w14:textId="77777777" w:rsidR="00FE36F8" w:rsidRPr="00BE6CDB" w:rsidRDefault="00FE36F8" w:rsidP="00586C2F">
            <w:pPr>
              <w:jc w:val="center"/>
              <w:rPr>
                <w:rFonts w:ascii="Times New Roman" w:hAnsi="Times New Roman" w:cs="Times New Roman"/>
                <w:sz w:val="24"/>
                <w:szCs w:val="24"/>
              </w:rPr>
            </w:pPr>
            <w:r w:rsidRPr="00BE6CDB">
              <w:rPr>
                <w:rFonts w:ascii="Times New Roman" w:hAnsi="Times New Roman" w:cs="Times New Roman"/>
                <w:sz w:val="24"/>
                <w:szCs w:val="24"/>
              </w:rPr>
              <w:t>80%</w:t>
            </w:r>
          </w:p>
        </w:tc>
        <w:tc>
          <w:tcPr>
            <w:tcW w:w="1702" w:type="dxa"/>
          </w:tcPr>
          <w:p w14:paraId="31AD41B0" w14:textId="77777777" w:rsidR="00FE36F8" w:rsidRPr="00BE6CDB" w:rsidRDefault="00FE36F8" w:rsidP="00586C2F">
            <w:pPr>
              <w:jc w:val="center"/>
              <w:rPr>
                <w:rFonts w:ascii="Times New Roman" w:hAnsi="Times New Roman" w:cs="Times New Roman"/>
                <w:sz w:val="24"/>
                <w:szCs w:val="24"/>
              </w:rPr>
            </w:pPr>
            <w:r w:rsidRPr="00BE6CDB">
              <w:rPr>
                <w:rFonts w:ascii="Times New Roman" w:hAnsi="Times New Roman" w:cs="Times New Roman"/>
                <w:sz w:val="24"/>
                <w:szCs w:val="24"/>
              </w:rPr>
              <w:t>62%</w:t>
            </w:r>
          </w:p>
        </w:tc>
      </w:tr>
      <w:tr w:rsidR="00FE36F8" w:rsidRPr="007B11D7" w14:paraId="31AD41B7" w14:textId="77777777" w:rsidTr="002B7B8A">
        <w:tc>
          <w:tcPr>
            <w:tcW w:w="2030" w:type="dxa"/>
          </w:tcPr>
          <w:p w14:paraId="31AD41B2" w14:textId="77777777" w:rsidR="00FE36F8" w:rsidRPr="00BE6CDB" w:rsidRDefault="00FE36F8" w:rsidP="00586C2F">
            <w:pPr>
              <w:rPr>
                <w:rFonts w:ascii="Times New Roman" w:hAnsi="Times New Roman" w:cs="Times New Roman"/>
                <w:sz w:val="24"/>
                <w:szCs w:val="24"/>
              </w:rPr>
            </w:pPr>
            <w:r w:rsidRPr="00BE6CDB">
              <w:rPr>
                <w:rFonts w:ascii="Times New Roman" w:hAnsi="Times New Roman" w:cs="Times New Roman"/>
                <w:sz w:val="24"/>
                <w:szCs w:val="24"/>
              </w:rPr>
              <w:t>Business – Gas</w:t>
            </w:r>
          </w:p>
        </w:tc>
        <w:tc>
          <w:tcPr>
            <w:tcW w:w="1510" w:type="dxa"/>
          </w:tcPr>
          <w:p w14:paraId="31AD41B3" w14:textId="77777777" w:rsidR="00FE36F8" w:rsidRDefault="00FE36F8" w:rsidP="00586C2F">
            <w:pPr>
              <w:jc w:val="center"/>
              <w:rPr>
                <w:rFonts w:ascii="Times New Roman" w:hAnsi="Times New Roman" w:cs="Times New Roman"/>
                <w:sz w:val="24"/>
                <w:szCs w:val="24"/>
              </w:rPr>
            </w:pPr>
            <w:r>
              <w:rPr>
                <w:rFonts w:ascii="Times New Roman" w:hAnsi="Times New Roman" w:cs="Times New Roman"/>
                <w:sz w:val="24"/>
                <w:szCs w:val="24"/>
              </w:rPr>
              <w:t>65%</w:t>
            </w:r>
          </w:p>
        </w:tc>
        <w:tc>
          <w:tcPr>
            <w:tcW w:w="1589" w:type="dxa"/>
          </w:tcPr>
          <w:p w14:paraId="31AD41B4" w14:textId="77777777" w:rsidR="00FE36F8" w:rsidRPr="00BE6CDB" w:rsidRDefault="00FE36F8" w:rsidP="00586C2F">
            <w:pPr>
              <w:jc w:val="center"/>
              <w:rPr>
                <w:rFonts w:ascii="Times New Roman" w:hAnsi="Times New Roman" w:cs="Times New Roman"/>
                <w:sz w:val="24"/>
                <w:szCs w:val="24"/>
              </w:rPr>
            </w:pPr>
            <w:r>
              <w:rPr>
                <w:rFonts w:ascii="Times New Roman" w:hAnsi="Times New Roman" w:cs="Times New Roman"/>
                <w:sz w:val="24"/>
                <w:szCs w:val="24"/>
              </w:rPr>
              <w:t>74%</w:t>
            </w:r>
          </w:p>
        </w:tc>
        <w:tc>
          <w:tcPr>
            <w:tcW w:w="1702" w:type="dxa"/>
          </w:tcPr>
          <w:p w14:paraId="31AD41B5" w14:textId="77777777" w:rsidR="00FE36F8" w:rsidRPr="00BE6CDB" w:rsidRDefault="00FE36F8" w:rsidP="00586C2F">
            <w:pPr>
              <w:jc w:val="center"/>
              <w:rPr>
                <w:rFonts w:ascii="Times New Roman" w:hAnsi="Times New Roman" w:cs="Times New Roman"/>
                <w:sz w:val="24"/>
                <w:szCs w:val="24"/>
              </w:rPr>
            </w:pPr>
            <w:r w:rsidRPr="00BE6CDB">
              <w:rPr>
                <w:rFonts w:ascii="Times New Roman" w:hAnsi="Times New Roman" w:cs="Times New Roman"/>
                <w:sz w:val="24"/>
                <w:szCs w:val="24"/>
              </w:rPr>
              <w:t>82%</w:t>
            </w:r>
          </w:p>
        </w:tc>
        <w:tc>
          <w:tcPr>
            <w:tcW w:w="1702" w:type="dxa"/>
          </w:tcPr>
          <w:p w14:paraId="31AD41B6" w14:textId="77777777" w:rsidR="00FE36F8" w:rsidRPr="00BE6CDB" w:rsidRDefault="00FE36F8" w:rsidP="00586C2F">
            <w:pPr>
              <w:jc w:val="center"/>
              <w:rPr>
                <w:rFonts w:ascii="Times New Roman" w:hAnsi="Times New Roman" w:cs="Times New Roman"/>
                <w:sz w:val="24"/>
                <w:szCs w:val="24"/>
              </w:rPr>
            </w:pPr>
            <w:r w:rsidRPr="00BE6CDB">
              <w:rPr>
                <w:rFonts w:ascii="Times New Roman" w:hAnsi="Times New Roman" w:cs="Times New Roman"/>
                <w:sz w:val="24"/>
                <w:szCs w:val="24"/>
              </w:rPr>
              <w:t>85%</w:t>
            </w:r>
          </w:p>
        </w:tc>
      </w:tr>
      <w:tr w:rsidR="00FE36F8" w:rsidRPr="007B11D7" w14:paraId="31AD41BD" w14:textId="77777777" w:rsidTr="002B7B8A">
        <w:tc>
          <w:tcPr>
            <w:tcW w:w="2030" w:type="dxa"/>
          </w:tcPr>
          <w:p w14:paraId="31AD41B8" w14:textId="77777777" w:rsidR="00FE36F8" w:rsidRPr="00BE6CDB" w:rsidRDefault="00FE36F8" w:rsidP="00586C2F">
            <w:pPr>
              <w:rPr>
                <w:rFonts w:ascii="Times New Roman" w:hAnsi="Times New Roman" w:cs="Times New Roman"/>
                <w:b/>
                <w:sz w:val="24"/>
                <w:szCs w:val="24"/>
              </w:rPr>
            </w:pPr>
            <w:r w:rsidRPr="00BE6CDB">
              <w:rPr>
                <w:rFonts w:ascii="Times New Roman" w:hAnsi="Times New Roman" w:cs="Times New Roman"/>
                <w:b/>
                <w:sz w:val="24"/>
                <w:szCs w:val="24"/>
              </w:rPr>
              <w:t>Total – Gas</w:t>
            </w:r>
          </w:p>
        </w:tc>
        <w:tc>
          <w:tcPr>
            <w:tcW w:w="1510" w:type="dxa"/>
          </w:tcPr>
          <w:p w14:paraId="31AD41B9" w14:textId="77777777" w:rsidR="00FE36F8" w:rsidRDefault="00907CB8" w:rsidP="00586C2F">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589" w:type="dxa"/>
          </w:tcPr>
          <w:p w14:paraId="31AD41BA" w14:textId="77777777" w:rsidR="00FE36F8" w:rsidRPr="00BE6CDB" w:rsidRDefault="00FE36F8" w:rsidP="00586C2F">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702" w:type="dxa"/>
          </w:tcPr>
          <w:p w14:paraId="31AD41BB" w14:textId="77777777" w:rsidR="00FE36F8" w:rsidRPr="00BE6CDB" w:rsidRDefault="00FE36F8" w:rsidP="00586C2F">
            <w:pPr>
              <w:jc w:val="center"/>
              <w:rPr>
                <w:rFonts w:ascii="Times New Roman" w:hAnsi="Times New Roman" w:cs="Times New Roman"/>
                <w:b/>
                <w:sz w:val="24"/>
                <w:szCs w:val="24"/>
              </w:rPr>
            </w:pPr>
            <w:r w:rsidRPr="00BE6CDB">
              <w:rPr>
                <w:rFonts w:ascii="Times New Roman" w:hAnsi="Times New Roman" w:cs="Times New Roman"/>
                <w:b/>
                <w:sz w:val="24"/>
                <w:szCs w:val="24"/>
              </w:rPr>
              <w:t>74%</w:t>
            </w:r>
          </w:p>
        </w:tc>
        <w:tc>
          <w:tcPr>
            <w:tcW w:w="1702" w:type="dxa"/>
          </w:tcPr>
          <w:p w14:paraId="31AD41BC" w14:textId="77777777" w:rsidR="00FE36F8" w:rsidRPr="00BE6CDB" w:rsidRDefault="00FE36F8" w:rsidP="00586C2F">
            <w:pPr>
              <w:jc w:val="center"/>
              <w:rPr>
                <w:rFonts w:ascii="Times New Roman" w:hAnsi="Times New Roman" w:cs="Times New Roman"/>
                <w:b/>
                <w:sz w:val="24"/>
                <w:szCs w:val="24"/>
              </w:rPr>
            </w:pPr>
            <w:r w:rsidRPr="00BE6CDB">
              <w:rPr>
                <w:rFonts w:ascii="Times New Roman" w:hAnsi="Times New Roman" w:cs="Times New Roman"/>
                <w:b/>
                <w:sz w:val="24"/>
                <w:szCs w:val="24"/>
              </w:rPr>
              <w:t>70%</w:t>
            </w:r>
          </w:p>
        </w:tc>
      </w:tr>
    </w:tbl>
    <w:p w14:paraId="31AD41BE" w14:textId="77777777" w:rsidR="00440A71" w:rsidRPr="007B11D7" w:rsidRDefault="00440A71" w:rsidP="00440A71">
      <w:pPr>
        <w:rPr>
          <w:rFonts w:ascii="Times New Roman" w:hAnsi="Times New Roman" w:cs="Times New Roman"/>
          <w:sz w:val="24"/>
          <w:szCs w:val="24"/>
        </w:rPr>
      </w:pPr>
    </w:p>
    <w:p w14:paraId="31AD41BF" w14:textId="77777777" w:rsidR="00907CB8" w:rsidRDefault="00907CB8" w:rsidP="00440A71">
      <w:pPr>
        <w:rPr>
          <w:rFonts w:ascii="Times New Roman" w:hAnsi="Times New Roman" w:cs="Times New Roman"/>
          <w:b/>
          <w:i/>
          <w:sz w:val="24"/>
          <w:szCs w:val="24"/>
        </w:rPr>
      </w:pPr>
      <w:r>
        <w:rPr>
          <w:rFonts w:ascii="Times New Roman" w:hAnsi="Times New Roman" w:cs="Times New Roman"/>
          <w:b/>
          <w:i/>
          <w:sz w:val="24"/>
          <w:szCs w:val="24"/>
        </w:rPr>
        <w:t>Staff review and program expenditure audit</w:t>
      </w:r>
    </w:p>
    <w:p w14:paraId="31AD41C0" w14:textId="77777777" w:rsidR="00440A71" w:rsidRDefault="00577BDA" w:rsidP="00440A71">
      <w:pPr>
        <w:rPr>
          <w:rFonts w:ascii="Times New Roman" w:hAnsi="Times New Roman" w:cs="Times New Roman"/>
          <w:sz w:val="24"/>
          <w:szCs w:val="24"/>
        </w:rPr>
      </w:pPr>
      <w:r>
        <w:rPr>
          <w:rFonts w:ascii="Times New Roman" w:hAnsi="Times New Roman" w:cs="Times New Roman"/>
          <w:sz w:val="24"/>
          <w:szCs w:val="24"/>
        </w:rPr>
        <w:t>Through its participation in PSE’s Conservation Resource Advisory Group (CRAG), staff conducts an ongoing review of the company’s conservation programs and their expenditures. In conjunction with this filing, staff performed an in-depth, on-site review of the natural gas conservation program’s 2014 expenditures on March 30, 2015. The review</w:t>
      </w:r>
      <w:r w:rsidR="00440A71">
        <w:rPr>
          <w:rFonts w:ascii="Times New Roman" w:hAnsi="Times New Roman" w:cs="Times New Roman"/>
          <w:sz w:val="24"/>
          <w:szCs w:val="24"/>
        </w:rPr>
        <w:t xml:space="preserve"> focused on operating expenses and incentive rebates for a select group of programs and months, to confirm that expenditures were </w:t>
      </w:r>
      <w:r w:rsidR="002A46D9">
        <w:rPr>
          <w:rFonts w:ascii="Times New Roman" w:hAnsi="Times New Roman" w:cs="Times New Roman"/>
          <w:sz w:val="24"/>
          <w:szCs w:val="24"/>
        </w:rPr>
        <w:t>properly documented and recorded</w:t>
      </w:r>
      <w:r w:rsidR="00440A71">
        <w:rPr>
          <w:rFonts w:ascii="Times New Roman" w:hAnsi="Times New Roman" w:cs="Times New Roman"/>
          <w:sz w:val="24"/>
          <w:szCs w:val="24"/>
        </w:rPr>
        <w:t xml:space="preserve">. </w:t>
      </w:r>
    </w:p>
    <w:p w14:paraId="31AD41C1" w14:textId="77777777" w:rsidR="00577BDA" w:rsidRDefault="00577BDA" w:rsidP="00440A71">
      <w:pPr>
        <w:rPr>
          <w:rFonts w:ascii="Times New Roman" w:hAnsi="Times New Roman" w:cs="Times New Roman"/>
          <w:sz w:val="24"/>
          <w:szCs w:val="24"/>
        </w:rPr>
      </w:pPr>
    </w:p>
    <w:p w14:paraId="31AD41C2" w14:textId="77777777" w:rsidR="00577BDA" w:rsidRPr="00906E43" w:rsidRDefault="00577BDA" w:rsidP="00440A71">
      <w:pPr>
        <w:rPr>
          <w:rFonts w:ascii="Times New Roman" w:hAnsi="Times New Roman" w:cs="Times New Roman"/>
          <w:sz w:val="24"/>
          <w:szCs w:val="24"/>
        </w:rPr>
      </w:pPr>
      <w:r>
        <w:rPr>
          <w:rFonts w:ascii="Times New Roman" w:hAnsi="Times New Roman" w:cs="Times New Roman"/>
          <w:sz w:val="24"/>
          <w:szCs w:val="24"/>
        </w:rPr>
        <w:t xml:space="preserve">Staff reviewed 71 monthly program orders for the natural gas conservation program, representing 23 percent of the company’s total </w:t>
      </w:r>
      <w:r w:rsidR="00660013">
        <w:rPr>
          <w:rFonts w:ascii="Times New Roman" w:hAnsi="Times New Roman" w:cs="Times New Roman"/>
          <w:sz w:val="24"/>
          <w:szCs w:val="24"/>
        </w:rPr>
        <w:t xml:space="preserve">2014 expenditures, and examined 100 individual expense items representing </w:t>
      </w:r>
      <w:r w:rsidR="002A46D9">
        <w:rPr>
          <w:rFonts w:ascii="Times New Roman" w:hAnsi="Times New Roman" w:cs="Times New Roman"/>
          <w:sz w:val="24"/>
          <w:szCs w:val="24"/>
        </w:rPr>
        <w:t>9</w:t>
      </w:r>
      <w:r w:rsidR="00660013">
        <w:rPr>
          <w:rFonts w:ascii="Times New Roman" w:hAnsi="Times New Roman" w:cs="Times New Roman"/>
          <w:sz w:val="24"/>
          <w:szCs w:val="24"/>
        </w:rPr>
        <w:t xml:space="preserve"> percent of total 2014 expenditures. The information provided by the company was organized and well documented, and staff identified no discrepancies in its review. Staff therefore concludes that the company’s internal controls and review processes are performing effectively.</w:t>
      </w:r>
    </w:p>
    <w:p w14:paraId="31AD41C3" w14:textId="77777777" w:rsidR="00440A71" w:rsidRDefault="00440A71" w:rsidP="00440A71">
      <w:pPr>
        <w:rPr>
          <w:rFonts w:ascii="Times New Roman" w:hAnsi="Times New Roman" w:cs="Times New Roman"/>
          <w:sz w:val="24"/>
          <w:szCs w:val="24"/>
        </w:rPr>
      </w:pPr>
    </w:p>
    <w:p w14:paraId="31AD41C4" w14:textId="77777777" w:rsidR="00660013" w:rsidRDefault="00660013" w:rsidP="00440A71">
      <w:pPr>
        <w:rPr>
          <w:rFonts w:ascii="Times New Roman" w:hAnsi="Times New Roman" w:cs="Times New Roman"/>
          <w:b/>
          <w:i/>
          <w:sz w:val="24"/>
          <w:szCs w:val="24"/>
        </w:rPr>
      </w:pPr>
      <w:r>
        <w:rPr>
          <w:rFonts w:ascii="Times New Roman" w:hAnsi="Times New Roman" w:cs="Times New Roman"/>
          <w:b/>
          <w:i/>
          <w:sz w:val="24"/>
          <w:szCs w:val="24"/>
        </w:rPr>
        <w:t>Customer comments</w:t>
      </w:r>
    </w:p>
    <w:p w14:paraId="31AD41C5" w14:textId="77777777" w:rsidR="00660013" w:rsidRPr="00660013" w:rsidRDefault="00660013" w:rsidP="00660013">
      <w:pPr>
        <w:rPr>
          <w:rFonts w:ascii="Times New Roman" w:hAnsi="Times New Roman" w:cs="Times New Roman"/>
          <w:sz w:val="24"/>
          <w:szCs w:val="24"/>
        </w:rPr>
      </w:pPr>
      <w:r w:rsidRPr="00660013">
        <w:rPr>
          <w:rFonts w:ascii="Times New Roman" w:hAnsi="Times New Roman" w:cs="Times New Roman"/>
          <w:sz w:val="24"/>
          <w:szCs w:val="24"/>
        </w:rPr>
        <w:t xml:space="preserve">On March 31, 2015, PSE notified its customers of the combined proposed rate increases of multiple filings, including this one, by published notice in area newspapers. PSE also provided television stations, radio stations, and local newspapers with information about the filing. The commission received three customer comments, all opposed to the increase. </w:t>
      </w:r>
    </w:p>
    <w:p w14:paraId="31AD41C6" w14:textId="77777777" w:rsidR="00660013" w:rsidRPr="00660013" w:rsidRDefault="00660013" w:rsidP="00660013">
      <w:pPr>
        <w:rPr>
          <w:rFonts w:ascii="Times New Roman" w:hAnsi="Times New Roman" w:cs="Times New Roman"/>
          <w:sz w:val="24"/>
          <w:szCs w:val="24"/>
        </w:rPr>
      </w:pPr>
    </w:p>
    <w:p w14:paraId="31AD41C7" w14:textId="77777777" w:rsidR="00660013" w:rsidRPr="00CC3601" w:rsidRDefault="00660013" w:rsidP="00660013">
      <w:pPr>
        <w:rPr>
          <w:rFonts w:ascii="Times New Roman" w:hAnsi="Times New Roman" w:cs="Times New Roman"/>
          <w:sz w:val="24"/>
          <w:szCs w:val="24"/>
        </w:rPr>
      </w:pPr>
      <w:r w:rsidRPr="00660013">
        <w:rPr>
          <w:rFonts w:ascii="Times New Roman" w:hAnsi="Times New Roman" w:cs="Times New Roman"/>
          <w:sz w:val="24"/>
          <w:szCs w:val="24"/>
        </w:rPr>
        <w:t>All three customers feel the company increases its rates too frequently and that the commission needs to look more closely at these requests. They believe the rates are too high and are making it difficult for customers to make ends meet. One of the customers believes the problems have been worse under foreign ownership. Staff provided information on the ratemaking process and energy rates. Staff advised customers that state law requires rates to be fair and reasonable and sufficient to allow the company the opportunity to recover reasonable operating expenses and earn a reasonable return on investment.</w:t>
      </w:r>
    </w:p>
    <w:p w14:paraId="31AD41C8" w14:textId="77777777" w:rsidR="00440A71" w:rsidRDefault="00440A71" w:rsidP="00440A71">
      <w:pPr>
        <w:rPr>
          <w:rFonts w:ascii="Times New Roman" w:hAnsi="Times New Roman"/>
          <w:b/>
          <w:sz w:val="24"/>
          <w:szCs w:val="24"/>
          <w:u w:val="single"/>
        </w:rPr>
      </w:pPr>
    </w:p>
    <w:p w14:paraId="31AD41C9" w14:textId="77777777" w:rsidR="00440A71" w:rsidRDefault="00440A71" w:rsidP="00440A71">
      <w:pPr>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31AD41CA" w14:textId="77777777" w:rsidR="00440A71" w:rsidRDefault="00440A71" w:rsidP="00440A71">
      <w:pPr>
        <w:rPr>
          <w:rFonts w:ascii="Times New Roman" w:hAnsi="Times New Roman" w:cs="Times New Roman"/>
          <w:sz w:val="24"/>
          <w:szCs w:val="24"/>
        </w:rPr>
      </w:pPr>
    </w:p>
    <w:p w14:paraId="31AD41CB" w14:textId="77777777" w:rsidR="00440A71" w:rsidRPr="002742DB" w:rsidRDefault="00440A71" w:rsidP="00440A71">
      <w:pPr>
        <w:rPr>
          <w:rFonts w:ascii="Times New Roman" w:hAnsi="Times New Roman" w:cs="Times New Roman"/>
          <w:sz w:val="24"/>
          <w:szCs w:val="24"/>
        </w:rPr>
      </w:pPr>
      <w:r>
        <w:rPr>
          <w:rFonts w:ascii="Times New Roman" w:hAnsi="Times New Roman" w:cs="Times New Roman"/>
          <w:sz w:val="24"/>
          <w:szCs w:val="24"/>
        </w:rPr>
        <w:t xml:space="preserve">Take </w:t>
      </w:r>
      <w:r w:rsidR="00660013">
        <w:rPr>
          <w:rFonts w:ascii="Times New Roman" w:hAnsi="Times New Roman" w:cs="Times New Roman"/>
          <w:sz w:val="24"/>
          <w:szCs w:val="24"/>
        </w:rPr>
        <w:t>no action, thereby allowing this tariff filing to go into effect by operation of law.</w:t>
      </w:r>
    </w:p>
    <w:p w14:paraId="31AD41CC" w14:textId="77777777" w:rsidR="002C039A" w:rsidRPr="00AD3312" w:rsidRDefault="002C039A" w:rsidP="00AD3312">
      <w:pPr>
        <w:rPr>
          <w:rFonts w:ascii="Times New Roman" w:hAnsi="Times New Roman" w:cs="Times New Roman"/>
          <w:sz w:val="24"/>
          <w:szCs w:val="24"/>
        </w:rPr>
      </w:pPr>
    </w:p>
    <w:sectPr w:rsidR="002C039A" w:rsidRPr="00AD3312" w:rsidSect="00EF1E9D">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D41CF" w14:textId="77777777" w:rsidR="00AB6C9A" w:rsidRDefault="00AB6C9A" w:rsidP="00440A71">
      <w:r>
        <w:separator/>
      </w:r>
    </w:p>
  </w:endnote>
  <w:endnote w:type="continuationSeparator" w:id="0">
    <w:p w14:paraId="31AD41D0" w14:textId="77777777" w:rsidR="00AB6C9A" w:rsidRDefault="00AB6C9A" w:rsidP="004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D41CD" w14:textId="77777777" w:rsidR="00AB6C9A" w:rsidRDefault="00AB6C9A" w:rsidP="00440A71">
      <w:r>
        <w:separator/>
      </w:r>
    </w:p>
  </w:footnote>
  <w:footnote w:type="continuationSeparator" w:id="0">
    <w:p w14:paraId="31AD41CE" w14:textId="77777777" w:rsidR="00AB6C9A" w:rsidRDefault="00AB6C9A" w:rsidP="00440A71">
      <w:r>
        <w:continuationSeparator/>
      </w:r>
    </w:p>
  </w:footnote>
  <w:footnote w:id="1">
    <w:p w14:paraId="31AD41D5" w14:textId="77777777" w:rsidR="00053D8D" w:rsidRPr="00660013" w:rsidRDefault="00053D8D" w:rsidP="00053D8D">
      <w:pPr>
        <w:pStyle w:val="FootnoteText"/>
        <w:rPr>
          <w:rFonts w:ascii="Times New Roman" w:hAnsi="Times New Roman" w:cs="Times New Roman"/>
        </w:rPr>
      </w:pPr>
      <w:r w:rsidRPr="00660013">
        <w:rPr>
          <w:rStyle w:val="FootnoteReference"/>
          <w:rFonts w:ascii="Times New Roman" w:hAnsi="Times New Roman" w:cs="Times New Roman"/>
        </w:rPr>
        <w:footnoteRef/>
      </w:r>
      <w:r w:rsidRPr="00660013">
        <w:rPr>
          <w:rFonts w:ascii="Times New Roman" w:hAnsi="Times New Roman" w:cs="Times New Roman"/>
        </w:rPr>
        <w:t xml:space="preserve"> Dockets UE-011570 and UG-011571 (consolidated), Twelfth Supplemental Order, Exhibit F to Settlement Attachment. </w:t>
      </w:r>
    </w:p>
  </w:footnote>
  <w:footnote w:id="2">
    <w:p w14:paraId="31AD41D6" w14:textId="77777777" w:rsidR="00053D8D" w:rsidRPr="00660013" w:rsidRDefault="00053D8D" w:rsidP="00053D8D">
      <w:pPr>
        <w:pStyle w:val="FootnoteText"/>
        <w:rPr>
          <w:rFonts w:ascii="Times New Roman" w:hAnsi="Times New Roman" w:cs="Times New Roman"/>
        </w:rPr>
      </w:pPr>
      <w:r w:rsidRPr="00660013">
        <w:rPr>
          <w:rStyle w:val="FootnoteReference"/>
          <w:rFonts w:ascii="Times New Roman" w:hAnsi="Times New Roman" w:cs="Times New Roman"/>
        </w:rPr>
        <w:footnoteRef/>
      </w:r>
      <w:r w:rsidRPr="00660013">
        <w:rPr>
          <w:rFonts w:ascii="Times New Roman" w:hAnsi="Times New Roman" w:cs="Times New Roman"/>
        </w:rPr>
        <w:t xml:space="preserve"> Docket UE-132044, 2014 Annual Report of Energy Conservation Accomplishments, February 27, 2014.</w:t>
      </w:r>
    </w:p>
  </w:footnote>
  <w:footnote w:id="3">
    <w:p w14:paraId="31AD41D7" w14:textId="77777777" w:rsidR="0034228B" w:rsidRPr="00660013" w:rsidRDefault="0034228B">
      <w:pPr>
        <w:pStyle w:val="FootnoteText"/>
        <w:rPr>
          <w:rFonts w:ascii="Times New Roman" w:hAnsi="Times New Roman" w:cs="Times New Roman"/>
        </w:rPr>
      </w:pPr>
      <w:r w:rsidRPr="00660013">
        <w:rPr>
          <w:rStyle w:val="FootnoteReference"/>
          <w:rFonts w:ascii="Times New Roman" w:hAnsi="Times New Roman" w:cs="Times New Roman"/>
        </w:rPr>
        <w:footnoteRef/>
      </w:r>
      <w:r w:rsidRPr="00660013">
        <w:rPr>
          <w:rFonts w:ascii="Times New Roman" w:hAnsi="Times New Roman" w:cs="Times New Roman"/>
        </w:rPr>
        <w:t xml:space="preserve"> The 1.09 cost-effectiveness ratio does not reflect the 10 percent conservation credit that is applied to electric conservation programs per the Northwest Power</w:t>
      </w:r>
      <w:r w:rsidR="00C66DD5" w:rsidRPr="00660013">
        <w:rPr>
          <w:rFonts w:ascii="Times New Roman" w:hAnsi="Times New Roman" w:cs="Times New Roman"/>
        </w:rPr>
        <w:t xml:space="preserve"> Act. Were the credit applied, the gas conservation portfolio would have achieved a cost-effectiveness ratio of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41D1" w14:textId="77777777" w:rsidR="00F200B3" w:rsidRPr="00EF1E9D" w:rsidRDefault="00191E13">
    <w:pPr>
      <w:pStyle w:val="Header"/>
      <w:rPr>
        <w:rFonts w:ascii="Times New Roman" w:hAnsi="Times New Roman" w:cs="Times New Roman"/>
        <w:b/>
        <w:sz w:val="20"/>
        <w:szCs w:val="20"/>
      </w:rPr>
    </w:pPr>
    <w:r w:rsidRPr="00EF1E9D">
      <w:rPr>
        <w:rFonts w:ascii="Times New Roman" w:hAnsi="Times New Roman" w:cs="Times New Roman"/>
        <w:b/>
        <w:sz w:val="20"/>
        <w:szCs w:val="20"/>
      </w:rPr>
      <w:t>Docket U</w:t>
    </w:r>
    <w:r>
      <w:rPr>
        <w:rFonts w:ascii="Times New Roman" w:hAnsi="Times New Roman" w:cs="Times New Roman"/>
        <w:b/>
        <w:sz w:val="20"/>
        <w:szCs w:val="20"/>
      </w:rPr>
      <w:t>G</w:t>
    </w:r>
    <w:r w:rsidRPr="00EF1E9D">
      <w:rPr>
        <w:rFonts w:ascii="Times New Roman" w:hAnsi="Times New Roman" w:cs="Times New Roman"/>
        <w:b/>
        <w:sz w:val="20"/>
        <w:szCs w:val="20"/>
      </w:rPr>
      <w:t>-1</w:t>
    </w:r>
    <w:r w:rsidR="00AF45F7">
      <w:rPr>
        <w:rFonts w:ascii="Times New Roman" w:hAnsi="Times New Roman" w:cs="Times New Roman"/>
        <w:b/>
        <w:sz w:val="20"/>
        <w:szCs w:val="20"/>
      </w:rPr>
      <w:t>50342</w:t>
    </w:r>
  </w:p>
  <w:p w14:paraId="31AD41D2" w14:textId="77777777" w:rsidR="00F200B3" w:rsidRPr="00EF1E9D" w:rsidRDefault="00AF45F7">
    <w:pPr>
      <w:pStyle w:val="Header"/>
      <w:rPr>
        <w:rFonts w:ascii="Times New Roman" w:hAnsi="Times New Roman" w:cs="Times New Roman"/>
        <w:b/>
        <w:sz w:val="20"/>
        <w:szCs w:val="20"/>
      </w:rPr>
    </w:pPr>
    <w:r>
      <w:rPr>
        <w:rFonts w:ascii="Times New Roman" w:hAnsi="Times New Roman" w:cs="Times New Roman"/>
        <w:b/>
        <w:sz w:val="20"/>
        <w:szCs w:val="20"/>
      </w:rPr>
      <w:t>April 30</w:t>
    </w:r>
    <w:r w:rsidR="00191E13">
      <w:rPr>
        <w:rFonts w:ascii="Times New Roman" w:hAnsi="Times New Roman" w:cs="Times New Roman"/>
        <w:b/>
        <w:sz w:val="20"/>
        <w:szCs w:val="20"/>
      </w:rPr>
      <w:t>, 201</w:t>
    </w:r>
    <w:r>
      <w:rPr>
        <w:rFonts w:ascii="Times New Roman" w:hAnsi="Times New Roman" w:cs="Times New Roman"/>
        <w:b/>
        <w:sz w:val="20"/>
        <w:szCs w:val="20"/>
      </w:rPr>
      <w:t>5</w:t>
    </w:r>
  </w:p>
  <w:p w14:paraId="31AD41D3" w14:textId="77777777" w:rsidR="00F200B3" w:rsidRPr="00EF1E9D" w:rsidRDefault="00191E13">
    <w:pPr>
      <w:pStyle w:val="Header"/>
      <w:rPr>
        <w:rFonts w:ascii="Times New Roman" w:hAnsi="Times New Roman" w:cs="Times New Roman"/>
        <w:b/>
        <w:sz w:val="20"/>
        <w:szCs w:val="20"/>
      </w:rPr>
    </w:pPr>
    <w:r w:rsidRPr="00EF1E9D">
      <w:rPr>
        <w:rFonts w:ascii="Times New Roman" w:hAnsi="Times New Roman" w:cs="Times New Roman"/>
        <w:b/>
        <w:sz w:val="20"/>
        <w:szCs w:val="20"/>
      </w:rPr>
      <w:t xml:space="preserve">Page </w:t>
    </w:r>
    <w:r w:rsidRPr="00EF1E9D">
      <w:rPr>
        <w:rFonts w:ascii="Times New Roman" w:hAnsi="Times New Roman" w:cs="Times New Roman"/>
        <w:b/>
        <w:sz w:val="20"/>
        <w:szCs w:val="20"/>
      </w:rPr>
      <w:fldChar w:fldCharType="begin"/>
    </w:r>
    <w:r w:rsidRPr="00EF1E9D">
      <w:rPr>
        <w:rFonts w:ascii="Times New Roman" w:hAnsi="Times New Roman" w:cs="Times New Roman"/>
        <w:b/>
        <w:sz w:val="20"/>
        <w:szCs w:val="20"/>
      </w:rPr>
      <w:instrText xml:space="preserve"> PAGE   \* MERGEFORMAT </w:instrText>
    </w:r>
    <w:r w:rsidRPr="00EF1E9D">
      <w:rPr>
        <w:rFonts w:ascii="Times New Roman" w:hAnsi="Times New Roman" w:cs="Times New Roman"/>
        <w:b/>
        <w:sz w:val="20"/>
        <w:szCs w:val="20"/>
      </w:rPr>
      <w:fldChar w:fldCharType="separate"/>
    </w:r>
    <w:r w:rsidR="002B7B8A">
      <w:rPr>
        <w:rFonts w:ascii="Times New Roman" w:hAnsi="Times New Roman" w:cs="Times New Roman"/>
        <w:b/>
        <w:noProof/>
        <w:sz w:val="20"/>
        <w:szCs w:val="20"/>
      </w:rPr>
      <w:t>3</w:t>
    </w:r>
    <w:r w:rsidRPr="00EF1E9D">
      <w:rPr>
        <w:rFonts w:ascii="Times New Roman" w:hAnsi="Times New Roman" w:cs="Times New Roman"/>
        <w:b/>
        <w:noProof/>
        <w:sz w:val="20"/>
        <w:szCs w:val="20"/>
      </w:rPr>
      <w:fldChar w:fldCharType="end"/>
    </w:r>
  </w:p>
  <w:p w14:paraId="31AD41D4" w14:textId="77777777" w:rsidR="00F200B3" w:rsidRDefault="002B7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F3A83"/>
    <w:multiLevelType w:val="hybridMultilevel"/>
    <w:tmpl w:val="E3BC5E3C"/>
    <w:lvl w:ilvl="0" w:tplc="9078D8A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71"/>
    <w:rsid w:val="00053D8D"/>
    <w:rsid w:val="000A375F"/>
    <w:rsid w:val="000E640C"/>
    <w:rsid w:val="00191E13"/>
    <w:rsid w:val="001C5AB1"/>
    <w:rsid w:val="001E1D7A"/>
    <w:rsid w:val="002A46D9"/>
    <w:rsid w:val="002B7B8A"/>
    <w:rsid w:val="002C039A"/>
    <w:rsid w:val="0034228B"/>
    <w:rsid w:val="00440A71"/>
    <w:rsid w:val="004A23EC"/>
    <w:rsid w:val="004A6DE3"/>
    <w:rsid w:val="00552600"/>
    <w:rsid w:val="00577BDA"/>
    <w:rsid w:val="005A6872"/>
    <w:rsid w:val="005A6C74"/>
    <w:rsid w:val="00660013"/>
    <w:rsid w:val="00672F7B"/>
    <w:rsid w:val="006A41EE"/>
    <w:rsid w:val="00823958"/>
    <w:rsid w:val="00907CB8"/>
    <w:rsid w:val="0097224D"/>
    <w:rsid w:val="00A84C2A"/>
    <w:rsid w:val="00AB6C9A"/>
    <w:rsid w:val="00AD3312"/>
    <w:rsid w:val="00AE273E"/>
    <w:rsid w:val="00AF45F7"/>
    <w:rsid w:val="00B13041"/>
    <w:rsid w:val="00C2284B"/>
    <w:rsid w:val="00C66DD5"/>
    <w:rsid w:val="00DA1B86"/>
    <w:rsid w:val="00DD2A47"/>
    <w:rsid w:val="00E93225"/>
    <w:rsid w:val="00F21B68"/>
    <w:rsid w:val="00FE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4167"/>
  <w15:chartTrackingRefBased/>
  <w15:docId w15:val="{B20D2AE4-A6EA-473E-A5F5-1D5BFBF0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A7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440A71"/>
    <w:rPr>
      <w:color w:val="0000FF"/>
      <w:u w:val="single"/>
    </w:rPr>
  </w:style>
  <w:style w:type="paragraph" w:styleId="PlainText">
    <w:name w:val="Plain Text"/>
    <w:basedOn w:val="Normal"/>
    <w:link w:val="PlainTextChar"/>
    <w:uiPriority w:val="99"/>
    <w:unhideWhenUsed/>
    <w:rsid w:val="00440A71"/>
    <w:rPr>
      <w:rFonts w:ascii="Calibri" w:eastAsia="Calibri" w:hAnsi="Calibri" w:cs="Times New Roman"/>
      <w:szCs w:val="21"/>
    </w:rPr>
  </w:style>
  <w:style w:type="character" w:customStyle="1" w:styleId="PlainTextChar">
    <w:name w:val="Plain Text Char"/>
    <w:basedOn w:val="DefaultParagraphFont"/>
    <w:link w:val="PlainText"/>
    <w:uiPriority w:val="99"/>
    <w:rsid w:val="00440A71"/>
    <w:rPr>
      <w:rFonts w:ascii="Calibri" w:eastAsia="Calibri" w:hAnsi="Calibri" w:cs="Times New Roman"/>
      <w:szCs w:val="21"/>
    </w:rPr>
  </w:style>
  <w:style w:type="paragraph" w:styleId="FootnoteText">
    <w:name w:val="footnote text"/>
    <w:basedOn w:val="Normal"/>
    <w:link w:val="FootnoteTextChar"/>
    <w:unhideWhenUsed/>
    <w:rsid w:val="00440A71"/>
    <w:rPr>
      <w:sz w:val="20"/>
      <w:szCs w:val="20"/>
    </w:rPr>
  </w:style>
  <w:style w:type="character" w:customStyle="1" w:styleId="FootnoteTextChar">
    <w:name w:val="Footnote Text Char"/>
    <w:basedOn w:val="DefaultParagraphFont"/>
    <w:link w:val="FootnoteText"/>
    <w:rsid w:val="00440A71"/>
    <w:rPr>
      <w:sz w:val="20"/>
      <w:szCs w:val="20"/>
    </w:rPr>
  </w:style>
  <w:style w:type="character" w:styleId="FootnoteReference">
    <w:name w:val="footnote reference"/>
    <w:basedOn w:val="DefaultParagraphFont"/>
    <w:unhideWhenUsed/>
    <w:rsid w:val="00440A71"/>
    <w:rPr>
      <w:vertAlign w:val="superscript"/>
    </w:rPr>
  </w:style>
  <w:style w:type="table" w:styleId="TableGrid">
    <w:name w:val="Table Grid"/>
    <w:basedOn w:val="TableNormal"/>
    <w:uiPriority w:val="59"/>
    <w:rsid w:val="00440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A71"/>
    <w:pPr>
      <w:tabs>
        <w:tab w:val="center" w:pos="4680"/>
        <w:tab w:val="right" w:pos="9360"/>
      </w:tabs>
    </w:pPr>
  </w:style>
  <w:style w:type="character" w:customStyle="1" w:styleId="HeaderChar">
    <w:name w:val="Header Char"/>
    <w:basedOn w:val="DefaultParagraphFont"/>
    <w:link w:val="Header"/>
    <w:uiPriority w:val="99"/>
    <w:rsid w:val="00440A71"/>
  </w:style>
  <w:style w:type="paragraph" w:styleId="ListParagraph">
    <w:name w:val="List Paragraph"/>
    <w:basedOn w:val="Normal"/>
    <w:uiPriority w:val="34"/>
    <w:qFormat/>
    <w:rsid w:val="000A375F"/>
    <w:pPr>
      <w:ind w:left="720"/>
      <w:contextualSpacing/>
    </w:pPr>
  </w:style>
  <w:style w:type="paragraph" w:styleId="Footer">
    <w:name w:val="footer"/>
    <w:basedOn w:val="Normal"/>
    <w:link w:val="FooterChar"/>
    <w:uiPriority w:val="99"/>
    <w:unhideWhenUsed/>
    <w:rsid w:val="00AF45F7"/>
    <w:pPr>
      <w:tabs>
        <w:tab w:val="center" w:pos="4680"/>
        <w:tab w:val="right" w:pos="9360"/>
      </w:tabs>
    </w:pPr>
  </w:style>
  <w:style w:type="character" w:customStyle="1" w:styleId="FooterChar">
    <w:name w:val="Footer Char"/>
    <w:basedOn w:val="DefaultParagraphFont"/>
    <w:link w:val="Footer"/>
    <w:uiPriority w:val="99"/>
    <w:rsid w:val="00AF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2015-02-27T08:00:00+00:00</OpenedDate>
    <Date1 xmlns="dc463f71-b30c-4ab2-9473-d307f9d35888">2015-04-28T07:00:00+00:00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150342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F4522E5FBAC1498A07A5F1B2B41851" ma:contentTypeVersion="119" ma:contentTypeDescription="" ma:contentTypeScope="" ma:versionID="06ac2b7468d58fdcc5906839209c13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A6E145-AF9E-47DB-A020-592A03512F4A}"/>
</file>

<file path=customXml/itemProps2.xml><?xml version="1.0" encoding="utf-8"?>
<ds:datastoreItem xmlns:ds="http://schemas.openxmlformats.org/officeDocument/2006/customXml" ds:itemID="{24116149-15FB-45F6-BFD5-4192436A4018}"/>
</file>

<file path=customXml/itemProps3.xml><?xml version="1.0" encoding="utf-8"?>
<ds:datastoreItem xmlns:ds="http://schemas.openxmlformats.org/officeDocument/2006/customXml" ds:itemID="{12845CE7-3762-4511-9F77-ED50C92BE1F2}"/>
</file>

<file path=customXml/itemProps4.xml><?xml version="1.0" encoding="utf-8"?>
<ds:datastoreItem xmlns:ds="http://schemas.openxmlformats.org/officeDocument/2006/customXml" ds:itemID="{627B4590-EDF0-4B86-8E39-0E112756C06F}"/>
</file>

<file path=customXml/itemProps5.xml><?xml version="1.0" encoding="utf-8"?>
<ds:datastoreItem xmlns:ds="http://schemas.openxmlformats.org/officeDocument/2006/customXml" ds:itemID="{7A3CA382-5FF7-43AA-85C5-6CF580E9FED6}"/>
</file>

<file path=docProps/app.xml><?xml version="1.0" encoding="utf-8"?>
<Properties xmlns="http://schemas.openxmlformats.org/officeDocument/2006/extended-properties" xmlns:vt="http://schemas.openxmlformats.org/officeDocument/2006/docPropsVTypes">
  <Template>Normal.dotm</Template>
  <TotalTime>175</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Anderson, Linda (UTC)</cp:lastModifiedBy>
  <cp:revision>3</cp:revision>
  <dcterms:created xsi:type="dcterms:W3CDTF">2015-04-20T22:29:00Z</dcterms:created>
  <dcterms:modified xsi:type="dcterms:W3CDTF">2015-04-24T21:51:00Z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0x0101006E56B4D1795A2E4DB2F0B01679ED314A005AF4522E5FBAC1498A07A5F1B2B41851</vt:lpwstr>
  </property>
  <property fmtid="{D5CDD505-2E9C-101B-9397-08002B2CF9AE}" pid="3" name="_docset_NoMedatataSyncRequired">
    <vt:lpwstr>False</vt:lpwstr>
  </property>
</Properties>
</file>