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87063" w14:textId="77777777" w:rsidR="00175CC4" w:rsidRDefault="00175CC4" w:rsidP="00175CC4">
      <w:pPr>
        <w:spacing w:after="0" w:line="240" w:lineRule="auto"/>
        <w:rPr>
          <w:rFonts w:ascii="Times New Roman" w:hAnsi="Times New Roman" w:cs="Times New Roman"/>
          <w:sz w:val="24"/>
          <w:szCs w:val="24"/>
        </w:rPr>
      </w:pPr>
      <w:r w:rsidRPr="0090017B">
        <w:rPr>
          <w:rFonts w:ascii="Times New Roman" w:hAnsi="Times New Roman" w:cs="Times New Roman"/>
          <w:b/>
          <w:sz w:val="24"/>
          <w:szCs w:val="24"/>
        </w:rPr>
        <w:t>Agenda Date:</w:t>
      </w:r>
      <w:r>
        <w:rPr>
          <w:rFonts w:ascii="Times New Roman" w:hAnsi="Times New Roman" w:cs="Times New Roman"/>
          <w:sz w:val="24"/>
          <w:szCs w:val="24"/>
        </w:rPr>
        <w:tab/>
      </w:r>
      <w:r>
        <w:rPr>
          <w:rFonts w:ascii="Times New Roman" w:hAnsi="Times New Roman" w:cs="Times New Roman"/>
          <w:sz w:val="24"/>
          <w:szCs w:val="24"/>
        </w:rPr>
        <w:tab/>
      </w:r>
      <w:r w:rsidR="00EC4162">
        <w:rPr>
          <w:rFonts w:ascii="Times New Roman" w:hAnsi="Times New Roman" w:cs="Times New Roman"/>
          <w:sz w:val="24"/>
          <w:szCs w:val="24"/>
        </w:rPr>
        <w:t>April 24, 2014</w:t>
      </w:r>
    </w:p>
    <w:p w14:paraId="74187064" w14:textId="36C7899E" w:rsidR="00175CC4" w:rsidRDefault="00ED4245" w:rsidP="00175CC4">
      <w:pPr>
        <w:spacing w:after="0" w:line="240" w:lineRule="auto"/>
        <w:rPr>
          <w:rFonts w:ascii="Times New Roman" w:hAnsi="Times New Roman" w:cs="Times New Roman"/>
          <w:sz w:val="24"/>
          <w:szCs w:val="24"/>
        </w:rPr>
      </w:pPr>
      <w:r>
        <w:rPr>
          <w:rFonts w:ascii="Times New Roman" w:hAnsi="Times New Roman" w:cs="Times New Roman"/>
          <w:sz w:val="24"/>
          <w:szCs w:val="24"/>
        </w:rPr>
        <w:t>Item Number</w:t>
      </w:r>
      <w:r w:rsidR="00C90F8D">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ab/>
      </w:r>
      <w:r w:rsidR="00FB2F1F">
        <w:rPr>
          <w:rFonts w:ascii="Times New Roman" w:hAnsi="Times New Roman" w:cs="Times New Roman"/>
          <w:sz w:val="24"/>
          <w:szCs w:val="24"/>
        </w:rPr>
        <w:t>F</w:t>
      </w:r>
      <w:r w:rsidR="009F3D45">
        <w:rPr>
          <w:rFonts w:ascii="Times New Roman" w:hAnsi="Times New Roman" w:cs="Times New Roman"/>
          <w:sz w:val="24"/>
          <w:szCs w:val="24"/>
        </w:rPr>
        <w:t>1</w:t>
      </w:r>
      <w:r w:rsidR="00FB2F1F">
        <w:rPr>
          <w:rFonts w:ascii="Times New Roman" w:hAnsi="Times New Roman" w:cs="Times New Roman"/>
          <w:sz w:val="24"/>
          <w:szCs w:val="24"/>
        </w:rPr>
        <w:t xml:space="preserve"> and F</w:t>
      </w:r>
      <w:r w:rsidR="009F3D45">
        <w:rPr>
          <w:rFonts w:ascii="Times New Roman" w:hAnsi="Times New Roman" w:cs="Times New Roman"/>
          <w:sz w:val="24"/>
          <w:szCs w:val="24"/>
        </w:rPr>
        <w:t>2</w:t>
      </w:r>
    </w:p>
    <w:p w14:paraId="74187065" w14:textId="77777777" w:rsidR="00175CC4" w:rsidRDefault="00175CC4" w:rsidP="00175CC4">
      <w:pPr>
        <w:spacing w:after="0" w:line="240" w:lineRule="auto"/>
        <w:rPr>
          <w:rFonts w:ascii="Times New Roman" w:hAnsi="Times New Roman" w:cs="Times New Roman"/>
          <w:sz w:val="24"/>
          <w:szCs w:val="24"/>
        </w:rPr>
      </w:pPr>
    </w:p>
    <w:p w14:paraId="74187066" w14:textId="77777777" w:rsidR="00175CC4" w:rsidRDefault="00175CC4" w:rsidP="00175CC4">
      <w:pPr>
        <w:spacing w:after="0" w:line="240" w:lineRule="auto"/>
        <w:rPr>
          <w:rFonts w:ascii="Times New Roman" w:hAnsi="Times New Roman" w:cs="Times New Roman"/>
          <w:sz w:val="24"/>
          <w:szCs w:val="24"/>
        </w:rPr>
      </w:pPr>
      <w:r w:rsidRPr="0090017B">
        <w:rPr>
          <w:rFonts w:ascii="Times New Roman" w:hAnsi="Times New Roman" w:cs="Times New Roman"/>
          <w:b/>
          <w:sz w:val="24"/>
          <w:szCs w:val="24"/>
        </w:rPr>
        <w:t>Docket</w:t>
      </w:r>
      <w:r w:rsidR="00C90F8D">
        <w:rPr>
          <w:rFonts w:ascii="Times New Roman" w:hAnsi="Times New Roman" w:cs="Times New Roman"/>
          <w:b/>
          <w:sz w:val="24"/>
          <w:szCs w:val="24"/>
        </w:rPr>
        <w:t>s</w:t>
      </w:r>
      <w:r w:rsidRPr="0090017B">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t>U</w:t>
      </w:r>
      <w:r w:rsidR="00EC4162">
        <w:rPr>
          <w:rFonts w:ascii="Times New Roman" w:hAnsi="Times New Roman" w:cs="Times New Roman"/>
          <w:sz w:val="24"/>
          <w:szCs w:val="24"/>
        </w:rPr>
        <w:t>E-140531 and U</w:t>
      </w:r>
      <w:r>
        <w:rPr>
          <w:rFonts w:ascii="Times New Roman" w:hAnsi="Times New Roman" w:cs="Times New Roman"/>
          <w:sz w:val="24"/>
          <w:szCs w:val="24"/>
        </w:rPr>
        <w:t>G-14</w:t>
      </w:r>
      <w:r w:rsidR="00EC4162">
        <w:rPr>
          <w:rFonts w:ascii="Times New Roman" w:hAnsi="Times New Roman" w:cs="Times New Roman"/>
          <w:sz w:val="24"/>
          <w:szCs w:val="24"/>
        </w:rPr>
        <w:t>0533</w:t>
      </w:r>
    </w:p>
    <w:p w14:paraId="74187067" w14:textId="77777777" w:rsidR="00175CC4" w:rsidRDefault="00175CC4" w:rsidP="00175CC4">
      <w:pPr>
        <w:spacing w:after="0" w:line="240" w:lineRule="auto"/>
        <w:rPr>
          <w:rFonts w:ascii="Times New Roman" w:hAnsi="Times New Roman" w:cs="Times New Roman"/>
          <w:sz w:val="24"/>
          <w:szCs w:val="24"/>
        </w:rPr>
      </w:pPr>
      <w:r w:rsidRPr="0090017B">
        <w:rPr>
          <w:rFonts w:ascii="Times New Roman" w:hAnsi="Times New Roman" w:cs="Times New Roman"/>
          <w:b/>
          <w:sz w:val="24"/>
          <w:szCs w:val="24"/>
        </w:rPr>
        <w:t>Company Name:</w:t>
      </w:r>
      <w:r w:rsidR="00EC4162">
        <w:rPr>
          <w:rFonts w:ascii="Times New Roman" w:hAnsi="Times New Roman" w:cs="Times New Roman"/>
          <w:sz w:val="24"/>
          <w:szCs w:val="24"/>
        </w:rPr>
        <w:tab/>
        <w:t>Puget Sound Energy</w:t>
      </w:r>
    </w:p>
    <w:p w14:paraId="74187068" w14:textId="77777777" w:rsidR="00175CC4" w:rsidRDefault="00175CC4" w:rsidP="00175CC4">
      <w:pPr>
        <w:spacing w:after="0" w:line="240" w:lineRule="auto"/>
        <w:rPr>
          <w:rFonts w:ascii="Times New Roman" w:hAnsi="Times New Roman" w:cs="Times New Roman"/>
          <w:sz w:val="24"/>
          <w:szCs w:val="24"/>
        </w:rPr>
      </w:pPr>
    </w:p>
    <w:p w14:paraId="74187069" w14:textId="77777777" w:rsidR="00175CC4" w:rsidRDefault="00175CC4" w:rsidP="00175CC4">
      <w:pPr>
        <w:spacing w:after="0" w:line="240" w:lineRule="auto"/>
        <w:rPr>
          <w:rFonts w:ascii="Times New Roman" w:hAnsi="Times New Roman" w:cs="Times New Roman"/>
          <w:sz w:val="24"/>
          <w:szCs w:val="24"/>
        </w:rPr>
      </w:pPr>
      <w:r w:rsidRPr="0090017B">
        <w:rPr>
          <w:rFonts w:ascii="Times New Roman" w:hAnsi="Times New Roman" w:cs="Times New Roman"/>
          <w:b/>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4162">
        <w:rPr>
          <w:rFonts w:ascii="Times New Roman" w:hAnsi="Times New Roman" w:cs="Times New Roman"/>
          <w:sz w:val="24"/>
          <w:szCs w:val="24"/>
        </w:rPr>
        <w:t>Kristen Russell</w:t>
      </w:r>
      <w:r>
        <w:rPr>
          <w:rFonts w:ascii="Times New Roman" w:hAnsi="Times New Roman" w:cs="Times New Roman"/>
          <w:sz w:val="24"/>
          <w:szCs w:val="24"/>
        </w:rPr>
        <w:t>, Regulatory Analyst</w:t>
      </w:r>
    </w:p>
    <w:p w14:paraId="7418706A" w14:textId="77777777" w:rsidR="0089559A" w:rsidRDefault="00EC4162" w:rsidP="00175CC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Bradley Cebulko</w:t>
      </w:r>
      <w:r w:rsidR="00BE67CD">
        <w:rPr>
          <w:rFonts w:ascii="Times New Roman" w:hAnsi="Times New Roman" w:cs="Times New Roman"/>
          <w:sz w:val="24"/>
          <w:szCs w:val="24"/>
        </w:rPr>
        <w:t>, Regulatory Analyst</w:t>
      </w:r>
    </w:p>
    <w:p w14:paraId="7418706B" w14:textId="77777777" w:rsidR="009E2E64" w:rsidRDefault="009E2E64" w:rsidP="00175CC4">
      <w:pPr>
        <w:spacing w:after="0" w:line="240" w:lineRule="auto"/>
        <w:rPr>
          <w:rFonts w:ascii="Times New Roman" w:hAnsi="Times New Roman" w:cs="Times New Roman"/>
          <w:sz w:val="24"/>
          <w:szCs w:val="24"/>
        </w:rPr>
      </w:pPr>
    </w:p>
    <w:p w14:paraId="7418706C" w14:textId="77777777" w:rsidR="00175CC4" w:rsidRDefault="00175CC4" w:rsidP="00175CC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Recommendation</w:t>
      </w:r>
    </w:p>
    <w:p w14:paraId="7418706D" w14:textId="77777777" w:rsidR="00175CC4" w:rsidRDefault="00175CC4" w:rsidP="00175CC4">
      <w:pPr>
        <w:spacing w:after="0" w:line="240" w:lineRule="auto"/>
        <w:rPr>
          <w:rFonts w:ascii="Times New Roman" w:hAnsi="Times New Roman" w:cs="Times New Roman"/>
          <w:b/>
          <w:sz w:val="24"/>
          <w:szCs w:val="24"/>
          <w:u w:val="single"/>
        </w:rPr>
      </w:pPr>
    </w:p>
    <w:p w14:paraId="7418706E" w14:textId="77777777" w:rsidR="00175CC4" w:rsidRDefault="00175CC4" w:rsidP="00175C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Take no action, thereby allowing </w:t>
      </w:r>
      <w:r w:rsidR="00EC4162">
        <w:rPr>
          <w:rFonts w:ascii="Times New Roman" w:hAnsi="Times New Roman" w:cs="Times New Roman"/>
          <w:sz w:val="24"/>
          <w:szCs w:val="24"/>
        </w:rPr>
        <w:t>the tariff sheets filed by Puget Sound Energy</w:t>
      </w:r>
      <w:r w:rsidR="005357D9">
        <w:rPr>
          <w:rFonts w:ascii="Times New Roman" w:hAnsi="Times New Roman" w:cs="Times New Roman"/>
          <w:sz w:val="24"/>
          <w:szCs w:val="24"/>
        </w:rPr>
        <w:t xml:space="preserve"> </w:t>
      </w:r>
      <w:r w:rsidR="00EC4162">
        <w:rPr>
          <w:rFonts w:ascii="Times New Roman" w:hAnsi="Times New Roman" w:cs="Times New Roman"/>
          <w:sz w:val="24"/>
          <w:szCs w:val="24"/>
        </w:rPr>
        <w:t>in Dockets UE-140531 and UG-140533</w:t>
      </w:r>
      <w:r>
        <w:rPr>
          <w:rFonts w:ascii="Times New Roman" w:hAnsi="Times New Roman" w:cs="Times New Roman"/>
          <w:sz w:val="24"/>
          <w:szCs w:val="24"/>
        </w:rPr>
        <w:t xml:space="preserve"> to become effective </w:t>
      </w:r>
      <w:r w:rsidR="00EC4162">
        <w:rPr>
          <w:rFonts w:ascii="Times New Roman" w:hAnsi="Times New Roman" w:cs="Times New Roman"/>
          <w:sz w:val="24"/>
          <w:szCs w:val="24"/>
        </w:rPr>
        <w:t>May 1, 2014</w:t>
      </w:r>
      <w:r>
        <w:rPr>
          <w:rFonts w:ascii="Times New Roman" w:hAnsi="Times New Roman" w:cs="Times New Roman"/>
          <w:sz w:val="24"/>
          <w:szCs w:val="24"/>
        </w:rPr>
        <w:t>, by operation of law.</w:t>
      </w:r>
    </w:p>
    <w:p w14:paraId="7418706F" w14:textId="77777777" w:rsidR="00673697" w:rsidRDefault="00673697" w:rsidP="00175CC4">
      <w:pPr>
        <w:spacing w:after="0" w:line="240" w:lineRule="auto"/>
        <w:rPr>
          <w:rFonts w:ascii="Times New Roman" w:hAnsi="Times New Roman" w:cs="Times New Roman"/>
          <w:sz w:val="24"/>
          <w:szCs w:val="24"/>
        </w:rPr>
      </w:pPr>
    </w:p>
    <w:p w14:paraId="74187070" w14:textId="77777777" w:rsidR="00175CC4" w:rsidRDefault="00175CC4" w:rsidP="00175CC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74187071" w14:textId="77777777" w:rsidR="00EC4162" w:rsidRDefault="00EC4162" w:rsidP="001F2E11">
      <w:pPr>
        <w:spacing w:after="0" w:line="240" w:lineRule="auto"/>
        <w:rPr>
          <w:rFonts w:ascii="Times New Roman" w:hAnsi="Times New Roman" w:cs="Times New Roman"/>
          <w:sz w:val="24"/>
          <w:szCs w:val="24"/>
        </w:rPr>
      </w:pPr>
    </w:p>
    <w:p w14:paraId="74187072" w14:textId="77777777" w:rsidR="00BB08F5" w:rsidRDefault="005A3548" w:rsidP="00175C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June 2013, the commission </w:t>
      </w:r>
      <w:r w:rsidR="00C90F8D">
        <w:rPr>
          <w:rFonts w:ascii="Times New Roman" w:hAnsi="Times New Roman" w:cs="Times New Roman"/>
          <w:sz w:val="24"/>
          <w:szCs w:val="24"/>
        </w:rPr>
        <w:t>approved</w:t>
      </w:r>
      <w:r>
        <w:rPr>
          <w:rFonts w:ascii="Times New Roman" w:hAnsi="Times New Roman" w:cs="Times New Roman"/>
          <w:sz w:val="24"/>
          <w:szCs w:val="24"/>
        </w:rPr>
        <w:t xml:space="preserve"> a multi-party settlement agree</w:t>
      </w:r>
      <w:r w:rsidR="00E406F7">
        <w:rPr>
          <w:rFonts w:ascii="Times New Roman" w:hAnsi="Times New Roman" w:cs="Times New Roman"/>
          <w:sz w:val="24"/>
          <w:szCs w:val="24"/>
        </w:rPr>
        <w:t>ment</w:t>
      </w:r>
      <w:r>
        <w:rPr>
          <w:rFonts w:ascii="Times New Roman" w:hAnsi="Times New Roman" w:cs="Times New Roman"/>
          <w:sz w:val="24"/>
          <w:szCs w:val="24"/>
        </w:rPr>
        <w:t xml:space="preserve"> establishing electric and natural gas decoupling mechanisms</w:t>
      </w:r>
      <w:r w:rsidR="00C925EB">
        <w:rPr>
          <w:rFonts w:ascii="Times New Roman" w:hAnsi="Times New Roman" w:cs="Times New Roman"/>
          <w:sz w:val="24"/>
          <w:szCs w:val="24"/>
        </w:rPr>
        <w:t xml:space="preserve"> for Puget Sound Energy (PSE</w:t>
      </w:r>
      <w:r w:rsidR="00FA1897">
        <w:rPr>
          <w:rFonts w:ascii="Times New Roman" w:hAnsi="Times New Roman" w:cs="Times New Roman"/>
          <w:sz w:val="24"/>
          <w:szCs w:val="24"/>
        </w:rPr>
        <w:t xml:space="preserve"> or company</w:t>
      </w:r>
      <w:r w:rsidR="00C925EB">
        <w:rPr>
          <w:rFonts w:ascii="Times New Roman" w:hAnsi="Times New Roman" w:cs="Times New Roman"/>
          <w:sz w:val="24"/>
          <w:szCs w:val="24"/>
        </w:rPr>
        <w:t>)</w:t>
      </w:r>
      <w:r w:rsidR="007A41BD">
        <w:rPr>
          <w:rFonts w:ascii="Times New Roman" w:hAnsi="Times New Roman" w:cs="Times New Roman"/>
          <w:sz w:val="24"/>
          <w:szCs w:val="24"/>
        </w:rPr>
        <w:t xml:space="preserve"> </w:t>
      </w:r>
      <w:r w:rsidR="00FA1897">
        <w:rPr>
          <w:rFonts w:ascii="Times New Roman" w:hAnsi="Times New Roman" w:cs="Times New Roman"/>
          <w:sz w:val="24"/>
          <w:szCs w:val="24"/>
        </w:rPr>
        <w:t>as part of the consolidated</w:t>
      </w:r>
      <w:r w:rsidR="00C925EB">
        <w:rPr>
          <w:rFonts w:ascii="Times New Roman" w:hAnsi="Times New Roman" w:cs="Times New Roman"/>
          <w:sz w:val="24"/>
          <w:szCs w:val="24"/>
        </w:rPr>
        <w:t xml:space="preserve"> </w:t>
      </w:r>
      <w:r w:rsidR="00C90F8D">
        <w:rPr>
          <w:rFonts w:ascii="Times New Roman" w:hAnsi="Times New Roman" w:cs="Times New Roman"/>
          <w:sz w:val="24"/>
          <w:szCs w:val="24"/>
        </w:rPr>
        <w:t>proceeding in Dockets</w:t>
      </w:r>
      <w:r w:rsidR="00FA1897">
        <w:rPr>
          <w:rFonts w:ascii="Times New Roman" w:hAnsi="Times New Roman" w:cs="Times New Roman"/>
          <w:sz w:val="24"/>
          <w:szCs w:val="24"/>
        </w:rPr>
        <w:t xml:space="preserve"> UE-121697 and UG-121705</w:t>
      </w:r>
      <w:r w:rsidR="007A41BD">
        <w:rPr>
          <w:rFonts w:ascii="Times New Roman" w:hAnsi="Times New Roman" w:cs="Times New Roman"/>
          <w:sz w:val="24"/>
          <w:szCs w:val="24"/>
        </w:rPr>
        <w:t>.</w:t>
      </w:r>
      <w:r w:rsidR="007A41BD">
        <w:rPr>
          <w:rStyle w:val="FootnoteReference"/>
          <w:rFonts w:ascii="Times New Roman" w:hAnsi="Times New Roman" w:cs="Times New Roman"/>
          <w:sz w:val="24"/>
          <w:szCs w:val="24"/>
        </w:rPr>
        <w:footnoteReference w:id="1"/>
      </w:r>
      <w:r w:rsidR="00E406F7">
        <w:rPr>
          <w:rFonts w:ascii="Times New Roman" w:hAnsi="Times New Roman" w:cs="Times New Roman"/>
          <w:sz w:val="24"/>
          <w:szCs w:val="24"/>
        </w:rPr>
        <w:t xml:space="preserve"> </w:t>
      </w:r>
      <w:r w:rsidR="00C925EB">
        <w:rPr>
          <w:rFonts w:ascii="Times New Roman" w:hAnsi="Times New Roman" w:cs="Times New Roman"/>
          <w:sz w:val="24"/>
          <w:szCs w:val="24"/>
        </w:rPr>
        <w:t>Decoupling is a ratemaking and regulatory tool intended to break the link between a utility’s recovery of fixed costs and a consumer’s energy consumption. Some energy conservation advocates have identified decoupling as a tool to promote greater conservation efforts by utilities by removing the so-called throughput incentive</w:t>
      </w:r>
      <w:r w:rsidR="003F1A49">
        <w:rPr>
          <w:rFonts w:ascii="Times New Roman" w:hAnsi="Times New Roman" w:cs="Times New Roman"/>
          <w:sz w:val="24"/>
          <w:szCs w:val="24"/>
        </w:rPr>
        <w:t>, thus leaving the company ind</w:t>
      </w:r>
      <w:r w:rsidR="00C925EB">
        <w:rPr>
          <w:rFonts w:ascii="Times New Roman" w:hAnsi="Times New Roman" w:cs="Times New Roman"/>
          <w:sz w:val="24"/>
          <w:szCs w:val="24"/>
        </w:rPr>
        <w:t>ifferent to sales lost as a result of the success of its conservation efforts.</w:t>
      </w:r>
    </w:p>
    <w:p w14:paraId="74187073" w14:textId="77777777" w:rsidR="00C925EB" w:rsidRDefault="00C925EB" w:rsidP="00175CC4">
      <w:pPr>
        <w:spacing w:after="0" w:line="240" w:lineRule="auto"/>
        <w:rPr>
          <w:rFonts w:ascii="Times New Roman" w:hAnsi="Times New Roman" w:cs="Times New Roman"/>
          <w:sz w:val="24"/>
          <w:szCs w:val="24"/>
        </w:rPr>
      </w:pPr>
    </w:p>
    <w:p w14:paraId="74187074" w14:textId="56C89500" w:rsidR="00FA1897" w:rsidRPr="00FF4FB5" w:rsidRDefault="00FF4FB5" w:rsidP="00175CC4">
      <w:pPr>
        <w:spacing w:after="0" w:line="240" w:lineRule="auto"/>
        <w:rPr>
          <w:rFonts w:ascii="Times New Roman" w:hAnsi="Times New Roman" w:cs="Times New Roman"/>
          <w:sz w:val="24"/>
          <w:szCs w:val="24"/>
        </w:rPr>
      </w:pPr>
      <w:r w:rsidRPr="00FF4FB5">
        <w:rPr>
          <w:rFonts w:ascii="Times New Roman" w:hAnsi="Times New Roman" w:cs="Times New Roman"/>
          <w:sz w:val="24"/>
          <w:szCs w:val="24"/>
        </w:rPr>
        <w:t>The decou</w:t>
      </w:r>
      <w:r w:rsidR="007A41BD">
        <w:rPr>
          <w:rFonts w:ascii="Times New Roman" w:hAnsi="Times New Roman" w:cs="Times New Roman"/>
          <w:sz w:val="24"/>
          <w:szCs w:val="24"/>
        </w:rPr>
        <w:t xml:space="preserve">pling mechanisms </w:t>
      </w:r>
      <w:r w:rsidR="00C90F8D">
        <w:rPr>
          <w:rFonts w:ascii="Times New Roman" w:hAnsi="Times New Roman" w:cs="Times New Roman"/>
          <w:sz w:val="24"/>
          <w:szCs w:val="24"/>
        </w:rPr>
        <w:t xml:space="preserve">in these filings </w:t>
      </w:r>
      <w:r w:rsidR="007A41BD">
        <w:rPr>
          <w:rFonts w:ascii="Times New Roman" w:hAnsi="Times New Roman" w:cs="Times New Roman"/>
          <w:sz w:val="24"/>
          <w:szCs w:val="24"/>
        </w:rPr>
        <w:t xml:space="preserve">are </w:t>
      </w:r>
      <w:r w:rsidRPr="00FF4FB5">
        <w:rPr>
          <w:rFonts w:ascii="Times New Roman" w:hAnsi="Times New Roman" w:cs="Times New Roman"/>
          <w:sz w:val="24"/>
          <w:szCs w:val="24"/>
        </w:rPr>
        <w:t>d</w:t>
      </w:r>
      <w:r w:rsidR="007A41BD">
        <w:rPr>
          <w:rFonts w:ascii="Times New Roman" w:hAnsi="Times New Roman" w:cs="Times New Roman"/>
          <w:sz w:val="24"/>
          <w:szCs w:val="24"/>
        </w:rPr>
        <w:t xml:space="preserve">eferred accounting mechanisms </w:t>
      </w:r>
      <w:r w:rsidR="00C90F8D">
        <w:rPr>
          <w:rFonts w:ascii="Times New Roman" w:hAnsi="Times New Roman" w:cs="Times New Roman"/>
          <w:sz w:val="24"/>
          <w:szCs w:val="24"/>
        </w:rPr>
        <w:t xml:space="preserve">combined </w:t>
      </w:r>
      <w:r w:rsidR="007A41BD">
        <w:rPr>
          <w:rFonts w:ascii="Times New Roman" w:hAnsi="Times New Roman" w:cs="Times New Roman"/>
          <w:sz w:val="24"/>
          <w:szCs w:val="24"/>
        </w:rPr>
        <w:t xml:space="preserve">with an embedded rate plan. </w:t>
      </w:r>
      <w:r w:rsidR="006B6D56">
        <w:rPr>
          <w:rFonts w:ascii="Times New Roman" w:hAnsi="Times New Roman" w:cs="Times New Roman"/>
          <w:sz w:val="24"/>
          <w:szCs w:val="24"/>
        </w:rPr>
        <w:t>First, t</w:t>
      </w:r>
      <w:r w:rsidRPr="00FF4FB5">
        <w:rPr>
          <w:rFonts w:ascii="Times New Roman" w:hAnsi="Times New Roman" w:cs="Times New Roman"/>
          <w:sz w:val="24"/>
          <w:szCs w:val="24"/>
        </w:rPr>
        <w:t xml:space="preserve">he company </w:t>
      </w:r>
      <w:r w:rsidR="00893DDF">
        <w:rPr>
          <w:rFonts w:ascii="Times New Roman" w:hAnsi="Times New Roman" w:cs="Times New Roman"/>
          <w:sz w:val="24"/>
          <w:szCs w:val="24"/>
        </w:rPr>
        <w:t xml:space="preserve">records financial revenue based on the allowed </w:t>
      </w:r>
      <w:r w:rsidR="009F3D45">
        <w:rPr>
          <w:rFonts w:ascii="Times New Roman" w:hAnsi="Times New Roman" w:cs="Times New Roman"/>
          <w:sz w:val="24"/>
          <w:szCs w:val="24"/>
        </w:rPr>
        <w:t xml:space="preserve">delivery dollars per customer. </w:t>
      </w:r>
      <w:r w:rsidR="00893DDF">
        <w:rPr>
          <w:rFonts w:ascii="Times New Roman" w:hAnsi="Times New Roman" w:cs="Times New Roman"/>
          <w:sz w:val="24"/>
          <w:szCs w:val="24"/>
        </w:rPr>
        <w:t xml:space="preserve">This also creates an accounts receivable from the customers. </w:t>
      </w:r>
      <w:r w:rsidR="001C05E3">
        <w:rPr>
          <w:rFonts w:ascii="Times New Roman" w:hAnsi="Times New Roman" w:cs="Times New Roman"/>
          <w:sz w:val="24"/>
          <w:szCs w:val="24"/>
        </w:rPr>
        <w:t>Using the electric model as an example, t</w:t>
      </w:r>
      <w:r w:rsidR="00893DDF">
        <w:rPr>
          <w:rFonts w:ascii="Times New Roman" w:hAnsi="Times New Roman" w:cs="Times New Roman"/>
          <w:sz w:val="24"/>
          <w:szCs w:val="24"/>
        </w:rPr>
        <w:t>he customers are billed on a cents per kilowatt-hour (k</w:t>
      </w:r>
      <w:r w:rsidR="009F3D45">
        <w:rPr>
          <w:rFonts w:ascii="Times New Roman" w:hAnsi="Times New Roman" w:cs="Times New Roman"/>
          <w:sz w:val="24"/>
          <w:szCs w:val="24"/>
        </w:rPr>
        <w:t>W</w:t>
      </w:r>
      <w:r w:rsidR="00893DDF">
        <w:rPr>
          <w:rFonts w:ascii="Times New Roman" w:hAnsi="Times New Roman" w:cs="Times New Roman"/>
          <w:sz w:val="24"/>
          <w:szCs w:val="24"/>
        </w:rPr>
        <w:t>h) as usual, and those billed dollars pay off the receivable. T</w:t>
      </w:r>
      <w:r w:rsidRPr="00FF4FB5">
        <w:rPr>
          <w:rFonts w:ascii="Times New Roman" w:hAnsi="Times New Roman" w:cs="Times New Roman"/>
          <w:sz w:val="24"/>
          <w:szCs w:val="24"/>
        </w:rPr>
        <w:t xml:space="preserve">he difference between </w:t>
      </w:r>
      <w:r w:rsidR="00893DDF">
        <w:rPr>
          <w:rFonts w:ascii="Times New Roman" w:hAnsi="Times New Roman" w:cs="Times New Roman"/>
          <w:sz w:val="24"/>
          <w:szCs w:val="24"/>
        </w:rPr>
        <w:t>the</w:t>
      </w:r>
      <w:r w:rsidRPr="00FF4FB5">
        <w:rPr>
          <w:rFonts w:ascii="Times New Roman" w:hAnsi="Times New Roman" w:cs="Times New Roman"/>
          <w:sz w:val="24"/>
          <w:szCs w:val="24"/>
        </w:rPr>
        <w:t xml:space="preserve"> </w:t>
      </w:r>
      <w:r w:rsidR="00893DDF">
        <w:rPr>
          <w:rFonts w:ascii="Times New Roman" w:hAnsi="Times New Roman" w:cs="Times New Roman"/>
          <w:sz w:val="24"/>
          <w:szCs w:val="24"/>
        </w:rPr>
        <w:t xml:space="preserve">financial revenues based on </w:t>
      </w:r>
      <w:r w:rsidRPr="00FF4FB5">
        <w:rPr>
          <w:rFonts w:ascii="Times New Roman" w:hAnsi="Times New Roman" w:cs="Times New Roman"/>
          <w:sz w:val="24"/>
          <w:szCs w:val="24"/>
        </w:rPr>
        <w:t>delivery revenue</w:t>
      </w:r>
      <w:r w:rsidR="00893DDF">
        <w:rPr>
          <w:rFonts w:ascii="Times New Roman" w:hAnsi="Times New Roman" w:cs="Times New Roman"/>
          <w:sz w:val="24"/>
          <w:szCs w:val="24"/>
        </w:rPr>
        <w:t>s per customer</w:t>
      </w:r>
      <w:r w:rsidRPr="00FF4FB5">
        <w:rPr>
          <w:rFonts w:ascii="Times New Roman" w:hAnsi="Times New Roman" w:cs="Times New Roman"/>
          <w:sz w:val="24"/>
          <w:szCs w:val="24"/>
        </w:rPr>
        <w:t xml:space="preserve"> and the actual </w:t>
      </w:r>
      <w:r w:rsidR="00893DDF">
        <w:rPr>
          <w:rFonts w:ascii="Times New Roman" w:hAnsi="Times New Roman" w:cs="Times New Roman"/>
          <w:sz w:val="24"/>
          <w:szCs w:val="24"/>
        </w:rPr>
        <w:t>bill payments based on cents per k</w:t>
      </w:r>
      <w:r w:rsidR="009F3D45">
        <w:rPr>
          <w:rFonts w:ascii="Times New Roman" w:hAnsi="Times New Roman" w:cs="Times New Roman"/>
          <w:sz w:val="24"/>
          <w:szCs w:val="24"/>
        </w:rPr>
        <w:t>W</w:t>
      </w:r>
      <w:r w:rsidR="00893DDF">
        <w:rPr>
          <w:rFonts w:ascii="Times New Roman" w:hAnsi="Times New Roman" w:cs="Times New Roman"/>
          <w:sz w:val="24"/>
          <w:szCs w:val="24"/>
        </w:rPr>
        <w:t>h are deferred.</w:t>
      </w:r>
      <w:r w:rsidRPr="00FF4FB5">
        <w:rPr>
          <w:rFonts w:ascii="Times New Roman" w:hAnsi="Times New Roman" w:cs="Times New Roman"/>
          <w:sz w:val="24"/>
          <w:szCs w:val="24"/>
        </w:rPr>
        <w:t xml:space="preserve"> The deferred balances are trued-up annually </w:t>
      </w:r>
      <w:r w:rsidR="00893DDF">
        <w:rPr>
          <w:rFonts w:ascii="Times New Roman" w:hAnsi="Times New Roman" w:cs="Times New Roman"/>
          <w:sz w:val="24"/>
          <w:szCs w:val="24"/>
        </w:rPr>
        <w:t>by</w:t>
      </w:r>
      <w:r w:rsidR="00893DDF" w:rsidRPr="00FF4FB5">
        <w:rPr>
          <w:rFonts w:ascii="Times New Roman" w:hAnsi="Times New Roman" w:cs="Times New Roman"/>
          <w:sz w:val="24"/>
          <w:szCs w:val="24"/>
        </w:rPr>
        <w:t xml:space="preserve"> </w:t>
      </w:r>
      <w:r w:rsidRPr="00FF4FB5">
        <w:rPr>
          <w:rFonts w:ascii="Times New Roman" w:hAnsi="Times New Roman" w:cs="Times New Roman"/>
          <w:sz w:val="24"/>
          <w:szCs w:val="24"/>
        </w:rPr>
        <w:t>a surcharge or credit</w:t>
      </w:r>
      <w:r w:rsidR="00F62C06">
        <w:rPr>
          <w:rFonts w:ascii="Times New Roman" w:hAnsi="Times New Roman" w:cs="Times New Roman"/>
          <w:sz w:val="24"/>
          <w:szCs w:val="24"/>
        </w:rPr>
        <w:t xml:space="preserve"> </w:t>
      </w:r>
      <w:r w:rsidR="00893DDF">
        <w:rPr>
          <w:rFonts w:ascii="Times New Roman" w:hAnsi="Times New Roman" w:cs="Times New Roman"/>
          <w:sz w:val="24"/>
          <w:szCs w:val="24"/>
        </w:rPr>
        <w:t>captured in the next</w:t>
      </w:r>
      <w:r w:rsidRPr="00FF4FB5">
        <w:rPr>
          <w:rFonts w:ascii="Times New Roman" w:hAnsi="Times New Roman" w:cs="Times New Roman"/>
          <w:sz w:val="24"/>
          <w:szCs w:val="24"/>
        </w:rPr>
        <w:t xml:space="preserve"> 12-month period. </w:t>
      </w:r>
    </w:p>
    <w:p w14:paraId="74187075" w14:textId="77777777" w:rsidR="00FF4FB5" w:rsidRPr="00FA1897" w:rsidRDefault="00FF4FB5" w:rsidP="00175CC4">
      <w:pPr>
        <w:spacing w:after="0" w:line="240" w:lineRule="auto"/>
        <w:rPr>
          <w:rFonts w:ascii="Times New Roman" w:hAnsi="Times New Roman" w:cs="Times New Roman"/>
          <w:color w:val="FF0000"/>
          <w:sz w:val="24"/>
          <w:szCs w:val="24"/>
        </w:rPr>
      </w:pPr>
    </w:p>
    <w:p w14:paraId="74187076" w14:textId="3796C59B" w:rsidR="00C90F8D" w:rsidRDefault="006B6D56" w:rsidP="004D583A">
      <w:pPr>
        <w:spacing w:after="0" w:line="240" w:lineRule="auto"/>
        <w:rPr>
          <w:rFonts w:ascii="Times New Roman" w:hAnsi="Times New Roman" w:cs="Times New Roman"/>
          <w:sz w:val="24"/>
          <w:szCs w:val="24"/>
        </w:rPr>
      </w:pPr>
      <w:r>
        <w:rPr>
          <w:rFonts w:ascii="Times New Roman" w:hAnsi="Times New Roman" w:cs="Times New Roman"/>
          <w:sz w:val="24"/>
          <w:szCs w:val="24"/>
        </w:rPr>
        <w:t>The rate plan allows for annual rate increases of 3.0 percent for electric rates, and 2.2 percent increases for natural gas rates.</w:t>
      </w:r>
      <w:r w:rsidRPr="00BB4950">
        <w:rPr>
          <w:rFonts w:ascii="Times New Roman" w:hAnsi="Times New Roman" w:cs="Times New Roman"/>
          <w:sz w:val="24"/>
          <w:szCs w:val="24"/>
        </w:rPr>
        <w:t xml:space="preserve"> </w:t>
      </w:r>
      <w:r w:rsidR="00927127">
        <w:rPr>
          <w:rFonts w:ascii="Times New Roman" w:hAnsi="Times New Roman" w:cs="Times New Roman"/>
          <w:sz w:val="24"/>
          <w:szCs w:val="24"/>
        </w:rPr>
        <w:t xml:space="preserve">These percentages apply to delivery costs only, not power or gas costs. </w:t>
      </w:r>
      <w:r w:rsidRPr="00476869">
        <w:rPr>
          <w:rFonts w:ascii="Times New Roman" w:hAnsi="Times New Roman" w:cs="Times New Roman"/>
          <w:sz w:val="24"/>
          <w:szCs w:val="24"/>
        </w:rPr>
        <w:t>This escalation is known as the K factor and, “</w:t>
      </w:r>
      <w:r>
        <w:rPr>
          <w:rFonts w:ascii="Times New Roman" w:hAnsi="Times New Roman" w:cs="Times New Roman"/>
          <w:sz w:val="24"/>
          <w:szCs w:val="24"/>
        </w:rPr>
        <w:t>…</w:t>
      </w:r>
      <w:r w:rsidRPr="00476869">
        <w:rPr>
          <w:rFonts w:ascii="Times New Roman" w:hAnsi="Times New Roman" w:cs="Times New Roman"/>
          <w:sz w:val="24"/>
          <w:szCs w:val="24"/>
        </w:rPr>
        <w:t>will result in rates that are fair to customers and the company, leaving PSE with an improved opportunity to earn its authorized return while protecting customers by requiring PSE to improve the efficiency of its operations thus building savings that, over the long term, will keep rates lower than they otherwise might be.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74187077" w14:textId="77777777" w:rsidR="00C90F8D" w:rsidRDefault="00C90F8D" w:rsidP="004D583A">
      <w:pPr>
        <w:spacing w:after="0" w:line="240" w:lineRule="auto"/>
        <w:rPr>
          <w:rFonts w:ascii="Times New Roman" w:hAnsi="Times New Roman" w:cs="Times New Roman"/>
          <w:sz w:val="24"/>
          <w:szCs w:val="24"/>
        </w:rPr>
      </w:pPr>
    </w:p>
    <w:p w14:paraId="74187078" w14:textId="77777777" w:rsidR="009A0770" w:rsidRDefault="002D3848" w:rsidP="004D58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protect customers from significant </w:t>
      </w:r>
      <w:r w:rsidR="00D328A5">
        <w:rPr>
          <w:rFonts w:ascii="Times New Roman" w:hAnsi="Times New Roman" w:cs="Times New Roman"/>
          <w:sz w:val="24"/>
          <w:szCs w:val="24"/>
        </w:rPr>
        <w:t xml:space="preserve">deferral rate </w:t>
      </w:r>
      <w:r>
        <w:rPr>
          <w:rFonts w:ascii="Times New Roman" w:hAnsi="Times New Roman" w:cs="Times New Roman"/>
          <w:sz w:val="24"/>
          <w:szCs w:val="24"/>
        </w:rPr>
        <w:t>increase</w:t>
      </w:r>
      <w:r w:rsidR="00D328A5">
        <w:rPr>
          <w:rFonts w:ascii="Times New Roman" w:hAnsi="Times New Roman" w:cs="Times New Roman"/>
          <w:sz w:val="24"/>
          <w:szCs w:val="24"/>
        </w:rPr>
        <w:t>s</w:t>
      </w:r>
      <w:r>
        <w:rPr>
          <w:rFonts w:ascii="Times New Roman" w:hAnsi="Times New Roman" w:cs="Times New Roman"/>
          <w:sz w:val="24"/>
          <w:szCs w:val="24"/>
        </w:rPr>
        <w:t>, t</w:t>
      </w:r>
      <w:r w:rsidR="00FA1897">
        <w:rPr>
          <w:rFonts w:ascii="Times New Roman" w:hAnsi="Times New Roman" w:cs="Times New Roman"/>
          <w:sz w:val="24"/>
          <w:szCs w:val="24"/>
        </w:rPr>
        <w:t xml:space="preserve">he revenue collected from the decoupling </w:t>
      </w:r>
      <w:r w:rsidR="00C90F8D">
        <w:rPr>
          <w:rFonts w:ascii="Times New Roman" w:hAnsi="Times New Roman" w:cs="Times New Roman"/>
          <w:sz w:val="24"/>
          <w:szCs w:val="24"/>
        </w:rPr>
        <w:t>adjustments</w:t>
      </w:r>
      <w:r w:rsidR="00FA1897">
        <w:rPr>
          <w:rFonts w:ascii="Times New Roman" w:hAnsi="Times New Roman" w:cs="Times New Roman"/>
          <w:sz w:val="24"/>
          <w:szCs w:val="24"/>
        </w:rPr>
        <w:t xml:space="preserve"> are limited </w:t>
      </w:r>
      <w:r w:rsidR="0026435F">
        <w:rPr>
          <w:rFonts w:ascii="Times New Roman" w:hAnsi="Times New Roman" w:cs="Times New Roman"/>
          <w:sz w:val="24"/>
          <w:szCs w:val="24"/>
        </w:rPr>
        <w:t xml:space="preserve">by a ‘soft cap’ that restricts </w:t>
      </w:r>
      <w:r w:rsidR="00D328A5">
        <w:rPr>
          <w:rFonts w:ascii="Times New Roman" w:hAnsi="Times New Roman" w:cs="Times New Roman"/>
          <w:sz w:val="24"/>
          <w:szCs w:val="24"/>
        </w:rPr>
        <w:t>deferral surcharge increases</w:t>
      </w:r>
      <w:r w:rsidR="0026435F">
        <w:rPr>
          <w:rFonts w:ascii="Times New Roman" w:hAnsi="Times New Roman" w:cs="Times New Roman"/>
          <w:sz w:val="24"/>
          <w:szCs w:val="24"/>
        </w:rPr>
        <w:t xml:space="preserve"> to no </w:t>
      </w:r>
      <w:r w:rsidR="0026435F">
        <w:rPr>
          <w:rFonts w:ascii="Times New Roman" w:hAnsi="Times New Roman" w:cs="Times New Roman"/>
          <w:sz w:val="24"/>
          <w:szCs w:val="24"/>
        </w:rPr>
        <w:lastRenderedPageBreak/>
        <w:t xml:space="preserve">more than </w:t>
      </w:r>
      <w:r w:rsidR="00D328A5">
        <w:rPr>
          <w:rFonts w:ascii="Times New Roman" w:hAnsi="Times New Roman" w:cs="Times New Roman"/>
          <w:sz w:val="24"/>
          <w:szCs w:val="24"/>
        </w:rPr>
        <w:t>3.0</w:t>
      </w:r>
      <w:r w:rsidR="00FA1897">
        <w:rPr>
          <w:rFonts w:ascii="Times New Roman" w:hAnsi="Times New Roman" w:cs="Times New Roman"/>
          <w:sz w:val="24"/>
          <w:szCs w:val="24"/>
        </w:rPr>
        <w:t xml:space="preserve"> percent over the current rates.</w:t>
      </w:r>
      <w:r>
        <w:rPr>
          <w:rFonts w:ascii="Times New Roman" w:hAnsi="Times New Roman" w:cs="Times New Roman"/>
          <w:sz w:val="24"/>
          <w:szCs w:val="24"/>
        </w:rPr>
        <w:t xml:space="preserve"> </w:t>
      </w:r>
      <w:r w:rsidR="003F1A49">
        <w:rPr>
          <w:rFonts w:ascii="Times New Roman" w:hAnsi="Times New Roman" w:cs="Times New Roman"/>
          <w:sz w:val="24"/>
          <w:szCs w:val="24"/>
        </w:rPr>
        <w:t>The settlement agreement also holds PSE to a number of</w:t>
      </w:r>
      <w:r w:rsidR="009A0770">
        <w:rPr>
          <w:rFonts w:ascii="Times New Roman" w:hAnsi="Times New Roman" w:cs="Times New Roman"/>
          <w:sz w:val="24"/>
          <w:szCs w:val="24"/>
        </w:rPr>
        <w:t xml:space="preserve"> </w:t>
      </w:r>
      <w:r>
        <w:rPr>
          <w:rFonts w:ascii="Times New Roman" w:hAnsi="Times New Roman" w:cs="Times New Roman"/>
          <w:sz w:val="24"/>
          <w:szCs w:val="24"/>
        </w:rPr>
        <w:t xml:space="preserve">other </w:t>
      </w:r>
      <w:r w:rsidR="009A0770">
        <w:rPr>
          <w:rFonts w:ascii="Times New Roman" w:hAnsi="Times New Roman" w:cs="Times New Roman"/>
          <w:sz w:val="24"/>
          <w:szCs w:val="24"/>
        </w:rPr>
        <w:t>requirements</w:t>
      </w:r>
      <w:r w:rsidR="00C90F8D">
        <w:rPr>
          <w:rFonts w:ascii="Times New Roman" w:hAnsi="Times New Roman" w:cs="Times New Roman"/>
          <w:sz w:val="24"/>
          <w:szCs w:val="24"/>
        </w:rPr>
        <w:t>:</w:t>
      </w:r>
    </w:p>
    <w:p w14:paraId="74187079" w14:textId="77777777" w:rsidR="0026435F" w:rsidRDefault="0026435F" w:rsidP="004D583A">
      <w:pPr>
        <w:spacing w:after="0" w:line="240" w:lineRule="auto"/>
        <w:rPr>
          <w:rFonts w:ascii="Times New Roman" w:hAnsi="Times New Roman" w:cs="Times New Roman"/>
          <w:sz w:val="24"/>
          <w:szCs w:val="24"/>
        </w:rPr>
      </w:pPr>
    </w:p>
    <w:p w14:paraId="7418707A" w14:textId="541E6A22" w:rsidR="004E767F" w:rsidRDefault="009A0770" w:rsidP="004E767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Achieve</w:t>
      </w:r>
      <w:r w:rsidR="004E767F">
        <w:rPr>
          <w:rFonts w:ascii="Times New Roman" w:hAnsi="Times New Roman" w:cs="Times New Roman"/>
          <w:sz w:val="24"/>
          <w:szCs w:val="24"/>
        </w:rPr>
        <w:t xml:space="preserve"> electric conservation five percent above its biennial target approved by the commission.</w:t>
      </w:r>
      <w:r w:rsidR="003F1A49">
        <w:rPr>
          <w:rStyle w:val="FootnoteReference"/>
          <w:rFonts w:ascii="Times New Roman" w:hAnsi="Times New Roman" w:cs="Times New Roman"/>
          <w:sz w:val="24"/>
          <w:szCs w:val="24"/>
        </w:rPr>
        <w:footnoteReference w:id="3"/>
      </w:r>
    </w:p>
    <w:p w14:paraId="7418707B" w14:textId="77777777" w:rsidR="004E767F" w:rsidRDefault="004E767F" w:rsidP="004E767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Participate in the market transformation study for gas conservation by Northwest Energy Efficiency Alliance</w:t>
      </w:r>
      <w:r w:rsidR="004D583A">
        <w:rPr>
          <w:rFonts w:ascii="Times New Roman" w:hAnsi="Times New Roman" w:cs="Times New Roman"/>
          <w:sz w:val="24"/>
          <w:szCs w:val="24"/>
        </w:rPr>
        <w:t>.</w:t>
      </w:r>
    </w:p>
    <w:p w14:paraId="7418707C" w14:textId="77777777" w:rsidR="004D583A" w:rsidRDefault="004D583A" w:rsidP="004E767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Share with customers on an equal basis any earning that exceed</w:t>
      </w:r>
      <w:r w:rsidR="00C90F8D">
        <w:rPr>
          <w:rFonts w:ascii="Times New Roman" w:hAnsi="Times New Roman" w:cs="Times New Roman"/>
          <w:sz w:val="24"/>
          <w:szCs w:val="24"/>
        </w:rPr>
        <w:t>s</w:t>
      </w:r>
      <w:r>
        <w:rPr>
          <w:rFonts w:ascii="Times New Roman" w:hAnsi="Times New Roman" w:cs="Times New Roman"/>
          <w:sz w:val="24"/>
          <w:szCs w:val="24"/>
        </w:rPr>
        <w:t xml:space="preserve"> its authorized rate of return (Earnings test).</w:t>
      </w:r>
    </w:p>
    <w:p w14:paraId="7418707D" w14:textId="77777777" w:rsidR="004E767F" w:rsidRDefault="004E767F" w:rsidP="004E767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Fund low-income </w:t>
      </w:r>
      <w:r w:rsidR="00245399">
        <w:rPr>
          <w:rFonts w:ascii="Times New Roman" w:hAnsi="Times New Roman" w:cs="Times New Roman"/>
          <w:sz w:val="24"/>
          <w:szCs w:val="24"/>
        </w:rPr>
        <w:t>bill assistance</w:t>
      </w:r>
      <w:r>
        <w:rPr>
          <w:rFonts w:ascii="Times New Roman" w:hAnsi="Times New Roman" w:cs="Times New Roman"/>
          <w:sz w:val="24"/>
          <w:szCs w:val="24"/>
        </w:rPr>
        <w:t xml:space="preserve"> with an</w:t>
      </w:r>
      <w:r w:rsidR="004D583A">
        <w:rPr>
          <w:rFonts w:ascii="Times New Roman" w:hAnsi="Times New Roman" w:cs="Times New Roman"/>
          <w:sz w:val="24"/>
          <w:szCs w:val="24"/>
        </w:rPr>
        <w:t xml:space="preserve"> additional $1,000,000 per year.</w:t>
      </w:r>
      <w:r w:rsidR="004D583A" w:rsidRPr="004D583A">
        <w:rPr>
          <w:rStyle w:val="FootnoteReference"/>
          <w:rFonts w:ascii="Times New Roman" w:hAnsi="Times New Roman" w:cs="Times New Roman"/>
          <w:sz w:val="24"/>
          <w:szCs w:val="24"/>
        </w:rPr>
        <w:t xml:space="preserve"> </w:t>
      </w:r>
    </w:p>
    <w:p w14:paraId="7418707E" w14:textId="77777777" w:rsidR="00245399" w:rsidRDefault="00245399" w:rsidP="004E767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Fund low-income conservation with an additional $500,000 per year, over two years.</w:t>
      </w:r>
    </w:p>
    <w:p w14:paraId="7418707F" w14:textId="77777777" w:rsidR="009A0770" w:rsidRPr="00D328A5" w:rsidRDefault="00C90F8D" w:rsidP="00175CC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Participate</w:t>
      </w:r>
      <w:r w:rsidR="004D583A">
        <w:rPr>
          <w:rFonts w:ascii="Times New Roman" w:hAnsi="Times New Roman" w:cs="Times New Roman"/>
          <w:sz w:val="24"/>
          <w:szCs w:val="24"/>
        </w:rPr>
        <w:t xml:space="preserve"> </w:t>
      </w:r>
      <w:r w:rsidR="003F1A49">
        <w:rPr>
          <w:rFonts w:ascii="Times New Roman" w:hAnsi="Times New Roman" w:cs="Times New Roman"/>
          <w:sz w:val="24"/>
          <w:szCs w:val="24"/>
        </w:rPr>
        <w:t>in a</w:t>
      </w:r>
      <w:r w:rsidR="004D583A">
        <w:rPr>
          <w:rFonts w:ascii="Times New Roman" w:hAnsi="Times New Roman" w:cs="Times New Roman"/>
          <w:sz w:val="24"/>
          <w:szCs w:val="24"/>
        </w:rPr>
        <w:t xml:space="preserve"> third-party review of the decoupling mechanisms. </w:t>
      </w:r>
    </w:p>
    <w:p w14:paraId="74187080" w14:textId="77777777" w:rsidR="00673697" w:rsidRDefault="00673697" w:rsidP="00175CC4">
      <w:pPr>
        <w:spacing w:after="0" w:line="240" w:lineRule="auto"/>
        <w:rPr>
          <w:rFonts w:ascii="Times New Roman" w:hAnsi="Times New Roman" w:cs="Times New Roman"/>
          <w:b/>
          <w:sz w:val="24"/>
          <w:szCs w:val="24"/>
        </w:rPr>
      </w:pPr>
    </w:p>
    <w:p w14:paraId="74187081" w14:textId="77777777" w:rsidR="00BB08F5" w:rsidRDefault="00BB08F5" w:rsidP="00175CC4">
      <w:pPr>
        <w:spacing w:after="0" w:line="240" w:lineRule="auto"/>
        <w:rPr>
          <w:rFonts w:ascii="Times New Roman" w:hAnsi="Times New Roman" w:cs="Times New Roman"/>
          <w:b/>
          <w:sz w:val="24"/>
          <w:szCs w:val="24"/>
          <w:u w:val="single"/>
        </w:rPr>
      </w:pPr>
      <w:r w:rsidRPr="009423C3">
        <w:rPr>
          <w:rFonts w:ascii="Times New Roman" w:hAnsi="Times New Roman" w:cs="Times New Roman"/>
          <w:b/>
          <w:sz w:val="24"/>
          <w:szCs w:val="24"/>
          <w:u w:val="single"/>
        </w:rPr>
        <w:t>Discussion</w:t>
      </w:r>
    </w:p>
    <w:p w14:paraId="5C2412FA" w14:textId="77777777" w:rsidR="00840F7A" w:rsidRPr="009423C3" w:rsidRDefault="00840F7A" w:rsidP="00175CC4">
      <w:pPr>
        <w:spacing w:after="0" w:line="240" w:lineRule="auto"/>
        <w:rPr>
          <w:rFonts w:ascii="Times New Roman" w:hAnsi="Times New Roman" w:cs="Times New Roman"/>
          <w:b/>
          <w:sz w:val="24"/>
          <w:szCs w:val="24"/>
          <w:u w:val="single"/>
        </w:rPr>
      </w:pPr>
    </w:p>
    <w:p w14:paraId="74187082" w14:textId="58B52E5F" w:rsidR="00FA1897" w:rsidRDefault="00BB08F5" w:rsidP="00175CC4">
      <w:pPr>
        <w:spacing w:after="0" w:line="240" w:lineRule="auto"/>
        <w:rPr>
          <w:rFonts w:ascii="Times New Roman" w:eastAsia="Times New Roman" w:hAnsi="Times New Roman" w:cs="Times New Roman"/>
          <w:sz w:val="24"/>
          <w:szCs w:val="24"/>
        </w:rPr>
      </w:pPr>
      <w:r w:rsidRPr="00EC4162">
        <w:rPr>
          <w:rFonts w:ascii="Times New Roman" w:eastAsia="Times New Roman" w:hAnsi="Times New Roman" w:cs="Times New Roman"/>
          <w:sz w:val="24"/>
          <w:szCs w:val="24"/>
        </w:rPr>
        <w:t xml:space="preserve">On March 31, 2014, Puget Sound Energy filed proposed revisions to Schedule 142 of its electric and </w:t>
      </w:r>
      <w:r w:rsidR="00D328A5">
        <w:rPr>
          <w:rFonts w:ascii="Times New Roman" w:eastAsia="Times New Roman" w:hAnsi="Times New Roman" w:cs="Times New Roman"/>
          <w:sz w:val="24"/>
          <w:szCs w:val="24"/>
        </w:rPr>
        <w:t xml:space="preserve">natural </w:t>
      </w:r>
      <w:r w:rsidRPr="00EC4162">
        <w:rPr>
          <w:rFonts w:ascii="Times New Roman" w:eastAsia="Times New Roman" w:hAnsi="Times New Roman" w:cs="Times New Roman"/>
          <w:sz w:val="24"/>
          <w:szCs w:val="24"/>
        </w:rPr>
        <w:t>gas tariffs. The purpose of the filings is to implement changes to rates under the established Revenue Decoupling Adjustment Mechanism</w:t>
      </w:r>
      <w:r>
        <w:rPr>
          <w:rFonts w:ascii="Times New Roman" w:eastAsia="Times New Roman" w:hAnsi="Times New Roman" w:cs="Times New Roman"/>
          <w:sz w:val="24"/>
          <w:szCs w:val="24"/>
        </w:rPr>
        <w:t xml:space="preserve"> for decoupled customers</w:t>
      </w:r>
      <w:r w:rsidRPr="00EC4162">
        <w:rPr>
          <w:rFonts w:ascii="Times New Roman" w:eastAsia="Times New Roman" w:hAnsi="Times New Roman" w:cs="Times New Roman"/>
          <w:sz w:val="24"/>
          <w:szCs w:val="24"/>
        </w:rPr>
        <w:t>.</w:t>
      </w:r>
      <w:r w:rsidR="00805404">
        <w:rPr>
          <w:rFonts w:ascii="Times New Roman" w:eastAsia="Times New Roman" w:hAnsi="Times New Roman" w:cs="Times New Roman"/>
          <w:sz w:val="24"/>
          <w:szCs w:val="24"/>
        </w:rPr>
        <w:t xml:space="preserve"> The decoupling </w:t>
      </w:r>
      <w:r w:rsidR="00C90F8D">
        <w:rPr>
          <w:rFonts w:ascii="Times New Roman" w:eastAsia="Times New Roman" w:hAnsi="Times New Roman" w:cs="Times New Roman"/>
          <w:sz w:val="24"/>
          <w:szCs w:val="24"/>
        </w:rPr>
        <w:t>mechanisms consist</w:t>
      </w:r>
      <w:r w:rsidR="00805404">
        <w:rPr>
          <w:rFonts w:ascii="Times New Roman" w:eastAsia="Times New Roman" w:hAnsi="Times New Roman" w:cs="Times New Roman"/>
          <w:sz w:val="24"/>
          <w:szCs w:val="24"/>
        </w:rPr>
        <w:t xml:space="preserve"> of two parts: the deferral and the K-factor. New schedule rates are calculated by adding the surcharge or credit of the deferral to the K-factor escalation.</w:t>
      </w:r>
      <w:r w:rsidR="00FA1897">
        <w:rPr>
          <w:rFonts w:ascii="Times New Roman" w:eastAsia="Times New Roman" w:hAnsi="Times New Roman" w:cs="Times New Roman"/>
          <w:sz w:val="24"/>
          <w:szCs w:val="24"/>
        </w:rPr>
        <w:t xml:space="preserve"> </w:t>
      </w:r>
    </w:p>
    <w:p w14:paraId="74187083" w14:textId="77777777" w:rsidR="00822B5D" w:rsidRDefault="00822B5D" w:rsidP="00175CC4">
      <w:pPr>
        <w:spacing w:after="0" w:line="240" w:lineRule="auto"/>
        <w:rPr>
          <w:rFonts w:ascii="Times New Roman" w:hAnsi="Times New Roman" w:cs="Times New Roman"/>
          <w:sz w:val="24"/>
          <w:szCs w:val="24"/>
        </w:rPr>
      </w:pPr>
    </w:p>
    <w:p w14:paraId="74187084" w14:textId="77777777" w:rsidR="00FF4FB5" w:rsidRPr="00805404" w:rsidRDefault="00FF4FB5" w:rsidP="00FF4FB5">
      <w:pPr>
        <w:spacing w:after="0" w:line="240" w:lineRule="auto"/>
        <w:rPr>
          <w:rFonts w:ascii="Times New Roman" w:hAnsi="Times New Roman" w:cs="Times New Roman"/>
          <w:i/>
          <w:sz w:val="24"/>
          <w:szCs w:val="24"/>
        </w:rPr>
      </w:pPr>
      <w:r w:rsidRPr="00805404">
        <w:rPr>
          <w:rFonts w:ascii="Times New Roman" w:hAnsi="Times New Roman" w:cs="Times New Roman"/>
          <w:i/>
          <w:sz w:val="24"/>
          <w:szCs w:val="24"/>
        </w:rPr>
        <w:t>Electric Rates</w:t>
      </w:r>
    </w:p>
    <w:p w14:paraId="74187085" w14:textId="77777777" w:rsidR="00D328A5" w:rsidRPr="00805404" w:rsidRDefault="00822B5D" w:rsidP="00FF4FB5">
      <w:pPr>
        <w:spacing w:after="0" w:line="240" w:lineRule="auto"/>
        <w:rPr>
          <w:rFonts w:ascii="Times New Roman" w:hAnsi="Times New Roman" w:cs="Times New Roman"/>
          <w:sz w:val="24"/>
          <w:szCs w:val="24"/>
          <w:u w:val="single"/>
        </w:rPr>
      </w:pPr>
      <w:r w:rsidRPr="00805404">
        <w:rPr>
          <w:rFonts w:ascii="Times New Roman" w:hAnsi="Times New Roman" w:cs="Times New Roman"/>
          <w:sz w:val="24"/>
          <w:szCs w:val="24"/>
          <w:u w:val="single"/>
        </w:rPr>
        <w:t>Deferral</w:t>
      </w:r>
    </w:p>
    <w:p w14:paraId="74187086" w14:textId="34E881CE" w:rsidR="00FB7B35" w:rsidRDefault="00FB7B35" w:rsidP="00FB7B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residential customers, the </w:t>
      </w:r>
      <w:r w:rsidR="00F62C06">
        <w:rPr>
          <w:rFonts w:ascii="Times New Roman" w:hAnsi="Times New Roman" w:cs="Times New Roman"/>
          <w:sz w:val="24"/>
          <w:szCs w:val="24"/>
        </w:rPr>
        <w:t xml:space="preserve">bill payments </w:t>
      </w:r>
      <w:r>
        <w:rPr>
          <w:rFonts w:ascii="Times New Roman" w:hAnsi="Times New Roman" w:cs="Times New Roman"/>
          <w:sz w:val="24"/>
          <w:szCs w:val="24"/>
        </w:rPr>
        <w:t>collected</w:t>
      </w:r>
      <w:r w:rsidR="00927127">
        <w:rPr>
          <w:rFonts w:ascii="Times New Roman" w:hAnsi="Times New Roman" w:cs="Times New Roman"/>
          <w:sz w:val="24"/>
          <w:szCs w:val="24"/>
        </w:rPr>
        <w:t xml:space="preserve"> $14,746,432 more than the allowed level of revenue which</w:t>
      </w:r>
      <w:r>
        <w:rPr>
          <w:rFonts w:ascii="Times New Roman" w:hAnsi="Times New Roman" w:cs="Times New Roman"/>
          <w:sz w:val="24"/>
          <w:szCs w:val="24"/>
        </w:rPr>
        <w:t xml:space="preserve"> will </w:t>
      </w:r>
      <w:r w:rsidR="00927127">
        <w:rPr>
          <w:rFonts w:ascii="Times New Roman" w:hAnsi="Times New Roman" w:cs="Times New Roman"/>
          <w:sz w:val="24"/>
          <w:szCs w:val="24"/>
        </w:rPr>
        <w:t xml:space="preserve">be </w:t>
      </w:r>
      <w:r>
        <w:rPr>
          <w:rFonts w:ascii="Times New Roman" w:hAnsi="Times New Roman" w:cs="Times New Roman"/>
          <w:sz w:val="24"/>
          <w:szCs w:val="24"/>
        </w:rPr>
        <w:t>credit</w:t>
      </w:r>
      <w:r w:rsidR="00927127">
        <w:rPr>
          <w:rFonts w:ascii="Times New Roman" w:hAnsi="Times New Roman" w:cs="Times New Roman"/>
          <w:sz w:val="24"/>
          <w:szCs w:val="24"/>
        </w:rPr>
        <w:t>ed</w:t>
      </w:r>
      <w:r>
        <w:rPr>
          <w:rFonts w:ascii="Times New Roman" w:hAnsi="Times New Roman" w:cs="Times New Roman"/>
          <w:sz w:val="24"/>
          <w:szCs w:val="24"/>
        </w:rPr>
        <w:t xml:space="preserve"> back to customers. Non-residential customers </w:t>
      </w:r>
      <w:r w:rsidR="00927127">
        <w:rPr>
          <w:rFonts w:ascii="Times New Roman" w:hAnsi="Times New Roman" w:cs="Times New Roman"/>
          <w:sz w:val="24"/>
          <w:szCs w:val="24"/>
        </w:rPr>
        <w:t xml:space="preserve">also over paid and </w:t>
      </w:r>
      <w:r>
        <w:rPr>
          <w:rFonts w:ascii="Times New Roman" w:hAnsi="Times New Roman" w:cs="Times New Roman"/>
          <w:sz w:val="24"/>
          <w:szCs w:val="24"/>
        </w:rPr>
        <w:t>will be credited back $742,290. Industrial schedule</w:t>
      </w:r>
      <w:r w:rsidR="00CD5EC1">
        <w:rPr>
          <w:rFonts w:ascii="Times New Roman" w:hAnsi="Times New Roman" w:cs="Times New Roman"/>
          <w:sz w:val="24"/>
          <w:szCs w:val="24"/>
        </w:rPr>
        <w:t>s</w:t>
      </w:r>
      <w:r>
        <w:rPr>
          <w:rFonts w:ascii="Times New Roman" w:hAnsi="Times New Roman" w:cs="Times New Roman"/>
          <w:sz w:val="24"/>
          <w:szCs w:val="24"/>
        </w:rPr>
        <w:t xml:space="preserve"> 26 and 31 will be credited $182,674 and $129,126, </w:t>
      </w:r>
      <w:r w:rsidR="00C90F8D">
        <w:rPr>
          <w:rFonts w:ascii="Times New Roman" w:hAnsi="Times New Roman" w:cs="Times New Roman"/>
          <w:sz w:val="24"/>
          <w:szCs w:val="24"/>
        </w:rPr>
        <w:t>respectively</w:t>
      </w:r>
      <w:r>
        <w:rPr>
          <w:rFonts w:ascii="Times New Roman" w:hAnsi="Times New Roman" w:cs="Times New Roman"/>
          <w:sz w:val="24"/>
          <w:szCs w:val="24"/>
        </w:rPr>
        <w:t>.</w:t>
      </w:r>
      <w:r w:rsidR="00FF4FB5">
        <w:rPr>
          <w:rFonts w:ascii="Times New Roman" w:hAnsi="Times New Roman" w:cs="Times New Roman"/>
          <w:sz w:val="24"/>
          <w:szCs w:val="24"/>
        </w:rPr>
        <w:t xml:space="preserve"> </w:t>
      </w:r>
      <w:r w:rsidR="00927127">
        <w:rPr>
          <w:rFonts w:ascii="Times New Roman" w:hAnsi="Times New Roman" w:cs="Times New Roman"/>
          <w:sz w:val="24"/>
          <w:szCs w:val="24"/>
        </w:rPr>
        <w:t>T</w:t>
      </w:r>
      <w:r w:rsidR="00927127">
        <w:rPr>
          <w:rFonts w:ascii="Times New Roman" w:eastAsia="Times New Roman" w:hAnsi="Times New Roman" w:cs="Times New Roman"/>
          <w:sz w:val="24"/>
          <w:szCs w:val="24"/>
        </w:rPr>
        <w:t>he primary drivers behind the over collections</w:t>
      </w:r>
      <w:r w:rsidR="00927127">
        <w:rPr>
          <w:rFonts w:ascii="Times New Roman" w:hAnsi="Times New Roman" w:cs="Times New Roman"/>
          <w:sz w:val="24"/>
          <w:szCs w:val="24"/>
        </w:rPr>
        <w:t xml:space="preserve"> were relatively </w:t>
      </w:r>
      <w:r w:rsidR="00CD5EC1">
        <w:rPr>
          <w:rFonts w:ascii="Times New Roman" w:eastAsia="Times New Roman" w:hAnsi="Times New Roman" w:cs="Times New Roman"/>
          <w:sz w:val="24"/>
          <w:szCs w:val="24"/>
        </w:rPr>
        <w:t>colder-</w:t>
      </w:r>
      <w:r w:rsidR="00927127">
        <w:rPr>
          <w:rFonts w:ascii="Times New Roman" w:eastAsia="Times New Roman" w:hAnsi="Times New Roman" w:cs="Times New Roman"/>
          <w:sz w:val="24"/>
          <w:szCs w:val="24"/>
        </w:rPr>
        <w:t xml:space="preserve">than-normal temperatures </w:t>
      </w:r>
      <w:r w:rsidR="00FF4FB5">
        <w:rPr>
          <w:rFonts w:ascii="Times New Roman" w:eastAsia="Times New Roman" w:hAnsi="Times New Roman" w:cs="Times New Roman"/>
          <w:sz w:val="24"/>
          <w:szCs w:val="24"/>
        </w:rPr>
        <w:t>in October and December.</w:t>
      </w:r>
      <w:r>
        <w:rPr>
          <w:rFonts w:ascii="Times New Roman" w:hAnsi="Times New Roman" w:cs="Times New Roman"/>
          <w:sz w:val="24"/>
          <w:szCs w:val="24"/>
        </w:rPr>
        <w:t xml:space="preserve"> </w:t>
      </w:r>
    </w:p>
    <w:p w14:paraId="74187087" w14:textId="77777777" w:rsidR="00822B5D" w:rsidRDefault="00822B5D" w:rsidP="00175CC4">
      <w:pPr>
        <w:spacing w:after="0" w:line="240" w:lineRule="auto"/>
        <w:rPr>
          <w:rFonts w:ascii="Times New Roman" w:hAnsi="Times New Roman" w:cs="Times New Roman"/>
          <w:sz w:val="24"/>
          <w:szCs w:val="24"/>
        </w:rPr>
      </w:pPr>
    </w:p>
    <w:p w14:paraId="74187088" w14:textId="77777777" w:rsidR="00822B5D" w:rsidRPr="00805404" w:rsidRDefault="00822B5D" w:rsidP="0006067B">
      <w:pPr>
        <w:spacing w:after="0" w:line="240" w:lineRule="auto"/>
        <w:rPr>
          <w:rFonts w:ascii="Times New Roman" w:hAnsi="Times New Roman" w:cs="Times New Roman"/>
          <w:sz w:val="24"/>
          <w:szCs w:val="24"/>
          <w:u w:val="single"/>
        </w:rPr>
      </w:pPr>
      <w:r w:rsidRPr="00805404">
        <w:rPr>
          <w:rFonts w:ascii="Times New Roman" w:hAnsi="Times New Roman" w:cs="Times New Roman"/>
          <w:sz w:val="24"/>
          <w:szCs w:val="24"/>
          <w:u w:val="single"/>
        </w:rPr>
        <w:t>K-factor</w:t>
      </w:r>
    </w:p>
    <w:p w14:paraId="74187089" w14:textId="788A497E" w:rsidR="00BB4950" w:rsidRPr="009423C3" w:rsidRDefault="00BB4950" w:rsidP="00BB4950">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The </w:t>
      </w:r>
      <w:r w:rsidRPr="00476869">
        <w:rPr>
          <w:rFonts w:ascii="Times New Roman" w:hAnsi="Times New Roman" w:cs="Times New Roman"/>
          <w:sz w:val="24"/>
          <w:szCs w:val="24"/>
        </w:rPr>
        <w:t xml:space="preserve">company’s allowed delivery </w:t>
      </w:r>
      <w:r w:rsidR="00927127">
        <w:rPr>
          <w:rFonts w:ascii="Times New Roman" w:hAnsi="Times New Roman" w:cs="Times New Roman"/>
          <w:sz w:val="24"/>
          <w:szCs w:val="24"/>
        </w:rPr>
        <w:t xml:space="preserve">revenues </w:t>
      </w:r>
      <w:r w:rsidRPr="00476869">
        <w:rPr>
          <w:rFonts w:ascii="Times New Roman" w:hAnsi="Times New Roman" w:cs="Times New Roman"/>
          <w:sz w:val="24"/>
          <w:szCs w:val="24"/>
        </w:rPr>
        <w:t>per customer increases each year by 3.0 percent for electric</w:t>
      </w:r>
      <w:r>
        <w:rPr>
          <w:rFonts w:ascii="Times New Roman" w:hAnsi="Times New Roman" w:cs="Times New Roman"/>
          <w:sz w:val="24"/>
          <w:szCs w:val="24"/>
        </w:rPr>
        <w:t xml:space="preserve"> customers</w:t>
      </w:r>
      <w:r w:rsidRPr="00476869">
        <w:rPr>
          <w:rFonts w:ascii="Times New Roman" w:hAnsi="Times New Roman" w:cs="Times New Roman"/>
          <w:sz w:val="24"/>
          <w:szCs w:val="24"/>
        </w:rPr>
        <w:t>.</w:t>
      </w:r>
      <w:r>
        <w:rPr>
          <w:rFonts w:ascii="Times New Roman" w:hAnsi="Times New Roman" w:cs="Times New Roman"/>
          <w:sz w:val="24"/>
          <w:szCs w:val="24"/>
        </w:rPr>
        <w:t xml:space="preserve"> </w:t>
      </w:r>
      <w:r w:rsidR="009423C3">
        <w:rPr>
          <w:rFonts w:ascii="Times New Roman" w:hAnsi="Times New Roman" w:cs="Times New Roman"/>
          <w:sz w:val="24"/>
          <w:szCs w:val="24"/>
        </w:rPr>
        <w:t xml:space="preserve">The </w:t>
      </w:r>
      <w:r w:rsidR="00CD5EC1">
        <w:rPr>
          <w:rFonts w:ascii="Times New Roman" w:hAnsi="Times New Roman" w:cs="Times New Roman"/>
          <w:sz w:val="24"/>
          <w:szCs w:val="24"/>
        </w:rPr>
        <w:t xml:space="preserve">total impact </w:t>
      </w:r>
      <w:r w:rsidR="009423C3">
        <w:rPr>
          <w:rFonts w:ascii="Times New Roman" w:hAnsi="Times New Roman" w:cs="Times New Roman"/>
          <w:sz w:val="24"/>
          <w:szCs w:val="24"/>
        </w:rPr>
        <w:t>of the K-factor on current revenues is an additional $26,387,850.</w:t>
      </w:r>
    </w:p>
    <w:p w14:paraId="7418708A" w14:textId="77777777" w:rsidR="00822B5D" w:rsidRDefault="00822B5D" w:rsidP="00175CC4">
      <w:pPr>
        <w:spacing w:after="0" w:line="240" w:lineRule="auto"/>
        <w:rPr>
          <w:rFonts w:ascii="Times New Roman" w:hAnsi="Times New Roman" w:cs="Times New Roman"/>
          <w:sz w:val="24"/>
          <w:szCs w:val="24"/>
        </w:rPr>
      </w:pPr>
    </w:p>
    <w:p w14:paraId="7418708B" w14:textId="77777777" w:rsidR="00FB7B35" w:rsidRPr="00805404" w:rsidRDefault="00FB7B35" w:rsidP="0006067B">
      <w:pPr>
        <w:spacing w:after="0" w:line="240" w:lineRule="auto"/>
        <w:rPr>
          <w:rFonts w:ascii="Times New Roman" w:hAnsi="Times New Roman" w:cs="Times New Roman"/>
          <w:sz w:val="24"/>
          <w:szCs w:val="24"/>
          <w:u w:val="single"/>
        </w:rPr>
      </w:pPr>
      <w:r w:rsidRPr="00805404">
        <w:rPr>
          <w:rFonts w:ascii="Times New Roman" w:hAnsi="Times New Roman" w:cs="Times New Roman"/>
          <w:sz w:val="24"/>
          <w:szCs w:val="24"/>
          <w:u w:val="single"/>
        </w:rPr>
        <w:t>Revenue and Residential Bill Impacts</w:t>
      </w:r>
    </w:p>
    <w:p w14:paraId="7418708C" w14:textId="3C67D980" w:rsidR="009423C3" w:rsidRDefault="009423C3" w:rsidP="00FB7B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D5EC1">
        <w:rPr>
          <w:rFonts w:ascii="Times New Roman" w:hAnsi="Times New Roman" w:cs="Times New Roman"/>
          <w:sz w:val="24"/>
          <w:szCs w:val="24"/>
        </w:rPr>
        <w:t xml:space="preserve">net </w:t>
      </w:r>
      <w:r>
        <w:rPr>
          <w:rFonts w:ascii="Times New Roman" w:hAnsi="Times New Roman" w:cs="Times New Roman"/>
          <w:sz w:val="24"/>
          <w:szCs w:val="24"/>
        </w:rPr>
        <w:t>revenue impact is as follows:</w:t>
      </w:r>
    </w:p>
    <w:p w14:paraId="7418708D" w14:textId="770FCB47" w:rsidR="009423C3" w:rsidRDefault="009423C3" w:rsidP="00365B44">
      <w:pPr>
        <w:spacing w:after="0" w:line="240" w:lineRule="auto"/>
        <w:ind w:left="720"/>
        <w:rPr>
          <w:rFonts w:ascii="Times New Roman" w:hAnsi="Times New Roman" w:cs="Times New Roman"/>
          <w:sz w:val="24"/>
          <w:szCs w:val="24"/>
        </w:rPr>
      </w:pPr>
    </w:p>
    <w:p w14:paraId="7418708E" w14:textId="5AB8543D" w:rsidR="009423C3" w:rsidRDefault="009423C3" w:rsidP="009F3D45">
      <w:pPr>
        <w:tabs>
          <w:tab w:val="left" w:pos="2520"/>
        </w:tabs>
        <w:spacing w:after="0" w:line="240" w:lineRule="auto"/>
        <w:ind w:left="720" w:firstLine="720"/>
        <w:rPr>
          <w:rFonts w:ascii="Times New Roman" w:hAnsi="Times New Roman" w:cs="Times New Roman"/>
          <w:sz w:val="24"/>
          <w:szCs w:val="24"/>
        </w:rPr>
      </w:pPr>
      <w:r w:rsidRPr="009423C3">
        <w:rPr>
          <w:rFonts w:ascii="Times New Roman" w:hAnsi="Times New Roman" w:cs="Times New Roman"/>
          <w:sz w:val="24"/>
          <w:szCs w:val="24"/>
        </w:rPr>
        <w:t>K-factor</w:t>
      </w:r>
      <w:r>
        <w:rPr>
          <w:rFonts w:ascii="Times New Roman" w:hAnsi="Times New Roman" w:cs="Times New Roman"/>
          <w:sz w:val="24"/>
          <w:szCs w:val="24"/>
        </w:rPr>
        <w:t>:</w:t>
      </w:r>
      <w:r w:rsidR="003564AB">
        <w:rPr>
          <w:rFonts w:ascii="Times New Roman" w:hAnsi="Times New Roman" w:cs="Times New Roman"/>
          <w:sz w:val="24"/>
          <w:szCs w:val="24"/>
        </w:rPr>
        <w:tab/>
      </w:r>
      <w:r w:rsidRPr="009423C3">
        <w:rPr>
          <w:rFonts w:ascii="Times New Roman" w:hAnsi="Times New Roman" w:cs="Times New Roman"/>
          <w:sz w:val="24"/>
          <w:szCs w:val="24"/>
        </w:rPr>
        <w:t>$</w:t>
      </w:r>
      <w:r w:rsidR="009F3D45">
        <w:rPr>
          <w:rFonts w:ascii="Times New Roman" w:hAnsi="Times New Roman" w:cs="Times New Roman"/>
          <w:sz w:val="24"/>
          <w:szCs w:val="24"/>
        </w:rPr>
        <w:t xml:space="preserve"> </w:t>
      </w:r>
      <w:r w:rsidRPr="009423C3">
        <w:rPr>
          <w:rFonts w:ascii="Times New Roman" w:hAnsi="Times New Roman" w:cs="Times New Roman"/>
          <w:sz w:val="24"/>
          <w:szCs w:val="24"/>
        </w:rPr>
        <w:t>26,</w:t>
      </w:r>
      <w:r w:rsidR="000327E2">
        <w:rPr>
          <w:rFonts w:ascii="Times New Roman" w:hAnsi="Times New Roman" w:cs="Times New Roman"/>
          <w:sz w:val="24"/>
          <w:szCs w:val="24"/>
        </w:rPr>
        <w:t>3</w:t>
      </w:r>
      <w:r w:rsidRPr="009423C3">
        <w:rPr>
          <w:rFonts w:ascii="Times New Roman" w:hAnsi="Times New Roman" w:cs="Times New Roman"/>
          <w:sz w:val="24"/>
          <w:szCs w:val="24"/>
        </w:rPr>
        <w:t>87,850</w:t>
      </w:r>
    </w:p>
    <w:p w14:paraId="7418708F" w14:textId="2ECA883C" w:rsidR="009423C3" w:rsidRPr="009423C3" w:rsidRDefault="009423C3" w:rsidP="003564AB">
      <w:pPr>
        <w:tabs>
          <w:tab w:val="left" w:pos="1440"/>
          <w:tab w:val="left" w:pos="2520"/>
        </w:tabs>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sz w:val="24"/>
          <w:szCs w:val="24"/>
          <w:u w:val="single"/>
        </w:rPr>
        <w:tab/>
      </w:r>
      <w:r w:rsidRPr="009423C3">
        <w:rPr>
          <w:rFonts w:ascii="Times New Roman" w:hAnsi="Times New Roman" w:cs="Times New Roman"/>
          <w:sz w:val="24"/>
          <w:szCs w:val="24"/>
          <w:u w:val="single"/>
        </w:rPr>
        <w:t>Deferral</w:t>
      </w:r>
      <w:r>
        <w:rPr>
          <w:rFonts w:ascii="Times New Roman" w:hAnsi="Times New Roman" w:cs="Times New Roman"/>
          <w:sz w:val="24"/>
          <w:szCs w:val="24"/>
          <w:u w:val="single"/>
        </w:rPr>
        <w:t>:</w:t>
      </w:r>
      <w:r w:rsidR="003564AB">
        <w:rPr>
          <w:rFonts w:ascii="Times New Roman" w:hAnsi="Times New Roman" w:cs="Times New Roman"/>
          <w:sz w:val="24"/>
          <w:szCs w:val="24"/>
          <w:u w:val="single"/>
        </w:rPr>
        <w:tab/>
      </w:r>
      <w:r w:rsidRPr="009423C3">
        <w:rPr>
          <w:rFonts w:ascii="Times New Roman" w:hAnsi="Times New Roman" w:cs="Times New Roman"/>
          <w:sz w:val="24"/>
          <w:szCs w:val="24"/>
          <w:u w:val="single"/>
        </w:rPr>
        <w:t>$</w:t>
      </w:r>
      <w:r>
        <w:rPr>
          <w:rFonts w:ascii="Times New Roman" w:hAnsi="Times New Roman" w:cs="Times New Roman"/>
          <w:sz w:val="24"/>
          <w:szCs w:val="24"/>
          <w:u w:val="single"/>
        </w:rPr>
        <w:t>(</w:t>
      </w:r>
      <w:r w:rsidR="001679B1">
        <w:rPr>
          <w:rFonts w:ascii="Times New Roman" w:hAnsi="Times New Roman" w:cs="Times New Roman"/>
          <w:sz w:val="24"/>
          <w:szCs w:val="24"/>
          <w:u w:val="single"/>
        </w:rPr>
        <w:t>15,800,522</w:t>
      </w:r>
      <w:r>
        <w:rPr>
          <w:rFonts w:ascii="Times New Roman" w:hAnsi="Times New Roman" w:cs="Times New Roman"/>
          <w:sz w:val="24"/>
          <w:szCs w:val="24"/>
          <w:u w:val="single"/>
        </w:rPr>
        <w:t>)</w:t>
      </w:r>
    </w:p>
    <w:p w14:paraId="74187090" w14:textId="6C848585" w:rsidR="009423C3" w:rsidRDefault="001679B1" w:rsidP="003564AB">
      <w:pPr>
        <w:tabs>
          <w:tab w:val="left" w:pos="1440"/>
          <w:tab w:val="left" w:pos="25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9423C3">
        <w:rPr>
          <w:rFonts w:ascii="Times New Roman" w:hAnsi="Times New Roman" w:cs="Times New Roman"/>
          <w:sz w:val="24"/>
          <w:szCs w:val="24"/>
        </w:rPr>
        <w:tab/>
        <w:t>Total:</w:t>
      </w:r>
      <w:r w:rsidR="003564AB">
        <w:rPr>
          <w:rFonts w:ascii="Times New Roman" w:hAnsi="Times New Roman" w:cs="Times New Roman"/>
          <w:sz w:val="24"/>
          <w:szCs w:val="24"/>
        </w:rPr>
        <w:tab/>
      </w:r>
      <w:r w:rsidR="009423C3">
        <w:rPr>
          <w:rFonts w:ascii="Times New Roman" w:hAnsi="Times New Roman" w:cs="Times New Roman"/>
          <w:sz w:val="24"/>
          <w:szCs w:val="24"/>
        </w:rPr>
        <w:t>$</w:t>
      </w:r>
      <w:r w:rsidR="009F3D45">
        <w:rPr>
          <w:rFonts w:ascii="Times New Roman" w:hAnsi="Times New Roman" w:cs="Times New Roman"/>
          <w:sz w:val="24"/>
          <w:szCs w:val="24"/>
        </w:rPr>
        <w:t xml:space="preserve"> </w:t>
      </w:r>
      <w:r>
        <w:rPr>
          <w:rFonts w:ascii="Times New Roman" w:eastAsiaTheme="minorHAnsi" w:hAnsi="Times New Roman" w:cs="Times New Roman"/>
          <w:sz w:val="24"/>
          <w:szCs w:val="24"/>
        </w:rPr>
        <w:t>10,587,328</w:t>
      </w:r>
    </w:p>
    <w:p w14:paraId="74187092" w14:textId="323ED62E" w:rsidR="00FB7B35" w:rsidRDefault="00CD5EC1" w:rsidP="00FB7B35">
      <w:pPr>
        <w:spacing w:after="0" w:line="240" w:lineRule="auto"/>
        <w:rPr>
          <w:rFonts w:ascii="Times New Roman" w:hAnsi="Times New Roman"/>
          <w:sz w:val="24"/>
        </w:rPr>
      </w:pPr>
      <w:r>
        <w:rPr>
          <w:rFonts w:ascii="Times New Roman" w:hAnsi="Times New Roman" w:cs="Times New Roman"/>
          <w:sz w:val="24"/>
          <w:szCs w:val="24"/>
        </w:rPr>
        <w:lastRenderedPageBreak/>
        <w:t>As a result,</w:t>
      </w:r>
      <w:r w:rsidR="009423C3">
        <w:rPr>
          <w:rFonts w:ascii="Times New Roman" w:hAnsi="Times New Roman" w:cs="Times New Roman"/>
          <w:sz w:val="24"/>
          <w:szCs w:val="24"/>
        </w:rPr>
        <w:t xml:space="preserve"> </w:t>
      </w:r>
      <w:r>
        <w:rPr>
          <w:rFonts w:ascii="Times New Roman" w:hAnsi="Times New Roman" w:cs="Times New Roman"/>
          <w:sz w:val="24"/>
          <w:szCs w:val="24"/>
        </w:rPr>
        <w:t>a</w:t>
      </w:r>
      <w:r w:rsidRPr="00FB7B35">
        <w:rPr>
          <w:rFonts w:ascii="Times New Roman" w:hAnsi="Times New Roman" w:cs="Times New Roman"/>
          <w:sz w:val="24"/>
          <w:szCs w:val="24"/>
        </w:rPr>
        <w:t xml:space="preserve"> </w:t>
      </w:r>
      <w:r w:rsidR="00FB7B35" w:rsidRPr="00FB7B35">
        <w:rPr>
          <w:rFonts w:ascii="Times New Roman" w:hAnsi="Times New Roman" w:cs="Times New Roman"/>
          <w:sz w:val="24"/>
          <w:szCs w:val="24"/>
        </w:rPr>
        <w:t xml:space="preserve">residential customer using </w:t>
      </w:r>
      <w:r w:rsidR="00FB7B35">
        <w:rPr>
          <w:rFonts w:ascii="Times New Roman" w:hAnsi="Times New Roman" w:cs="Times New Roman"/>
          <w:sz w:val="24"/>
          <w:szCs w:val="24"/>
        </w:rPr>
        <w:t>1,</w:t>
      </w:r>
      <w:r w:rsidR="00FB7B35" w:rsidRPr="0006067B">
        <w:rPr>
          <w:rFonts w:ascii="Times New Roman" w:hAnsi="Times New Roman" w:cs="Times New Roman"/>
          <w:sz w:val="24"/>
          <w:szCs w:val="24"/>
        </w:rPr>
        <w:t xml:space="preserve">000 kWh </w:t>
      </w:r>
      <w:r w:rsidR="000F5A48">
        <w:rPr>
          <w:rFonts w:ascii="Times New Roman" w:hAnsi="Times New Roman"/>
          <w:sz w:val="24"/>
        </w:rPr>
        <w:t xml:space="preserve">would </w:t>
      </w:r>
      <w:r w:rsidR="00FB7B35" w:rsidRPr="0006067B">
        <w:rPr>
          <w:rFonts w:ascii="Times New Roman" w:hAnsi="Times New Roman"/>
          <w:sz w:val="24"/>
        </w:rPr>
        <w:t>pay $0.06 more per month from $97.48 to $97.54. The combined effects of the K-factor and deferral within the decoupling mechanism</w:t>
      </w:r>
      <w:r w:rsidR="00D02D2D">
        <w:rPr>
          <w:rFonts w:ascii="Times New Roman" w:hAnsi="Times New Roman"/>
          <w:sz w:val="24"/>
        </w:rPr>
        <w:t xml:space="preserve"> on </w:t>
      </w:r>
      <w:r w:rsidR="00FB7B35" w:rsidRPr="0006067B">
        <w:rPr>
          <w:rFonts w:ascii="Times New Roman" w:hAnsi="Times New Roman"/>
          <w:sz w:val="24"/>
        </w:rPr>
        <w:t xml:space="preserve">annual revenues </w:t>
      </w:r>
      <w:r>
        <w:rPr>
          <w:rFonts w:ascii="Times New Roman" w:hAnsi="Times New Roman"/>
          <w:sz w:val="24"/>
        </w:rPr>
        <w:t xml:space="preserve">and on </w:t>
      </w:r>
      <w:r w:rsidRPr="0006067B">
        <w:rPr>
          <w:rFonts w:ascii="Times New Roman" w:hAnsi="Times New Roman"/>
          <w:sz w:val="24"/>
        </w:rPr>
        <w:t xml:space="preserve">PSE’s rates ($/kWh) </w:t>
      </w:r>
      <w:r w:rsidR="00FB7B35" w:rsidRPr="0006067B">
        <w:rPr>
          <w:rFonts w:ascii="Times New Roman" w:hAnsi="Times New Roman"/>
          <w:sz w:val="24"/>
        </w:rPr>
        <w:t xml:space="preserve">are </w:t>
      </w:r>
      <w:r>
        <w:rPr>
          <w:rFonts w:ascii="Times New Roman" w:hAnsi="Times New Roman"/>
          <w:sz w:val="24"/>
        </w:rPr>
        <w:t xml:space="preserve">found in </w:t>
      </w:r>
      <w:r w:rsidR="000D6771">
        <w:rPr>
          <w:rFonts w:ascii="Times New Roman" w:hAnsi="Times New Roman"/>
          <w:sz w:val="24"/>
        </w:rPr>
        <w:t>T</w:t>
      </w:r>
      <w:r>
        <w:rPr>
          <w:rFonts w:ascii="Times New Roman" w:hAnsi="Times New Roman"/>
          <w:sz w:val="24"/>
        </w:rPr>
        <w:t>ables</w:t>
      </w:r>
      <w:r w:rsidR="000D6771">
        <w:rPr>
          <w:rFonts w:ascii="Times New Roman" w:hAnsi="Times New Roman"/>
          <w:sz w:val="24"/>
        </w:rPr>
        <w:t xml:space="preserve"> 1 and 2</w:t>
      </w:r>
      <w:r>
        <w:rPr>
          <w:rFonts w:ascii="Times New Roman" w:hAnsi="Times New Roman"/>
          <w:sz w:val="24"/>
        </w:rPr>
        <w:t xml:space="preserve"> below.</w:t>
      </w:r>
    </w:p>
    <w:p w14:paraId="74187093" w14:textId="77777777" w:rsidR="00FB7B35" w:rsidRDefault="00FB7B35" w:rsidP="00FB7B35">
      <w:pPr>
        <w:spacing w:after="0" w:line="240" w:lineRule="auto"/>
        <w:rPr>
          <w:rFonts w:ascii="Times New Roman" w:hAnsi="Times New Roman"/>
          <w:sz w:val="24"/>
        </w:rPr>
      </w:pPr>
    </w:p>
    <w:p w14:paraId="7A0CE2DD" w14:textId="77777777" w:rsidR="00406925" w:rsidRDefault="00406925" w:rsidP="00FB7B35">
      <w:pPr>
        <w:spacing w:after="0" w:line="240" w:lineRule="auto"/>
        <w:rPr>
          <w:rFonts w:ascii="Times New Roman" w:hAnsi="Times New Roman"/>
          <w:sz w:val="24"/>
        </w:rPr>
      </w:pPr>
    </w:p>
    <w:p w14:paraId="5B682BD3" w14:textId="77777777" w:rsidR="00406925" w:rsidRDefault="00406925" w:rsidP="00FB7B35">
      <w:pPr>
        <w:spacing w:after="0" w:line="240" w:lineRule="auto"/>
        <w:rPr>
          <w:rFonts w:ascii="Times New Roman" w:hAnsi="Times New Roman"/>
          <w:sz w:val="24"/>
        </w:rPr>
      </w:pPr>
    </w:p>
    <w:p w14:paraId="74187094" w14:textId="77777777" w:rsidR="00805404" w:rsidRDefault="00CD5EC1" w:rsidP="00406925">
      <w:pPr>
        <w:tabs>
          <w:tab w:val="left" w:pos="900"/>
        </w:tabs>
        <w:spacing w:after="0" w:line="240" w:lineRule="auto"/>
        <w:rPr>
          <w:rFonts w:ascii="Times New Roman" w:hAnsi="Times New Roman"/>
          <w:sz w:val="24"/>
        </w:rPr>
      </w:pPr>
      <w:r>
        <w:rPr>
          <w:rFonts w:ascii="Times New Roman" w:hAnsi="Times New Roman"/>
          <w:sz w:val="24"/>
        </w:rPr>
        <w:t>Table 1.</w:t>
      </w:r>
      <w:r>
        <w:rPr>
          <w:rFonts w:ascii="Times New Roman" w:hAnsi="Times New Roman"/>
          <w:sz w:val="24"/>
        </w:rPr>
        <w:tab/>
        <w:t>Revenue Impact of Decoupling and the K-Factor</w:t>
      </w:r>
    </w:p>
    <w:tbl>
      <w:tblPr>
        <w:tblW w:w="4821" w:type="pct"/>
        <w:jc w:val="center"/>
        <w:tblInd w:w="-125" w:type="dxa"/>
        <w:tblCellMar>
          <w:left w:w="0" w:type="dxa"/>
          <w:right w:w="0" w:type="dxa"/>
        </w:tblCellMar>
        <w:tblLook w:val="04A0" w:firstRow="1" w:lastRow="0" w:firstColumn="1" w:lastColumn="0" w:noHBand="0" w:noVBand="1"/>
      </w:tblPr>
      <w:tblGrid>
        <w:gridCol w:w="3185"/>
        <w:gridCol w:w="1590"/>
        <w:gridCol w:w="1701"/>
        <w:gridCol w:w="1608"/>
        <w:gridCol w:w="1149"/>
      </w:tblGrid>
      <w:tr w:rsidR="00805404" w14:paraId="7418709A" w14:textId="77777777" w:rsidTr="00406925">
        <w:trPr>
          <w:trHeight w:val="790"/>
          <w:jc w:val="center"/>
        </w:trPr>
        <w:tc>
          <w:tcPr>
            <w:tcW w:w="17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187095" w14:textId="77777777" w:rsidR="00FB7B35" w:rsidRDefault="00FB7B35" w:rsidP="003564AB">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Schedule Classes</w:t>
            </w:r>
          </w:p>
        </w:tc>
        <w:tc>
          <w:tcPr>
            <w:tcW w:w="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096" w14:textId="185145F2" w:rsidR="00FB7B35" w:rsidRDefault="00FB7B35" w:rsidP="003564AB">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Deferral Amortization</w:t>
            </w:r>
          </w:p>
        </w:tc>
        <w:tc>
          <w:tcPr>
            <w:tcW w:w="9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097" w14:textId="34845008" w:rsidR="00FB7B35" w:rsidRDefault="00FB7B35" w:rsidP="004E2B53">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K-factor</w:t>
            </w:r>
            <w:r w:rsidR="00CD5EC1">
              <w:rPr>
                <w:rFonts w:ascii="Times New Roman" w:hAnsi="Times New Roman" w:cs="Times New Roman"/>
                <w:b/>
                <w:bCs/>
                <w:sz w:val="24"/>
                <w:szCs w:val="24"/>
              </w:rPr>
              <w:t xml:space="preserve"> </w:t>
            </w:r>
            <w:r w:rsidR="004E2B53">
              <w:rPr>
                <w:rFonts w:ascii="Times New Roman" w:hAnsi="Times New Roman" w:cs="Times New Roman"/>
                <w:b/>
                <w:bCs/>
                <w:sz w:val="24"/>
                <w:szCs w:val="24"/>
              </w:rPr>
              <w:t>I</w:t>
            </w:r>
            <w:r w:rsidR="00CD5EC1">
              <w:rPr>
                <w:rFonts w:ascii="Times New Roman" w:hAnsi="Times New Roman" w:cs="Times New Roman"/>
                <w:b/>
                <w:bCs/>
                <w:sz w:val="24"/>
                <w:szCs w:val="24"/>
              </w:rPr>
              <w:t>mpact</w:t>
            </w:r>
          </w:p>
        </w:tc>
        <w:tc>
          <w:tcPr>
            <w:tcW w:w="8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098" w14:textId="77777777" w:rsidR="00FB7B35" w:rsidRDefault="00CD5EC1" w:rsidP="003564AB">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 xml:space="preserve">Combined </w:t>
            </w:r>
            <w:r w:rsidR="00FB7B35">
              <w:rPr>
                <w:rFonts w:ascii="Times New Roman" w:hAnsi="Times New Roman" w:cs="Times New Roman"/>
                <w:b/>
                <w:bCs/>
                <w:sz w:val="24"/>
                <w:szCs w:val="24"/>
              </w:rPr>
              <w:t>Revenue Impact</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099" w14:textId="77777777" w:rsidR="00FB7B35" w:rsidRDefault="00FB7B35" w:rsidP="003564AB">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Percent Change</w:t>
            </w:r>
          </w:p>
        </w:tc>
      </w:tr>
      <w:tr w:rsidR="00805404" w14:paraId="741870A0" w14:textId="77777777" w:rsidTr="00406925">
        <w:trPr>
          <w:jc w:val="center"/>
        </w:trPr>
        <w:tc>
          <w:tcPr>
            <w:tcW w:w="17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18709B" w14:textId="77777777" w:rsidR="00FB7B35" w:rsidRDefault="00FB7B35" w:rsidP="003564AB">
            <w:pPr>
              <w:autoSpaceDE w:val="0"/>
              <w:autoSpaceDN w:val="0"/>
              <w:spacing w:line="218" w:lineRule="auto"/>
              <w:rPr>
                <w:rFonts w:ascii="Times New Roman" w:eastAsiaTheme="minorHAnsi" w:hAnsi="Times New Roman" w:cs="Times New Roman"/>
                <w:sz w:val="24"/>
                <w:szCs w:val="24"/>
              </w:rPr>
            </w:pPr>
            <w:r>
              <w:rPr>
                <w:rFonts w:ascii="Times New Roman" w:hAnsi="Times New Roman" w:cs="Times New Roman"/>
                <w:sz w:val="24"/>
                <w:szCs w:val="24"/>
              </w:rPr>
              <w:t>Residential</w:t>
            </w:r>
            <w:r w:rsidR="0092408A">
              <w:rPr>
                <w:rFonts w:ascii="Times New Roman" w:hAnsi="Times New Roman" w:cs="Times New Roman"/>
                <w:sz w:val="24"/>
                <w:szCs w:val="24"/>
              </w:rPr>
              <w:t xml:space="preserve"> schedules</w:t>
            </w:r>
          </w:p>
        </w:tc>
        <w:tc>
          <w:tcPr>
            <w:tcW w:w="861" w:type="pct"/>
            <w:tcBorders>
              <w:top w:val="nil"/>
              <w:left w:val="nil"/>
              <w:bottom w:val="single" w:sz="8" w:space="0" w:color="auto"/>
              <w:right w:val="single" w:sz="8" w:space="0" w:color="auto"/>
            </w:tcBorders>
            <w:tcMar>
              <w:top w:w="0" w:type="dxa"/>
              <w:left w:w="108" w:type="dxa"/>
              <w:bottom w:w="0" w:type="dxa"/>
              <w:right w:w="108" w:type="dxa"/>
            </w:tcMar>
            <w:vAlign w:val="center"/>
          </w:tcPr>
          <w:p w14:paraId="7418709C" w14:textId="77777777" w:rsidR="00FB7B35" w:rsidRDefault="00491656" w:rsidP="00C90F8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$(14,746,432)</w:t>
            </w:r>
          </w:p>
        </w:tc>
        <w:tc>
          <w:tcPr>
            <w:tcW w:w="921" w:type="pct"/>
            <w:tcBorders>
              <w:top w:val="nil"/>
              <w:left w:val="nil"/>
              <w:bottom w:val="single" w:sz="8" w:space="0" w:color="auto"/>
              <w:right w:val="single" w:sz="8" w:space="0" w:color="auto"/>
            </w:tcBorders>
            <w:tcMar>
              <w:top w:w="0" w:type="dxa"/>
              <w:left w:w="108" w:type="dxa"/>
              <w:bottom w:w="0" w:type="dxa"/>
              <w:right w:w="108" w:type="dxa"/>
            </w:tcMar>
          </w:tcPr>
          <w:p w14:paraId="7418709D" w14:textId="77777777" w:rsidR="00FB7B35" w:rsidRDefault="00491656" w:rsidP="008E5C82">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8E5C82">
              <w:rPr>
                <w:rFonts w:ascii="Times New Roman" w:eastAsiaTheme="minorHAnsi" w:hAnsi="Times New Roman" w:cs="Times New Roman"/>
                <w:sz w:val="24"/>
                <w:szCs w:val="24"/>
              </w:rPr>
              <w:t>15,350,242</w:t>
            </w:r>
          </w:p>
        </w:tc>
        <w:tc>
          <w:tcPr>
            <w:tcW w:w="871" w:type="pct"/>
            <w:tcBorders>
              <w:top w:val="nil"/>
              <w:left w:val="nil"/>
              <w:bottom w:val="single" w:sz="8" w:space="0" w:color="auto"/>
              <w:right w:val="single" w:sz="8" w:space="0" w:color="auto"/>
            </w:tcBorders>
            <w:tcMar>
              <w:top w:w="0" w:type="dxa"/>
              <w:left w:w="108" w:type="dxa"/>
              <w:bottom w:w="0" w:type="dxa"/>
              <w:right w:w="108" w:type="dxa"/>
            </w:tcMar>
          </w:tcPr>
          <w:p w14:paraId="7418709E" w14:textId="77777777" w:rsidR="00FB7B35" w:rsidRDefault="00FB7B35" w:rsidP="00C90F8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$603,810</w:t>
            </w:r>
          </w:p>
        </w:tc>
        <w:tc>
          <w:tcPr>
            <w:tcW w:w="623" w:type="pct"/>
            <w:tcBorders>
              <w:top w:val="nil"/>
              <w:left w:val="nil"/>
              <w:bottom w:val="single" w:sz="8" w:space="0" w:color="auto"/>
              <w:right w:val="single" w:sz="8" w:space="0" w:color="auto"/>
            </w:tcBorders>
            <w:tcMar>
              <w:top w:w="0" w:type="dxa"/>
              <w:left w:w="108" w:type="dxa"/>
              <w:bottom w:w="0" w:type="dxa"/>
              <w:right w:w="108" w:type="dxa"/>
            </w:tcMar>
          </w:tcPr>
          <w:p w14:paraId="7418709F" w14:textId="77777777" w:rsidR="00FB7B35" w:rsidRDefault="00FB7B35" w:rsidP="00C90F8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0.05%</w:t>
            </w:r>
          </w:p>
        </w:tc>
      </w:tr>
      <w:tr w:rsidR="00805404" w14:paraId="741870A6" w14:textId="77777777" w:rsidTr="00406925">
        <w:trPr>
          <w:jc w:val="center"/>
        </w:trPr>
        <w:tc>
          <w:tcPr>
            <w:tcW w:w="17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1870A1" w14:textId="77777777" w:rsidR="00FB7B35" w:rsidRDefault="00FB7B35" w:rsidP="003564AB">
            <w:pPr>
              <w:autoSpaceDE w:val="0"/>
              <w:autoSpaceDN w:val="0"/>
              <w:spacing w:line="218" w:lineRule="auto"/>
              <w:rPr>
                <w:rFonts w:ascii="Times New Roman" w:eastAsiaTheme="minorHAnsi" w:hAnsi="Times New Roman" w:cs="Times New Roman"/>
                <w:sz w:val="24"/>
                <w:szCs w:val="24"/>
              </w:rPr>
            </w:pPr>
            <w:r>
              <w:rPr>
                <w:rFonts w:ascii="Times New Roman" w:hAnsi="Times New Roman" w:cs="Times New Roman"/>
                <w:sz w:val="24"/>
                <w:szCs w:val="24"/>
              </w:rPr>
              <w:t>Non-residential</w:t>
            </w:r>
            <w:r w:rsidR="0092408A">
              <w:rPr>
                <w:rFonts w:ascii="Times New Roman" w:hAnsi="Times New Roman" w:cs="Times New Roman"/>
                <w:sz w:val="24"/>
                <w:szCs w:val="24"/>
              </w:rPr>
              <w:t xml:space="preserve"> schedules</w:t>
            </w:r>
          </w:p>
        </w:tc>
        <w:tc>
          <w:tcPr>
            <w:tcW w:w="861" w:type="pct"/>
            <w:tcBorders>
              <w:top w:val="nil"/>
              <w:left w:val="nil"/>
              <w:bottom w:val="single" w:sz="8" w:space="0" w:color="auto"/>
              <w:right w:val="single" w:sz="8" w:space="0" w:color="auto"/>
            </w:tcBorders>
            <w:tcMar>
              <w:top w:w="0" w:type="dxa"/>
              <w:left w:w="108" w:type="dxa"/>
              <w:bottom w:w="0" w:type="dxa"/>
              <w:right w:w="108" w:type="dxa"/>
            </w:tcMar>
            <w:vAlign w:val="center"/>
          </w:tcPr>
          <w:p w14:paraId="741870A2" w14:textId="77777777" w:rsidR="00FB7B35" w:rsidRDefault="00491656" w:rsidP="00673697">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$(742,290)</w:t>
            </w:r>
          </w:p>
        </w:tc>
        <w:tc>
          <w:tcPr>
            <w:tcW w:w="921" w:type="pct"/>
            <w:tcBorders>
              <w:top w:val="nil"/>
              <w:left w:val="nil"/>
              <w:bottom w:val="single" w:sz="8" w:space="0" w:color="auto"/>
              <w:right w:val="single" w:sz="8" w:space="0" w:color="auto"/>
            </w:tcBorders>
            <w:tcMar>
              <w:top w:w="0" w:type="dxa"/>
              <w:left w:w="108" w:type="dxa"/>
              <w:bottom w:w="0" w:type="dxa"/>
              <w:right w:w="108" w:type="dxa"/>
            </w:tcMar>
          </w:tcPr>
          <w:p w14:paraId="741870A3" w14:textId="77777777" w:rsidR="00FB7B35" w:rsidRDefault="00DB24C9" w:rsidP="008E5C82">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8E5C82">
              <w:rPr>
                <w:rFonts w:ascii="Times New Roman" w:eastAsiaTheme="minorHAnsi" w:hAnsi="Times New Roman" w:cs="Times New Roman"/>
                <w:sz w:val="24"/>
                <w:szCs w:val="24"/>
              </w:rPr>
              <w:t>7,778,939</w:t>
            </w:r>
          </w:p>
        </w:tc>
        <w:tc>
          <w:tcPr>
            <w:tcW w:w="871" w:type="pct"/>
            <w:tcBorders>
              <w:top w:val="nil"/>
              <w:left w:val="nil"/>
              <w:bottom w:val="single" w:sz="8" w:space="0" w:color="auto"/>
              <w:right w:val="single" w:sz="8" w:space="0" w:color="auto"/>
            </w:tcBorders>
            <w:tcMar>
              <w:top w:w="0" w:type="dxa"/>
              <w:left w:w="108" w:type="dxa"/>
              <w:bottom w:w="0" w:type="dxa"/>
              <w:right w:w="108" w:type="dxa"/>
            </w:tcMar>
          </w:tcPr>
          <w:p w14:paraId="741870A4" w14:textId="77777777" w:rsidR="00FB7B35" w:rsidRDefault="00FB7B35" w:rsidP="00C90F8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$7,036,649</w:t>
            </w:r>
          </w:p>
        </w:tc>
        <w:tc>
          <w:tcPr>
            <w:tcW w:w="623" w:type="pct"/>
            <w:tcBorders>
              <w:top w:val="nil"/>
              <w:left w:val="nil"/>
              <w:bottom w:val="single" w:sz="8" w:space="0" w:color="auto"/>
              <w:right w:val="single" w:sz="8" w:space="0" w:color="auto"/>
            </w:tcBorders>
            <w:tcMar>
              <w:top w:w="0" w:type="dxa"/>
              <w:left w:w="108" w:type="dxa"/>
              <w:bottom w:w="0" w:type="dxa"/>
              <w:right w:w="108" w:type="dxa"/>
            </w:tcMar>
          </w:tcPr>
          <w:p w14:paraId="741870A5" w14:textId="77777777" w:rsidR="00FB7B35" w:rsidRDefault="00FB7B35" w:rsidP="00C90F8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1.03%</w:t>
            </w:r>
          </w:p>
        </w:tc>
      </w:tr>
      <w:tr w:rsidR="00805404" w14:paraId="741870AC" w14:textId="77777777" w:rsidTr="00406925">
        <w:trPr>
          <w:jc w:val="center"/>
        </w:trPr>
        <w:tc>
          <w:tcPr>
            <w:tcW w:w="17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1870A7" w14:textId="77777777" w:rsidR="00FB7B35" w:rsidRDefault="00FB7B35" w:rsidP="003564AB">
            <w:pPr>
              <w:autoSpaceDE w:val="0"/>
              <w:autoSpaceDN w:val="0"/>
              <w:spacing w:line="218" w:lineRule="auto"/>
              <w:rPr>
                <w:rFonts w:ascii="Times New Roman" w:eastAsiaTheme="minorHAnsi" w:hAnsi="Times New Roman" w:cs="Times New Roman"/>
                <w:sz w:val="24"/>
                <w:szCs w:val="24"/>
              </w:rPr>
            </w:pPr>
            <w:r>
              <w:rPr>
                <w:rFonts w:ascii="Times New Roman" w:hAnsi="Times New Roman" w:cs="Times New Roman"/>
                <w:sz w:val="24"/>
                <w:szCs w:val="24"/>
              </w:rPr>
              <w:t>Schedule 26</w:t>
            </w:r>
          </w:p>
        </w:tc>
        <w:tc>
          <w:tcPr>
            <w:tcW w:w="861" w:type="pct"/>
            <w:tcBorders>
              <w:top w:val="nil"/>
              <w:left w:val="nil"/>
              <w:bottom w:val="single" w:sz="8" w:space="0" w:color="auto"/>
              <w:right w:val="single" w:sz="8" w:space="0" w:color="auto"/>
            </w:tcBorders>
            <w:tcMar>
              <w:top w:w="0" w:type="dxa"/>
              <w:left w:w="108" w:type="dxa"/>
              <w:bottom w:w="0" w:type="dxa"/>
              <w:right w:w="108" w:type="dxa"/>
            </w:tcMar>
            <w:vAlign w:val="center"/>
          </w:tcPr>
          <w:p w14:paraId="741870A8" w14:textId="77777777" w:rsidR="00FB7B35" w:rsidRDefault="00491656" w:rsidP="00C90F8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$(182,674)</w:t>
            </w:r>
          </w:p>
        </w:tc>
        <w:tc>
          <w:tcPr>
            <w:tcW w:w="921" w:type="pct"/>
            <w:tcBorders>
              <w:top w:val="nil"/>
              <w:left w:val="nil"/>
              <w:bottom w:val="single" w:sz="8" w:space="0" w:color="auto"/>
              <w:right w:val="single" w:sz="8" w:space="0" w:color="auto"/>
            </w:tcBorders>
            <w:tcMar>
              <w:top w:w="0" w:type="dxa"/>
              <w:left w:w="108" w:type="dxa"/>
              <w:bottom w:w="0" w:type="dxa"/>
              <w:right w:w="108" w:type="dxa"/>
            </w:tcMar>
          </w:tcPr>
          <w:p w14:paraId="741870A9" w14:textId="77777777" w:rsidR="00FB7B35" w:rsidRDefault="008E5C82" w:rsidP="008E5C82">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$2,365,560</w:t>
            </w:r>
          </w:p>
        </w:tc>
        <w:tc>
          <w:tcPr>
            <w:tcW w:w="871" w:type="pct"/>
            <w:tcBorders>
              <w:top w:val="nil"/>
              <w:left w:val="nil"/>
              <w:bottom w:val="single" w:sz="8" w:space="0" w:color="auto"/>
              <w:right w:val="single" w:sz="8" w:space="0" w:color="auto"/>
            </w:tcBorders>
            <w:tcMar>
              <w:top w:w="0" w:type="dxa"/>
              <w:left w:w="108" w:type="dxa"/>
              <w:bottom w:w="0" w:type="dxa"/>
              <w:right w:w="108" w:type="dxa"/>
            </w:tcMar>
          </w:tcPr>
          <w:p w14:paraId="741870AA" w14:textId="77777777" w:rsidR="00FB7B35" w:rsidRDefault="00FB7B35" w:rsidP="00C90F8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$2,182,886</w:t>
            </w:r>
          </w:p>
        </w:tc>
        <w:tc>
          <w:tcPr>
            <w:tcW w:w="623" w:type="pct"/>
            <w:tcBorders>
              <w:top w:val="nil"/>
              <w:left w:val="nil"/>
              <w:bottom w:val="single" w:sz="8" w:space="0" w:color="auto"/>
              <w:right w:val="single" w:sz="8" w:space="0" w:color="auto"/>
            </w:tcBorders>
            <w:tcMar>
              <w:top w:w="0" w:type="dxa"/>
              <w:left w:w="108" w:type="dxa"/>
              <w:bottom w:w="0" w:type="dxa"/>
              <w:right w:w="108" w:type="dxa"/>
            </w:tcMar>
          </w:tcPr>
          <w:p w14:paraId="741870AB" w14:textId="77777777" w:rsidR="00FB7B35" w:rsidRDefault="00FB7B35" w:rsidP="00C90F8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1.34%</w:t>
            </w:r>
          </w:p>
        </w:tc>
      </w:tr>
      <w:tr w:rsidR="00805404" w14:paraId="741870B2" w14:textId="77777777" w:rsidTr="00406925">
        <w:trPr>
          <w:jc w:val="center"/>
        </w:trPr>
        <w:tc>
          <w:tcPr>
            <w:tcW w:w="1725" w:type="pct"/>
            <w:tcBorders>
              <w:top w:val="nil"/>
              <w:left w:val="single" w:sz="8" w:space="0" w:color="auto"/>
              <w:bottom w:val="single" w:sz="18" w:space="0" w:color="auto"/>
              <w:right w:val="single" w:sz="8" w:space="0" w:color="auto"/>
            </w:tcBorders>
            <w:tcMar>
              <w:top w:w="0" w:type="dxa"/>
              <w:left w:w="108" w:type="dxa"/>
              <w:bottom w:w="0" w:type="dxa"/>
              <w:right w:w="108" w:type="dxa"/>
            </w:tcMar>
            <w:vAlign w:val="bottom"/>
            <w:hideMark/>
          </w:tcPr>
          <w:p w14:paraId="741870AD" w14:textId="77777777" w:rsidR="00FB7B35" w:rsidRDefault="00FB7B35" w:rsidP="003564AB">
            <w:pPr>
              <w:autoSpaceDE w:val="0"/>
              <w:autoSpaceDN w:val="0"/>
              <w:spacing w:line="218" w:lineRule="auto"/>
              <w:rPr>
                <w:rFonts w:ascii="Times New Roman" w:eastAsiaTheme="minorHAnsi" w:hAnsi="Times New Roman" w:cs="Times New Roman"/>
                <w:sz w:val="24"/>
                <w:szCs w:val="24"/>
              </w:rPr>
            </w:pPr>
            <w:r>
              <w:rPr>
                <w:rFonts w:ascii="Times New Roman" w:hAnsi="Times New Roman" w:cs="Times New Roman"/>
                <w:sz w:val="24"/>
                <w:szCs w:val="24"/>
              </w:rPr>
              <w:t>Schedule 31</w:t>
            </w:r>
          </w:p>
        </w:tc>
        <w:tc>
          <w:tcPr>
            <w:tcW w:w="861" w:type="pct"/>
            <w:tcBorders>
              <w:top w:val="nil"/>
              <w:left w:val="nil"/>
              <w:bottom w:val="single" w:sz="18" w:space="0" w:color="auto"/>
              <w:right w:val="single" w:sz="8" w:space="0" w:color="auto"/>
            </w:tcBorders>
            <w:tcMar>
              <w:top w:w="0" w:type="dxa"/>
              <w:left w:w="108" w:type="dxa"/>
              <w:bottom w:w="0" w:type="dxa"/>
              <w:right w:w="108" w:type="dxa"/>
            </w:tcMar>
          </w:tcPr>
          <w:p w14:paraId="741870AE" w14:textId="27CABF20" w:rsidR="00FB7B35" w:rsidRDefault="00491656" w:rsidP="000327E2">
            <w:pPr>
              <w:autoSpaceDE w:val="0"/>
              <w:autoSpaceDN w:val="0"/>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$(129,</w:t>
            </w:r>
            <w:r w:rsidR="000327E2">
              <w:rPr>
                <w:rFonts w:ascii="Times New Roman" w:eastAsiaTheme="minorHAnsi" w:hAnsi="Times New Roman" w:cs="Times New Roman"/>
                <w:sz w:val="24"/>
                <w:szCs w:val="24"/>
              </w:rPr>
              <w:t>126</w:t>
            </w:r>
            <w:r>
              <w:rPr>
                <w:rFonts w:ascii="Times New Roman" w:eastAsiaTheme="minorHAnsi" w:hAnsi="Times New Roman" w:cs="Times New Roman"/>
                <w:sz w:val="24"/>
                <w:szCs w:val="24"/>
              </w:rPr>
              <w:t>)</w:t>
            </w:r>
          </w:p>
        </w:tc>
        <w:tc>
          <w:tcPr>
            <w:tcW w:w="921" w:type="pct"/>
            <w:tcBorders>
              <w:top w:val="nil"/>
              <w:left w:val="nil"/>
              <w:bottom w:val="single" w:sz="18" w:space="0" w:color="auto"/>
              <w:right w:val="single" w:sz="8" w:space="0" w:color="auto"/>
            </w:tcBorders>
            <w:tcMar>
              <w:top w:w="0" w:type="dxa"/>
              <w:left w:w="108" w:type="dxa"/>
              <w:bottom w:w="0" w:type="dxa"/>
              <w:right w:w="108" w:type="dxa"/>
            </w:tcMar>
          </w:tcPr>
          <w:p w14:paraId="741870AF" w14:textId="74282CA7" w:rsidR="00FB7B35" w:rsidRDefault="008E5C82" w:rsidP="000327E2">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$893,</w:t>
            </w:r>
            <w:r w:rsidR="000327E2">
              <w:rPr>
                <w:rFonts w:ascii="Times New Roman" w:eastAsiaTheme="minorHAnsi" w:hAnsi="Times New Roman" w:cs="Times New Roman"/>
                <w:sz w:val="24"/>
                <w:szCs w:val="24"/>
              </w:rPr>
              <w:t>109</w:t>
            </w:r>
          </w:p>
        </w:tc>
        <w:tc>
          <w:tcPr>
            <w:tcW w:w="871" w:type="pct"/>
            <w:tcBorders>
              <w:top w:val="nil"/>
              <w:left w:val="nil"/>
              <w:bottom w:val="single" w:sz="18" w:space="0" w:color="auto"/>
              <w:right w:val="single" w:sz="8" w:space="0" w:color="auto"/>
            </w:tcBorders>
            <w:tcMar>
              <w:top w:w="0" w:type="dxa"/>
              <w:left w:w="108" w:type="dxa"/>
              <w:bottom w:w="0" w:type="dxa"/>
              <w:right w:w="108" w:type="dxa"/>
            </w:tcMar>
          </w:tcPr>
          <w:p w14:paraId="741870B0" w14:textId="77777777" w:rsidR="00FB7B35" w:rsidRDefault="00FB7B35" w:rsidP="00C90F8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$763,983</w:t>
            </w:r>
          </w:p>
        </w:tc>
        <w:tc>
          <w:tcPr>
            <w:tcW w:w="623" w:type="pct"/>
            <w:tcBorders>
              <w:top w:val="nil"/>
              <w:left w:val="nil"/>
              <w:bottom w:val="single" w:sz="18" w:space="0" w:color="auto"/>
              <w:right w:val="single" w:sz="8" w:space="0" w:color="auto"/>
            </w:tcBorders>
            <w:tcMar>
              <w:top w:w="0" w:type="dxa"/>
              <w:left w:w="108" w:type="dxa"/>
              <w:bottom w:w="0" w:type="dxa"/>
              <w:right w:w="108" w:type="dxa"/>
            </w:tcMar>
          </w:tcPr>
          <w:p w14:paraId="741870B1" w14:textId="77777777" w:rsidR="00FB7B35" w:rsidRDefault="00FB7B35" w:rsidP="00C90F8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0.68%</w:t>
            </w:r>
          </w:p>
        </w:tc>
      </w:tr>
      <w:tr w:rsidR="00FB7B35" w14:paraId="741870B6" w14:textId="77777777" w:rsidTr="00406925">
        <w:trPr>
          <w:jc w:val="center"/>
        </w:trPr>
        <w:tc>
          <w:tcPr>
            <w:tcW w:w="350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870B3" w14:textId="77777777" w:rsidR="00FB7B35" w:rsidRDefault="00FB7B35" w:rsidP="00C90F8D">
            <w:pPr>
              <w:autoSpaceDE w:val="0"/>
              <w:autoSpaceDN w:val="0"/>
              <w:spacing w:line="218" w:lineRule="auto"/>
              <w:jc w:val="right"/>
              <w:rPr>
                <w:rFonts w:ascii="Times New Roman" w:eastAsiaTheme="minorHAnsi" w:hAnsi="Times New Roman" w:cs="Times New Roman"/>
                <w:sz w:val="24"/>
                <w:szCs w:val="24"/>
              </w:rPr>
            </w:pPr>
            <w:r>
              <w:rPr>
                <w:rFonts w:ascii="Times New Roman" w:hAnsi="Times New Roman" w:cs="Times New Roman"/>
                <w:sz w:val="24"/>
                <w:szCs w:val="24"/>
              </w:rPr>
              <w:t>Total</w:t>
            </w:r>
          </w:p>
        </w:tc>
        <w:tc>
          <w:tcPr>
            <w:tcW w:w="871" w:type="pct"/>
            <w:tcBorders>
              <w:top w:val="nil"/>
              <w:left w:val="nil"/>
              <w:bottom w:val="single" w:sz="18" w:space="0" w:color="auto"/>
              <w:right w:val="single" w:sz="8" w:space="0" w:color="auto"/>
            </w:tcBorders>
            <w:tcMar>
              <w:top w:w="0" w:type="dxa"/>
              <w:left w:w="108" w:type="dxa"/>
              <w:bottom w:w="0" w:type="dxa"/>
              <w:right w:w="108" w:type="dxa"/>
            </w:tcMar>
          </w:tcPr>
          <w:p w14:paraId="741870B4" w14:textId="77777777" w:rsidR="00FB7B35" w:rsidRDefault="00FB7B35" w:rsidP="00C90F8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$10,587,328</w:t>
            </w:r>
          </w:p>
        </w:tc>
        <w:tc>
          <w:tcPr>
            <w:tcW w:w="623" w:type="pct"/>
            <w:tcBorders>
              <w:top w:val="nil"/>
              <w:left w:val="nil"/>
              <w:bottom w:val="single" w:sz="18" w:space="0" w:color="auto"/>
              <w:right w:val="single" w:sz="8" w:space="0" w:color="auto"/>
            </w:tcBorders>
            <w:tcMar>
              <w:top w:w="0" w:type="dxa"/>
              <w:left w:w="108" w:type="dxa"/>
              <w:bottom w:w="0" w:type="dxa"/>
              <w:right w:w="108" w:type="dxa"/>
            </w:tcMar>
          </w:tcPr>
          <w:p w14:paraId="741870B5" w14:textId="77777777" w:rsidR="00FB7B35" w:rsidRDefault="00FB7B35" w:rsidP="00C90F8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0.50%</w:t>
            </w:r>
          </w:p>
        </w:tc>
      </w:tr>
    </w:tbl>
    <w:p w14:paraId="741870B7" w14:textId="77777777" w:rsidR="008A64E6" w:rsidRDefault="008A64E6" w:rsidP="008A64E6">
      <w:pPr>
        <w:spacing w:after="0" w:line="240" w:lineRule="auto"/>
        <w:rPr>
          <w:rFonts w:ascii="Times New Roman" w:hAnsi="Times New Roman" w:cs="Times New Roman"/>
          <w:sz w:val="24"/>
          <w:szCs w:val="24"/>
        </w:rPr>
      </w:pPr>
    </w:p>
    <w:p w14:paraId="741870B9" w14:textId="77777777" w:rsidR="000D6771" w:rsidRDefault="00CD5EC1" w:rsidP="00406925">
      <w:p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2. </w:t>
      </w:r>
      <w:r>
        <w:rPr>
          <w:rFonts w:ascii="Times New Roman" w:hAnsi="Times New Roman" w:cs="Times New Roman"/>
          <w:sz w:val="24"/>
          <w:szCs w:val="24"/>
        </w:rPr>
        <w:tab/>
        <w:t>Rate Impacts</w:t>
      </w:r>
    </w:p>
    <w:tbl>
      <w:tblPr>
        <w:tblW w:w="4130" w:type="pct"/>
        <w:tblInd w:w="198" w:type="dxa"/>
        <w:tblCellMar>
          <w:left w:w="0" w:type="dxa"/>
          <w:right w:w="0" w:type="dxa"/>
        </w:tblCellMar>
        <w:tblLook w:val="04A0" w:firstRow="1" w:lastRow="0" w:firstColumn="1" w:lastColumn="0" w:noHBand="0" w:noVBand="1"/>
      </w:tblPr>
      <w:tblGrid>
        <w:gridCol w:w="2727"/>
        <w:gridCol w:w="1931"/>
        <w:gridCol w:w="1770"/>
        <w:gridCol w:w="1482"/>
      </w:tblGrid>
      <w:tr w:rsidR="00CA7746" w14:paraId="741870BE" w14:textId="77777777" w:rsidTr="00406925">
        <w:trPr>
          <w:trHeight w:val="790"/>
        </w:trPr>
        <w:tc>
          <w:tcPr>
            <w:tcW w:w="17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1870BA" w14:textId="77777777" w:rsidR="00CA7746" w:rsidRDefault="00CA7746" w:rsidP="003564AB">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Schedule Classes</w:t>
            </w:r>
          </w:p>
        </w:tc>
        <w:tc>
          <w:tcPr>
            <w:tcW w:w="12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0BB" w14:textId="77777777" w:rsidR="00CA7746" w:rsidRDefault="00CA7746" w:rsidP="003564AB">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Current Rate</w:t>
            </w:r>
          </w:p>
        </w:tc>
        <w:tc>
          <w:tcPr>
            <w:tcW w:w="111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0BC" w14:textId="77777777" w:rsidR="00CA7746" w:rsidRDefault="00CA7746" w:rsidP="003564AB">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New Rate</w:t>
            </w:r>
          </w:p>
        </w:tc>
        <w:tc>
          <w:tcPr>
            <w:tcW w:w="93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0BD" w14:textId="77777777" w:rsidR="00CA7746" w:rsidRDefault="00CA7746" w:rsidP="003564AB">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Net Change</w:t>
            </w:r>
          </w:p>
        </w:tc>
      </w:tr>
      <w:tr w:rsidR="00CA7746" w14:paraId="741870C3" w14:textId="77777777" w:rsidTr="00406925">
        <w:tc>
          <w:tcPr>
            <w:tcW w:w="17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1870BF" w14:textId="77777777" w:rsidR="00CA7746" w:rsidRDefault="00CA7746" w:rsidP="003564AB">
            <w:pPr>
              <w:autoSpaceDE w:val="0"/>
              <w:autoSpaceDN w:val="0"/>
              <w:spacing w:line="218" w:lineRule="auto"/>
              <w:rPr>
                <w:rFonts w:ascii="Times New Roman" w:eastAsiaTheme="minorHAnsi" w:hAnsi="Times New Roman" w:cs="Times New Roman"/>
                <w:sz w:val="24"/>
                <w:szCs w:val="24"/>
              </w:rPr>
            </w:pPr>
            <w:r>
              <w:rPr>
                <w:rFonts w:ascii="Times New Roman" w:hAnsi="Times New Roman" w:cs="Times New Roman"/>
                <w:sz w:val="24"/>
                <w:szCs w:val="24"/>
              </w:rPr>
              <w:t>Residential schedules</w:t>
            </w:r>
          </w:p>
        </w:tc>
        <w:tc>
          <w:tcPr>
            <w:tcW w:w="1220" w:type="pct"/>
            <w:tcBorders>
              <w:top w:val="nil"/>
              <w:left w:val="nil"/>
              <w:bottom w:val="single" w:sz="8" w:space="0" w:color="auto"/>
              <w:right w:val="single" w:sz="8" w:space="0" w:color="auto"/>
            </w:tcBorders>
            <w:tcMar>
              <w:top w:w="0" w:type="dxa"/>
              <w:left w:w="108" w:type="dxa"/>
              <w:bottom w:w="0" w:type="dxa"/>
              <w:right w:w="108" w:type="dxa"/>
            </w:tcMar>
            <w:vAlign w:val="center"/>
          </w:tcPr>
          <w:p w14:paraId="741870C0" w14:textId="77777777" w:rsidR="00CA7746" w:rsidRDefault="00CA7746" w:rsidP="00673697">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$0.001628</w:t>
            </w: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741870C1" w14:textId="77777777" w:rsidR="00CA7746" w:rsidRDefault="00CA7746" w:rsidP="00673697">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$0.001685</w:t>
            </w:r>
          </w:p>
        </w:tc>
        <w:tc>
          <w:tcPr>
            <w:tcW w:w="937" w:type="pct"/>
            <w:tcBorders>
              <w:top w:val="nil"/>
              <w:left w:val="nil"/>
              <w:bottom w:val="single" w:sz="8" w:space="0" w:color="auto"/>
              <w:right w:val="single" w:sz="8" w:space="0" w:color="auto"/>
            </w:tcBorders>
            <w:tcMar>
              <w:top w:w="0" w:type="dxa"/>
              <w:left w:w="108" w:type="dxa"/>
              <w:bottom w:w="0" w:type="dxa"/>
              <w:right w:w="108" w:type="dxa"/>
            </w:tcMar>
          </w:tcPr>
          <w:p w14:paraId="741870C2" w14:textId="77777777" w:rsidR="00CA7746" w:rsidRDefault="00C64273" w:rsidP="00673697">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$0.000057</w:t>
            </w:r>
          </w:p>
        </w:tc>
      </w:tr>
      <w:tr w:rsidR="00CA7746" w14:paraId="741870C8" w14:textId="77777777" w:rsidTr="00406925">
        <w:tc>
          <w:tcPr>
            <w:tcW w:w="17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1870C4" w14:textId="77777777" w:rsidR="00CA7746" w:rsidRDefault="00CA7746" w:rsidP="003564AB">
            <w:pPr>
              <w:autoSpaceDE w:val="0"/>
              <w:autoSpaceDN w:val="0"/>
              <w:spacing w:line="218" w:lineRule="auto"/>
              <w:rPr>
                <w:rFonts w:ascii="Times New Roman" w:eastAsiaTheme="minorHAnsi" w:hAnsi="Times New Roman" w:cs="Times New Roman"/>
                <w:sz w:val="24"/>
                <w:szCs w:val="24"/>
              </w:rPr>
            </w:pPr>
            <w:r>
              <w:rPr>
                <w:rFonts w:ascii="Times New Roman" w:hAnsi="Times New Roman" w:cs="Times New Roman"/>
                <w:sz w:val="24"/>
                <w:szCs w:val="24"/>
              </w:rPr>
              <w:t>Non-residential schedules</w:t>
            </w:r>
          </w:p>
        </w:tc>
        <w:tc>
          <w:tcPr>
            <w:tcW w:w="1220" w:type="pct"/>
            <w:tcBorders>
              <w:top w:val="nil"/>
              <w:left w:val="nil"/>
              <w:bottom w:val="single" w:sz="8" w:space="0" w:color="auto"/>
              <w:right w:val="single" w:sz="8" w:space="0" w:color="auto"/>
            </w:tcBorders>
            <w:tcMar>
              <w:top w:w="0" w:type="dxa"/>
              <w:left w:w="108" w:type="dxa"/>
              <w:bottom w:w="0" w:type="dxa"/>
              <w:right w:w="108" w:type="dxa"/>
            </w:tcMar>
            <w:vAlign w:val="center"/>
          </w:tcPr>
          <w:p w14:paraId="741870C5" w14:textId="77777777" w:rsidR="00CA7746" w:rsidRDefault="00765ED6" w:rsidP="00673697">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$0.000337</w:t>
            </w: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741870C6" w14:textId="77777777" w:rsidR="00CA7746" w:rsidRDefault="00765ED6" w:rsidP="00673697">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$0.001314</w:t>
            </w:r>
          </w:p>
        </w:tc>
        <w:tc>
          <w:tcPr>
            <w:tcW w:w="937" w:type="pct"/>
            <w:tcBorders>
              <w:top w:val="nil"/>
              <w:left w:val="nil"/>
              <w:bottom w:val="single" w:sz="8" w:space="0" w:color="auto"/>
              <w:right w:val="single" w:sz="8" w:space="0" w:color="auto"/>
            </w:tcBorders>
            <w:tcMar>
              <w:top w:w="0" w:type="dxa"/>
              <w:left w:w="108" w:type="dxa"/>
              <w:bottom w:w="0" w:type="dxa"/>
              <w:right w:w="108" w:type="dxa"/>
            </w:tcMar>
          </w:tcPr>
          <w:p w14:paraId="741870C7" w14:textId="77777777" w:rsidR="00CA7746" w:rsidRDefault="00765ED6" w:rsidP="00673697">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$0.000977</w:t>
            </w:r>
          </w:p>
        </w:tc>
      </w:tr>
      <w:tr w:rsidR="00CA7746" w14:paraId="741870CD" w14:textId="77777777" w:rsidTr="00406925">
        <w:tc>
          <w:tcPr>
            <w:tcW w:w="17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1870C9" w14:textId="77777777" w:rsidR="00CA7746" w:rsidRDefault="00CA7746" w:rsidP="003564AB">
            <w:pPr>
              <w:autoSpaceDE w:val="0"/>
              <w:autoSpaceDN w:val="0"/>
              <w:spacing w:line="218" w:lineRule="auto"/>
              <w:rPr>
                <w:rFonts w:ascii="Times New Roman" w:eastAsiaTheme="minorHAnsi" w:hAnsi="Times New Roman" w:cs="Times New Roman"/>
                <w:sz w:val="24"/>
                <w:szCs w:val="24"/>
              </w:rPr>
            </w:pPr>
            <w:r>
              <w:rPr>
                <w:rFonts w:ascii="Times New Roman" w:hAnsi="Times New Roman" w:cs="Times New Roman"/>
                <w:sz w:val="24"/>
                <w:szCs w:val="24"/>
              </w:rPr>
              <w:t>Schedule 26</w:t>
            </w:r>
          </w:p>
        </w:tc>
        <w:tc>
          <w:tcPr>
            <w:tcW w:w="1220" w:type="pct"/>
            <w:tcBorders>
              <w:top w:val="nil"/>
              <w:left w:val="nil"/>
              <w:bottom w:val="single" w:sz="8" w:space="0" w:color="auto"/>
              <w:right w:val="single" w:sz="8" w:space="0" w:color="auto"/>
            </w:tcBorders>
            <w:tcMar>
              <w:top w:w="0" w:type="dxa"/>
              <w:left w:w="108" w:type="dxa"/>
              <w:bottom w:w="0" w:type="dxa"/>
              <w:right w:w="108" w:type="dxa"/>
            </w:tcMar>
            <w:vAlign w:val="center"/>
          </w:tcPr>
          <w:p w14:paraId="741870CA" w14:textId="4AD80E8E" w:rsidR="00CA7746" w:rsidRDefault="00CA7746" w:rsidP="000327E2">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0327E2">
              <w:rPr>
                <w:rFonts w:ascii="Times New Roman" w:eastAsiaTheme="minorHAnsi" w:hAnsi="Times New Roman" w:cs="Times New Roman"/>
                <w:sz w:val="24"/>
                <w:szCs w:val="24"/>
              </w:rPr>
              <w:t>0</w:t>
            </w:r>
            <w:r>
              <w:rPr>
                <w:rFonts w:ascii="Times New Roman" w:eastAsiaTheme="minorHAnsi" w:hAnsi="Times New Roman" w:cs="Times New Roman"/>
                <w:sz w:val="24"/>
                <w:szCs w:val="24"/>
              </w:rPr>
              <w:t>.12)</w:t>
            </w: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741870CB" w14:textId="77777777" w:rsidR="00CA7746" w:rsidRDefault="00CA7746" w:rsidP="00673697">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$0.34</w:t>
            </w:r>
          </w:p>
        </w:tc>
        <w:tc>
          <w:tcPr>
            <w:tcW w:w="937" w:type="pct"/>
            <w:tcBorders>
              <w:top w:val="nil"/>
              <w:left w:val="nil"/>
              <w:bottom w:val="single" w:sz="8" w:space="0" w:color="auto"/>
              <w:right w:val="single" w:sz="8" w:space="0" w:color="auto"/>
            </w:tcBorders>
            <w:tcMar>
              <w:top w:w="0" w:type="dxa"/>
              <w:left w:w="108" w:type="dxa"/>
              <w:bottom w:w="0" w:type="dxa"/>
              <w:right w:w="108" w:type="dxa"/>
            </w:tcMar>
          </w:tcPr>
          <w:p w14:paraId="741870CC" w14:textId="77777777" w:rsidR="00CA7746" w:rsidRDefault="00673697" w:rsidP="00673697">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CA7746">
              <w:rPr>
                <w:rFonts w:ascii="Times New Roman" w:eastAsiaTheme="minorHAnsi" w:hAnsi="Times New Roman" w:cs="Times New Roman"/>
                <w:sz w:val="24"/>
                <w:szCs w:val="24"/>
              </w:rPr>
              <w:t>0.46</w:t>
            </w:r>
          </w:p>
        </w:tc>
      </w:tr>
      <w:tr w:rsidR="00CA7746" w14:paraId="741870D2" w14:textId="77777777" w:rsidTr="00406925">
        <w:tc>
          <w:tcPr>
            <w:tcW w:w="1723" w:type="pct"/>
            <w:tcBorders>
              <w:top w:val="nil"/>
              <w:left w:val="single" w:sz="8" w:space="0" w:color="auto"/>
              <w:bottom w:val="single" w:sz="18" w:space="0" w:color="auto"/>
              <w:right w:val="single" w:sz="8" w:space="0" w:color="auto"/>
            </w:tcBorders>
            <w:tcMar>
              <w:top w:w="0" w:type="dxa"/>
              <w:left w:w="108" w:type="dxa"/>
              <w:bottom w:w="0" w:type="dxa"/>
              <w:right w:w="108" w:type="dxa"/>
            </w:tcMar>
            <w:vAlign w:val="bottom"/>
            <w:hideMark/>
          </w:tcPr>
          <w:p w14:paraId="741870CE" w14:textId="77777777" w:rsidR="00CA7746" w:rsidRDefault="00CA7746" w:rsidP="003564AB">
            <w:pPr>
              <w:autoSpaceDE w:val="0"/>
              <w:autoSpaceDN w:val="0"/>
              <w:spacing w:line="218" w:lineRule="auto"/>
              <w:rPr>
                <w:rFonts w:ascii="Times New Roman" w:eastAsiaTheme="minorHAnsi" w:hAnsi="Times New Roman" w:cs="Times New Roman"/>
                <w:sz w:val="24"/>
                <w:szCs w:val="24"/>
              </w:rPr>
            </w:pPr>
            <w:r>
              <w:rPr>
                <w:rFonts w:ascii="Times New Roman" w:hAnsi="Times New Roman" w:cs="Times New Roman"/>
                <w:sz w:val="24"/>
                <w:szCs w:val="24"/>
              </w:rPr>
              <w:t>Schedule 31</w:t>
            </w:r>
          </w:p>
        </w:tc>
        <w:tc>
          <w:tcPr>
            <w:tcW w:w="1220" w:type="pct"/>
            <w:tcBorders>
              <w:top w:val="nil"/>
              <w:left w:val="nil"/>
              <w:bottom w:val="single" w:sz="18" w:space="0" w:color="auto"/>
              <w:right w:val="single" w:sz="8" w:space="0" w:color="auto"/>
            </w:tcBorders>
            <w:tcMar>
              <w:top w:w="0" w:type="dxa"/>
              <w:left w:w="108" w:type="dxa"/>
              <w:bottom w:w="0" w:type="dxa"/>
              <w:right w:w="108" w:type="dxa"/>
            </w:tcMar>
          </w:tcPr>
          <w:p w14:paraId="741870CF" w14:textId="77777777" w:rsidR="00CA7746" w:rsidRDefault="00CA7746" w:rsidP="00673697">
            <w:pPr>
              <w:autoSpaceDE w:val="0"/>
              <w:autoSpaceDN w:val="0"/>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$(0.19)</w:t>
            </w:r>
          </w:p>
        </w:tc>
        <w:tc>
          <w:tcPr>
            <w:tcW w:w="1119" w:type="pct"/>
            <w:tcBorders>
              <w:top w:val="nil"/>
              <w:left w:val="nil"/>
              <w:bottom w:val="single" w:sz="18" w:space="0" w:color="auto"/>
              <w:right w:val="single" w:sz="8" w:space="0" w:color="auto"/>
            </w:tcBorders>
            <w:tcMar>
              <w:top w:w="0" w:type="dxa"/>
              <w:left w:w="108" w:type="dxa"/>
              <w:bottom w:w="0" w:type="dxa"/>
              <w:right w:w="108" w:type="dxa"/>
            </w:tcMar>
          </w:tcPr>
          <w:p w14:paraId="741870D0" w14:textId="77777777" w:rsidR="00CA7746" w:rsidRDefault="00673697" w:rsidP="00673697">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$0.03</w:t>
            </w:r>
          </w:p>
        </w:tc>
        <w:tc>
          <w:tcPr>
            <w:tcW w:w="937" w:type="pct"/>
            <w:tcBorders>
              <w:top w:val="nil"/>
              <w:left w:val="nil"/>
              <w:bottom w:val="single" w:sz="18" w:space="0" w:color="auto"/>
              <w:right w:val="single" w:sz="8" w:space="0" w:color="auto"/>
            </w:tcBorders>
            <w:tcMar>
              <w:top w:w="0" w:type="dxa"/>
              <w:left w:w="108" w:type="dxa"/>
              <w:bottom w:w="0" w:type="dxa"/>
              <w:right w:w="108" w:type="dxa"/>
            </w:tcMar>
          </w:tcPr>
          <w:p w14:paraId="741870D1" w14:textId="77777777" w:rsidR="00CA7746" w:rsidRDefault="00673697" w:rsidP="00673697">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CA7746">
              <w:rPr>
                <w:rFonts w:ascii="Times New Roman" w:eastAsiaTheme="minorHAnsi" w:hAnsi="Times New Roman" w:cs="Times New Roman"/>
                <w:sz w:val="24"/>
                <w:szCs w:val="24"/>
              </w:rPr>
              <w:t>0.22</w:t>
            </w:r>
          </w:p>
        </w:tc>
      </w:tr>
    </w:tbl>
    <w:p w14:paraId="741870D3" w14:textId="77777777" w:rsidR="00673697" w:rsidRDefault="00673697" w:rsidP="00175CC4">
      <w:pPr>
        <w:spacing w:after="0" w:line="240" w:lineRule="auto"/>
        <w:rPr>
          <w:rFonts w:ascii="Times New Roman" w:hAnsi="Times New Roman" w:cs="Times New Roman"/>
          <w:i/>
          <w:sz w:val="24"/>
          <w:szCs w:val="24"/>
        </w:rPr>
      </w:pPr>
    </w:p>
    <w:p w14:paraId="5CF9E23E" w14:textId="77777777" w:rsidR="003848AA" w:rsidRDefault="003848AA" w:rsidP="00175CC4">
      <w:pPr>
        <w:spacing w:after="0" w:line="240" w:lineRule="auto"/>
        <w:rPr>
          <w:rFonts w:ascii="Times New Roman" w:hAnsi="Times New Roman" w:cs="Times New Roman"/>
          <w:i/>
          <w:sz w:val="24"/>
          <w:szCs w:val="24"/>
        </w:rPr>
      </w:pPr>
    </w:p>
    <w:p w14:paraId="741870D4" w14:textId="77777777" w:rsidR="00822B5D" w:rsidRPr="00565F0B" w:rsidRDefault="00822B5D" w:rsidP="00175CC4">
      <w:pPr>
        <w:spacing w:after="0" w:line="240" w:lineRule="auto"/>
        <w:rPr>
          <w:rFonts w:ascii="Times New Roman" w:hAnsi="Times New Roman" w:cs="Times New Roman"/>
          <w:i/>
          <w:sz w:val="24"/>
          <w:szCs w:val="24"/>
        </w:rPr>
      </w:pPr>
      <w:r w:rsidRPr="00565F0B">
        <w:rPr>
          <w:rFonts w:ascii="Times New Roman" w:hAnsi="Times New Roman" w:cs="Times New Roman"/>
          <w:i/>
          <w:sz w:val="24"/>
          <w:szCs w:val="24"/>
        </w:rPr>
        <w:t>Natural Gas</w:t>
      </w:r>
    </w:p>
    <w:p w14:paraId="741870D5" w14:textId="77777777" w:rsidR="00822B5D" w:rsidRPr="00565F0B" w:rsidRDefault="00822B5D" w:rsidP="0006067B">
      <w:pPr>
        <w:spacing w:after="0" w:line="240" w:lineRule="auto"/>
        <w:rPr>
          <w:rFonts w:ascii="Times New Roman" w:hAnsi="Times New Roman" w:cs="Times New Roman"/>
          <w:sz w:val="24"/>
          <w:szCs w:val="24"/>
          <w:u w:val="single"/>
        </w:rPr>
      </w:pPr>
      <w:r w:rsidRPr="00565F0B">
        <w:rPr>
          <w:rFonts w:ascii="Times New Roman" w:hAnsi="Times New Roman" w:cs="Times New Roman"/>
          <w:sz w:val="24"/>
          <w:szCs w:val="24"/>
          <w:u w:val="single"/>
        </w:rPr>
        <w:t>Deferral</w:t>
      </w:r>
    </w:p>
    <w:p w14:paraId="741870D6" w14:textId="7F05C0DA" w:rsidR="0006067B" w:rsidRDefault="0006067B" w:rsidP="000606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residential customers, the </w:t>
      </w:r>
      <w:r w:rsidR="003848AA">
        <w:rPr>
          <w:rFonts w:ascii="Times New Roman" w:hAnsi="Times New Roman" w:cs="Times New Roman"/>
          <w:sz w:val="24"/>
          <w:szCs w:val="24"/>
        </w:rPr>
        <w:t>bill payments</w:t>
      </w:r>
      <w:r>
        <w:rPr>
          <w:rFonts w:ascii="Times New Roman" w:hAnsi="Times New Roman" w:cs="Times New Roman"/>
          <w:sz w:val="24"/>
          <w:szCs w:val="24"/>
        </w:rPr>
        <w:t xml:space="preserve"> collected </w:t>
      </w:r>
      <w:r w:rsidR="003848AA">
        <w:rPr>
          <w:rFonts w:ascii="Times New Roman" w:hAnsi="Times New Roman" w:cs="Times New Roman"/>
          <w:sz w:val="24"/>
          <w:szCs w:val="24"/>
        </w:rPr>
        <w:t>$5,706,591 more than the allowed revenues which</w:t>
      </w:r>
      <w:r>
        <w:rPr>
          <w:rFonts w:ascii="Times New Roman" w:hAnsi="Times New Roman" w:cs="Times New Roman"/>
          <w:sz w:val="24"/>
          <w:szCs w:val="24"/>
        </w:rPr>
        <w:t xml:space="preserve"> will</w:t>
      </w:r>
      <w:r w:rsidR="003848AA">
        <w:rPr>
          <w:rFonts w:ascii="Times New Roman" w:hAnsi="Times New Roman" w:cs="Times New Roman"/>
          <w:sz w:val="24"/>
          <w:szCs w:val="24"/>
        </w:rPr>
        <w:t xml:space="preserve"> be</w:t>
      </w:r>
      <w:r>
        <w:rPr>
          <w:rFonts w:ascii="Times New Roman" w:hAnsi="Times New Roman" w:cs="Times New Roman"/>
          <w:sz w:val="24"/>
          <w:szCs w:val="24"/>
        </w:rPr>
        <w:t xml:space="preserve"> credit</w:t>
      </w:r>
      <w:r w:rsidR="003848AA">
        <w:rPr>
          <w:rFonts w:ascii="Times New Roman" w:hAnsi="Times New Roman" w:cs="Times New Roman"/>
          <w:sz w:val="24"/>
          <w:szCs w:val="24"/>
        </w:rPr>
        <w:t>ed</w:t>
      </w:r>
      <w:r>
        <w:rPr>
          <w:rFonts w:ascii="Times New Roman" w:hAnsi="Times New Roman" w:cs="Times New Roman"/>
          <w:sz w:val="24"/>
          <w:szCs w:val="24"/>
        </w:rPr>
        <w:t xml:space="preserve"> back to customers. </w:t>
      </w:r>
      <w:r w:rsidR="003848AA">
        <w:rPr>
          <w:rFonts w:ascii="Times New Roman" w:hAnsi="Times New Roman" w:cs="Times New Roman"/>
          <w:sz w:val="24"/>
          <w:szCs w:val="24"/>
        </w:rPr>
        <w:t>Non-residential customers paid $262,519 less than the allowed revenues req</w:t>
      </w:r>
      <w:r w:rsidR="0038232F">
        <w:rPr>
          <w:rFonts w:ascii="Times New Roman" w:hAnsi="Times New Roman" w:cs="Times New Roman"/>
          <w:sz w:val="24"/>
          <w:szCs w:val="24"/>
        </w:rPr>
        <w:t>uiring a surcharge. C</w:t>
      </w:r>
      <w:r w:rsidR="00D02D2D">
        <w:rPr>
          <w:rFonts w:ascii="Times New Roman" w:hAnsi="Times New Roman" w:cs="Times New Roman"/>
          <w:sz w:val="24"/>
          <w:szCs w:val="24"/>
        </w:rPr>
        <w:t xml:space="preserve">ustomers </w:t>
      </w:r>
      <w:r w:rsidR="003848AA">
        <w:rPr>
          <w:rFonts w:ascii="Times New Roman" w:hAnsi="Times New Roman" w:cs="Times New Roman"/>
          <w:sz w:val="24"/>
          <w:szCs w:val="24"/>
        </w:rPr>
        <w:t>on</w:t>
      </w:r>
      <w:r>
        <w:rPr>
          <w:rFonts w:ascii="Times New Roman" w:hAnsi="Times New Roman" w:cs="Times New Roman"/>
          <w:sz w:val="24"/>
          <w:szCs w:val="24"/>
        </w:rPr>
        <w:t xml:space="preserve"> </w:t>
      </w:r>
      <w:r w:rsidR="00D02D2D">
        <w:rPr>
          <w:rFonts w:ascii="Times New Roman" w:hAnsi="Times New Roman" w:cs="Times New Roman"/>
          <w:sz w:val="24"/>
          <w:szCs w:val="24"/>
        </w:rPr>
        <w:t>Schedules 85, 85T, 87,</w:t>
      </w:r>
      <w:r w:rsidR="00F62C06">
        <w:rPr>
          <w:rFonts w:ascii="Times New Roman" w:hAnsi="Times New Roman" w:cs="Times New Roman"/>
          <w:sz w:val="24"/>
          <w:szCs w:val="24"/>
        </w:rPr>
        <w:t xml:space="preserve"> </w:t>
      </w:r>
      <w:r w:rsidR="00D02D2D">
        <w:rPr>
          <w:rFonts w:ascii="Times New Roman" w:hAnsi="Times New Roman" w:cs="Times New Roman"/>
          <w:sz w:val="24"/>
          <w:szCs w:val="24"/>
        </w:rPr>
        <w:t xml:space="preserve">87T also </w:t>
      </w:r>
      <w:r w:rsidR="003848AA">
        <w:rPr>
          <w:rFonts w:ascii="Times New Roman" w:hAnsi="Times New Roman" w:cs="Times New Roman"/>
          <w:sz w:val="24"/>
          <w:szCs w:val="24"/>
        </w:rPr>
        <w:t>paid</w:t>
      </w:r>
      <w:r w:rsidR="0038232F">
        <w:rPr>
          <w:rFonts w:ascii="Times New Roman" w:hAnsi="Times New Roman" w:cs="Times New Roman"/>
          <w:sz w:val="24"/>
          <w:szCs w:val="24"/>
        </w:rPr>
        <w:t xml:space="preserve"> </w:t>
      </w:r>
      <w:r w:rsidR="00D02D2D">
        <w:rPr>
          <w:rFonts w:ascii="Times New Roman" w:hAnsi="Times New Roman" w:cs="Times New Roman"/>
          <w:sz w:val="24"/>
          <w:szCs w:val="24"/>
        </w:rPr>
        <w:t>$44,485</w:t>
      </w:r>
      <w:r w:rsidR="003848AA">
        <w:rPr>
          <w:rFonts w:ascii="Times New Roman" w:hAnsi="Times New Roman" w:cs="Times New Roman"/>
          <w:sz w:val="24"/>
          <w:szCs w:val="24"/>
        </w:rPr>
        <w:t xml:space="preserve"> </w:t>
      </w:r>
      <w:r w:rsidR="0038232F">
        <w:rPr>
          <w:rFonts w:ascii="Times New Roman" w:hAnsi="Times New Roman" w:cs="Times New Roman"/>
          <w:sz w:val="24"/>
          <w:szCs w:val="24"/>
        </w:rPr>
        <w:t>less than the allowed revenues</w:t>
      </w:r>
      <w:r>
        <w:rPr>
          <w:rFonts w:ascii="Times New Roman" w:hAnsi="Times New Roman" w:cs="Times New Roman"/>
          <w:sz w:val="24"/>
          <w:szCs w:val="24"/>
        </w:rPr>
        <w:t xml:space="preserve">. </w:t>
      </w:r>
      <w:r w:rsidR="003848AA">
        <w:rPr>
          <w:rFonts w:ascii="Times New Roman" w:hAnsi="Times New Roman" w:cs="Times New Roman"/>
          <w:sz w:val="24"/>
          <w:szCs w:val="24"/>
        </w:rPr>
        <w:t>As with electricity, t</w:t>
      </w:r>
      <w:r w:rsidR="003848AA">
        <w:rPr>
          <w:rFonts w:ascii="Times New Roman" w:eastAsia="Times New Roman" w:hAnsi="Times New Roman" w:cs="Times New Roman"/>
          <w:sz w:val="24"/>
          <w:szCs w:val="24"/>
        </w:rPr>
        <w:t>he primary drivers behind the over collection</w:t>
      </w:r>
      <w:r w:rsidR="003848AA">
        <w:rPr>
          <w:rFonts w:ascii="Times New Roman" w:hAnsi="Times New Roman" w:cs="Times New Roman"/>
          <w:sz w:val="24"/>
          <w:szCs w:val="24"/>
        </w:rPr>
        <w:t xml:space="preserve"> was the relatively </w:t>
      </w:r>
      <w:r w:rsidR="0038232F">
        <w:rPr>
          <w:rFonts w:ascii="Times New Roman" w:eastAsia="Times New Roman" w:hAnsi="Times New Roman" w:cs="Times New Roman"/>
          <w:sz w:val="24"/>
          <w:szCs w:val="24"/>
        </w:rPr>
        <w:t>colder-than-test year</w:t>
      </w:r>
      <w:r w:rsidR="003848AA">
        <w:rPr>
          <w:rFonts w:ascii="Times New Roman" w:eastAsia="Times New Roman" w:hAnsi="Times New Roman" w:cs="Times New Roman"/>
          <w:sz w:val="24"/>
          <w:szCs w:val="24"/>
        </w:rPr>
        <w:t xml:space="preserve"> temperatures in October and December.</w:t>
      </w:r>
      <w:r w:rsidR="00D02D2D">
        <w:rPr>
          <w:rFonts w:ascii="Times New Roman" w:eastAsia="Times New Roman" w:hAnsi="Times New Roman" w:cs="Times New Roman"/>
          <w:sz w:val="24"/>
          <w:szCs w:val="24"/>
        </w:rPr>
        <w:t xml:space="preserve"> </w:t>
      </w:r>
      <w:r w:rsidR="003848AA">
        <w:rPr>
          <w:rFonts w:ascii="Times New Roman" w:eastAsia="Times New Roman" w:hAnsi="Times New Roman" w:cs="Times New Roman"/>
          <w:sz w:val="24"/>
          <w:szCs w:val="24"/>
        </w:rPr>
        <w:t xml:space="preserve">The non-residential customers were far less affected by the temperature swings. </w:t>
      </w:r>
      <w:r w:rsidR="00D02D2D">
        <w:rPr>
          <w:rFonts w:ascii="Times New Roman" w:hAnsi="Times New Roman" w:cs="Times New Roman"/>
          <w:sz w:val="24"/>
          <w:szCs w:val="24"/>
        </w:rPr>
        <w:t>None of the schedules exceeded the three percent ‘soft cap’ threshold.</w:t>
      </w:r>
    </w:p>
    <w:p w14:paraId="33032598" w14:textId="77777777" w:rsidR="009F3D45" w:rsidRDefault="009F3D45" w:rsidP="0006067B">
      <w:pPr>
        <w:spacing w:after="0" w:line="240" w:lineRule="auto"/>
        <w:rPr>
          <w:rFonts w:ascii="Times New Roman" w:hAnsi="Times New Roman" w:cs="Times New Roman"/>
          <w:sz w:val="24"/>
          <w:szCs w:val="24"/>
        </w:rPr>
      </w:pPr>
    </w:p>
    <w:p w14:paraId="741870D7" w14:textId="77777777" w:rsidR="00822B5D" w:rsidRDefault="00822B5D" w:rsidP="00822B5D">
      <w:pPr>
        <w:spacing w:after="0" w:line="240" w:lineRule="auto"/>
        <w:rPr>
          <w:rFonts w:ascii="Times New Roman" w:hAnsi="Times New Roman" w:cs="Times New Roman"/>
          <w:sz w:val="24"/>
          <w:szCs w:val="24"/>
        </w:rPr>
      </w:pPr>
    </w:p>
    <w:p w14:paraId="741870D8" w14:textId="77777777" w:rsidR="00822B5D" w:rsidRPr="00565F0B" w:rsidRDefault="00822B5D" w:rsidP="00BB4950">
      <w:pPr>
        <w:spacing w:after="0" w:line="240" w:lineRule="auto"/>
        <w:rPr>
          <w:rFonts w:ascii="Times New Roman" w:hAnsi="Times New Roman" w:cs="Times New Roman"/>
          <w:sz w:val="24"/>
          <w:szCs w:val="24"/>
          <w:u w:val="single"/>
        </w:rPr>
      </w:pPr>
      <w:r w:rsidRPr="00565F0B">
        <w:rPr>
          <w:rFonts w:ascii="Times New Roman" w:hAnsi="Times New Roman" w:cs="Times New Roman"/>
          <w:sz w:val="24"/>
          <w:szCs w:val="24"/>
          <w:u w:val="single"/>
        </w:rPr>
        <w:lastRenderedPageBreak/>
        <w:t>K-factor</w:t>
      </w:r>
    </w:p>
    <w:p w14:paraId="741870D9" w14:textId="253DEEFC" w:rsidR="00D02D2D" w:rsidRDefault="00BB4950" w:rsidP="00D02D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476869">
        <w:rPr>
          <w:rFonts w:ascii="Times New Roman" w:hAnsi="Times New Roman" w:cs="Times New Roman"/>
          <w:sz w:val="24"/>
          <w:szCs w:val="24"/>
        </w:rPr>
        <w:t>company’s allowed delivery</w:t>
      </w:r>
      <w:r w:rsidR="000D6771">
        <w:rPr>
          <w:rFonts w:ascii="Times New Roman" w:hAnsi="Times New Roman" w:cs="Times New Roman"/>
          <w:sz w:val="24"/>
          <w:szCs w:val="24"/>
        </w:rPr>
        <w:t xml:space="preserve"> revenue</w:t>
      </w:r>
      <w:r w:rsidRPr="00476869">
        <w:rPr>
          <w:rFonts w:ascii="Times New Roman" w:hAnsi="Times New Roman" w:cs="Times New Roman"/>
          <w:sz w:val="24"/>
          <w:szCs w:val="24"/>
        </w:rPr>
        <w:t xml:space="preserve"> per customer increases each year by 2.2 percent for </w:t>
      </w:r>
      <w:r w:rsidR="00D02D2D">
        <w:rPr>
          <w:rFonts w:ascii="Times New Roman" w:hAnsi="Times New Roman" w:cs="Times New Roman"/>
          <w:sz w:val="24"/>
          <w:szCs w:val="24"/>
        </w:rPr>
        <w:t xml:space="preserve">natural </w:t>
      </w:r>
      <w:r w:rsidRPr="00476869">
        <w:rPr>
          <w:rFonts w:ascii="Times New Roman" w:hAnsi="Times New Roman" w:cs="Times New Roman"/>
          <w:sz w:val="24"/>
          <w:szCs w:val="24"/>
        </w:rPr>
        <w:t>gas.</w:t>
      </w:r>
      <w:r w:rsidR="00F65EDD">
        <w:rPr>
          <w:rFonts w:ascii="Times New Roman" w:hAnsi="Times New Roman" w:cs="Times New Roman"/>
          <w:sz w:val="24"/>
          <w:szCs w:val="24"/>
        </w:rPr>
        <w:t xml:space="preserve"> </w:t>
      </w:r>
      <w:r w:rsidR="005A65F5">
        <w:rPr>
          <w:rFonts w:ascii="Times New Roman" w:hAnsi="Times New Roman" w:cs="Times New Roman"/>
          <w:sz w:val="24"/>
          <w:szCs w:val="24"/>
        </w:rPr>
        <w:t>The total impact of the K-factor on current revenues is an additional $4,</w:t>
      </w:r>
      <w:r w:rsidR="000342BF">
        <w:rPr>
          <w:rFonts w:ascii="Times New Roman" w:hAnsi="Times New Roman" w:cs="Times New Roman"/>
          <w:sz w:val="24"/>
          <w:szCs w:val="24"/>
        </w:rPr>
        <w:t>116,819</w:t>
      </w:r>
      <w:r w:rsidR="005A65F5">
        <w:rPr>
          <w:rFonts w:ascii="Times New Roman" w:hAnsi="Times New Roman" w:cs="Times New Roman"/>
          <w:sz w:val="24"/>
          <w:szCs w:val="24"/>
        </w:rPr>
        <w:t>.</w:t>
      </w:r>
    </w:p>
    <w:p w14:paraId="741870DA" w14:textId="77777777" w:rsidR="00D02D2D" w:rsidRDefault="00D02D2D" w:rsidP="00D02D2D">
      <w:pPr>
        <w:spacing w:after="0" w:line="240" w:lineRule="auto"/>
        <w:rPr>
          <w:rFonts w:ascii="Times New Roman" w:hAnsi="Times New Roman" w:cs="Times New Roman"/>
          <w:sz w:val="24"/>
          <w:szCs w:val="24"/>
        </w:rPr>
      </w:pPr>
    </w:p>
    <w:p w14:paraId="741870DB" w14:textId="77777777" w:rsidR="00D02D2D" w:rsidRPr="00565F0B" w:rsidRDefault="00D02D2D" w:rsidP="00D02D2D">
      <w:pPr>
        <w:spacing w:after="0" w:line="240" w:lineRule="auto"/>
        <w:rPr>
          <w:rFonts w:ascii="Times New Roman" w:hAnsi="Times New Roman" w:cs="Times New Roman"/>
          <w:sz w:val="24"/>
          <w:szCs w:val="24"/>
          <w:u w:val="single"/>
        </w:rPr>
      </w:pPr>
      <w:r w:rsidRPr="00565F0B">
        <w:rPr>
          <w:rFonts w:ascii="Times New Roman" w:hAnsi="Times New Roman" w:cs="Times New Roman"/>
          <w:sz w:val="24"/>
          <w:szCs w:val="24"/>
          <w:u w:val="single"/>
        </w:rPr>
        <w:t>Revenue and Residential Bill Impacts</w:t>
      </w:r>
    </w:p>
    <w:p w14:paraId="741870DC" w14:textId="3B9D16BC" w:rsidR="00D02D2D" w:rsidRDefault="00D02D2D" w:rsidP="00D02D2D">
      <w:pPr>
        <w:spacing w:after="0" w:line="240" w:lineRule="auto"/>
        <w:rPr>
          <w:rFonts w:ascii="Times New Roman" w:hAnsi="Times New Roman" w:cs="Times New Roman"/>
          <w:sz w:val="24"/>
          <w:szCs w:val="24"/>
        </w:rPr>
      </w:pPr>
      <w:r>
        <w:rPr>
          <w:rFonts w:ascii="Times New Roman" w:hAnsi="Times New Roman" w:cs="Times New Roman"/>
          <w:sz w:val="24"/>
          <w:szCs w:val="24"/>
        </w:rPr>
        <w:t>The total revenue impact is as follows:</w:t>
      </w:r>
    </w:p>
    <w:p w14:paraId="741870DD" w14:textId="147DFB4C" w:rsidR="00D02D2D" w:rsidRDefault="00D02D2D" w:rsidP="00D02D2D">
      <w:pPr>
        <w:spacing w:after="0" w:line="240" w:lineRule="auto"/>
        <w:rPr>
          <w:rFonts w:ascii="Times New Roman" w:hAnsi="Times New Roman" w:cs="Times New Roman"/>
          <w:sz w:val="24"/>
          <w:szCs w:val="24"/>
        </w:rPr>
      </w:pPr>
    </w:p>
    <w:p w14:paraId="741870DE" w14:textId="21337714" w:rsidR="00D02D2D" w:rsidRDefault="00D02D2D" w:rsidP="009F3D45">
      <w:pPr>
        <w:tabs>
          <w:tab w:val="left" w:pos="2160"/>
          <w:tab w:val="right" w:pos="3330"/>
        </w:tabs>
        <w:spacing w:after="0" w:line="240" w:lineRule="auto"/>
        <w:ind w:left="720" w:firstLine="360"/>
        <w:rPr>
          <w:rFonts w:ascii="Times New Roman" w:hAnsi="Times New Roman" w:cs="Times New Roman"/>
          <w:sz w:val="24"/>
          <w:szCs w:val="24"/>
        </w:rPr>
      </w:pPr>
      <w:r w:rsidRPr="009423C3">
        <w:rPr>
          <w:rFonts w:ascii="Times New Roman" w:hAnsi="Times New Roman" w:cs="Times New Roman"/>
          <w:sz w:val="24"/>
          <w:szCs w:val="24"/>
        </w:rPr>
        <w:t>K-factor</w:t>
      </w:r>
      <w:r>
        <w:rPr>
          <w:rFonts w:ascii="Times New Roman" w:hAnsi="Times New Roman" w:cs="Times New Roman"/>
          <w:sz w:val="24"/>
          <w:szCs w:val="24"/>
        </w:rPr>
        <w:t>:</w:t>
      </w:r>
      <w:r w:rsidR="003564AB">
        <w:rPr>
          <w:rFonts w:ascii="Times New Roman" w:hAnsi="Times New Roman" w:cs="Times New Roman"/>
          <w:sz w:val="24"/>
          <w:szCs w:val="24"/>
        </w:rPr>
        <w:tab/>
      </w:r>
      <w:r w:rsidRPr="009423C3">
        <w:rPr>
          <w:rFonts w:ascii="Times New Roman" w:hAnsi="Times New Roman" w:cs="Times New Roman"/>
          <w:sz w:val="24"/>
          <w:szCs w:val="24"/>
        </w:rPr>
        <w:t>$</w:t>
      </w:r>
      <w:r w:rsidR="009F3D45">
        <w:rPr>
          <w:rFonts w:ascii="Times New Roman" w:hAnsi="Times New Roman" w:cs="Times New Roman"/>
          <w:sz w:val="24"/>
          <w:szCs w:val="24"/>
        </w:rPr>
        <w:tab/>
      </w:r>
      <w:r w:rsidR="005A65F5">
        <w:rPr>
          <w:rFonts w:ascii="Times New Roman" w:hAnsi="Times New Roman" w:cs="Times New Roman"/>
          <w:sz w:val="24"/>
          <w:szCs w:val="24"/>
        </w:rPr>
        <w:t>4,</w:t>
      </w:r>
      <w:r w:rsidR="000342BF">
        <w:rPr>
          <w:rFonts w:ascii="Times New Roman" w:hAnsi="Times New Roman" w:cs="Times New Roman"/>
          <w:sz w:val="24"/>
          <w:szCs w:val="24"/>
        </w:rPr>
        <w:t>116,819</w:t>
      </w:r>
    </w:p>
    <w:p w14:paraId="741870DF" w14:textId="7E075F25" w:rsidR="00D02D2D" w:rsidRPr="009423C3" w:rsidRDefault="00D02D2D" w:rsidP="009F3D45">
      <w:pPr>
        <w:tabs>
          <w:tab w:val="left" w:pos="1080"/>
          <w:tab w:val="right" w:pos="1440"/>
          <w:tab w:val="left" w:pos="2160"/>
          <w:tab w:val="right" w:pos="3330"/>
        </w:tabs>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sz w:val="24"/>
          <w:szCs w:val="24"/>
          <w:u w:val="single"/>
        </w:rPr>
        <w:tab/>
      </w:r>
      <w:r w:rsidR="003564AB">
        <w:rPr>
          <w:rFonts w:ascii="Times New Roman" w:hAnsi="Times New Roman" w:cs="Times New Roman"/>
          <w:sz w:val="24"/>
          <w:szCs w:val="24"/>
          <w:u w:val="single"/>
        </w:rPr>
        <w:tab/>
      </w:r>
      <w:r w:rsidRPr="009423C3">
        <w:rPr>
          <w:rFonts w:ascii="Times New Roman" w:hAnsi="Times New Roman" w:cs="Times New Roman"/>
          <w:sz w:val="24"/>
          <w:szCs w:val="24"/>
          <w:u w:val="single"/>
        </w:rPr>
        <w:t>Deferral</w:t>
      </w:r>
      <w:r>
        <w:rPr>
          <w:rFonts w:ascii="Times New Roman" w:hAnsi="Times New Roman" w:cs="Times New Roman"/>
          <w:sz w:val="24"/>
          <w:szCs w:val="24"/>
          <w:u w:val="single"/>
        </w:rPr>
        <w:t>:</w:t>
      </w:r>
      <w:r w:rsidR="003564AB">
        <w:rPr>
          <w:rFonts w:ascii="Times New Roman" w:hAnsi="Times New Roman" w:cs="Times New Roman"/>
          <w:sz w:val="24"/>
          <w:szCs w:val="24"/>
          <w:u w:val="single"/>
        </w:rPr>
        <w:tab/>
      </w:r>
      <w:r w:rsidRPr="009423C3">
        <w:rPr>
          <w:rFonts w:ascii="Times New Roman" w:hAnsi="Times New Roman" w:cs="Times New Roman"/>
          <w:sz w:val="24"/>
          <w:szCs w:val="24"/>
          <w:u w:val="single"/>
        </w:rPr>
        <w:t>$</w:t>
      </w:r>
      <w:r w:rsidR="005A65F5">
        <w:rPr>
          <w:rFonts w:ascii="Times New Roman" w:hAnsi="Times New Roman" w:cs="Times New Roman"/>
          <w:sz w:val="24"/>
          <w:szCs w:val="24"/>
          <w:u w:val="single"/>
        </w:rPr>
        <w:t>(5,</w:t>
      </w:r>
      <w:r w:rsidR="008905C1">
        <w:rPr>
          <w:rFonts w:ascii="Times New Roman" w:hAnsi="Times New Roman" w:cs="Times New Roman"/>
          <w:sz w:val="24"/>
          <w:szCs w:val="24"/>
          <w:u w:val="single"/>
        </w:rPr>
        <w:t>102,375</w:t>
      </w:r>
      <w:r w:rsidR="005A65F5">
        <w:rPr>
          <w:rFonts w:ascii="Times New Roman" w:hAnsi="Times New Roman" w:cs="Times New Roman"/>
          <w:sz w:val="24"/>
          <w:szCs w:val="24"/>
          <w:u w:val="single"/>
        </w:rPr>
        <w:t>)</w:t>
      </w:r>
    </w:p>
    <w:p w14:paraId="4E8F3FC1" w14:textId="1266BDAD" w:rsidR="000342BF" w:rsidRDefault="003564AB" w:rsidP="004C3746">
      <w:pPr>
        <w:tabs>
          <w:tab w:val="left" w:pos="1080"/>
          <w:tab w:val="left" w:pos="2160"/>
          <w:tab w:val="right" w:pos="3420"/>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02D2D">
        <w:rPr>
          <w:rFonts w:ascii="Times New Roman" w:hAnsi="Times New Roman" w:cs="Times New Roman"/>
          <w:sz w:val="24"/>
          <w:szCs w:val="24"/>
        </w:rPr>
        <w:t>Total:</w:t>
      </w:r>
      <w:r w:rsidR="009F3D45">
        <w:rPr>
          <w:rFonts w:ascii="Times New Roman" w:hAnsi="Times New Roman" w:cs="Times New Roman"/>
          <w:sz w:val="24"/>
          <w:szCs w:val="24"/>
        </w:rPr>
        <w:tab/>
      </w:r>
      <w:r w:rsidR="00D02D2D">
        <w:rPr>
          <w:rFonts w:ascii="Times New Roman" w:hAnsi="Times New Roman" w:cs="Times New Roman"/>
          <w:sz w:val="24"/>
          <w:szCs w:val="24"/>
        </w:rPr>
        <w:t>$</w:t>
      </w:r>
      <w:r w:rsidR="009F3D45">
        <w:rPr>
          <w:rFonts w:ascii="Times New Roman" w:hAnsi="Times New Roman" w:cs="Times New Roman"/>
          <w:sz w:val="24"/>
          <w:szCs w:val="24"/>
        </w:rPr>
        <w:tab/>
      </w:r>
      <w:r w:rsidR="005A65F5">
        <w:rPr>
          <w:rFonts w:ascii="Times New Roman" w:hAnsi="Times New Roman" w:cs="Times New Roman"/>
          <w:sz w:val="24"/>
          <w:szCs w:val="24"/>
        </w:rPr>
        <w:t>(985,557)</w:t>
      </w:r>
    </w:p>
    <w:p w14:paraId="1D388E95" w14:textId="77777777" w:rsidR="000342BF" w:rsidRDefault="000342BF" w:rsidP="00E53E62">
      <w:pPr>
        <w:spacing w:after="0" w:line="240" w:lineRule="auto"/>
        <w:rPr>
          <w:rFonts w:ascii="Times New Roman" w:hAnsi="Times New Roman" w:cs="Times New Roman"/>
          <w:sz w:val="24"/>
          <w:szCs w:val="24"/>
        </w:rPr>
      </w:pPr>
    </w:p>
    <w:p w14:paraId="741870E2" w14:textId="688DA67A" w:rsidR="002A1F03" w:rsidRPr="00CA7746" w:rsidRDefault="000C4192" w:rsidP="00E53E62">
      <w:pPr>
        <w:spacing w:after="0" w:line="240" w:lineRule="auto"/>
        <w:rPr>
          <w:rFonts w:ascii="Times New Roman" w:hAnsi="Times New Roman"/>
          <w:sz w:val="24"/>
        </w:rPr>
      </w:pPr>
      <w:r w:rsidRPr="00FB7B35">
        <w:rPr>
          <w:rFonts w:ascii="Times New Roman" w:hAnsi="Times New Roman" w:cs="Times New Roman"/>
          <w:sz w:val="24"/>
          <w:szCs w:val="24"/>
        </w:rPr>
        <w:t xml:space="preserve">A residential customer using </w:t>
      </w:r>
      <w:r>
        <w:rPr>
          <w:rFonts w:ascii="Times New Roman" w:hAnsi="Times New Roman" w:cs="Times New Roman"/>
          <w:sz w:val="24"/>
          <w:szCs w:val="24"/>
        </w:rPr>
        <w:t>68 therms</w:t>
      </w:r>
      <w:r w:rsidRPr="0006067B">
        <w:rPr>
          <w:rFonts w:ascii="Times New Roman" w:hAnsi="Times New Roman" w:cs="Times New Roman"/>
          <w:sz w:val="24"/>
          <w:szCs w:val="24"/>
        </w:rPr>
        <w:t xml:space="preserve"> </w:t>
      </w:r>
      <w:r w:rsidRPr="0006067B">
        <w:rPr>
          <w:rFonts w:ascii="Times New Roman" w:hAnsi="Times New Roman"/>
          <w:sz w:val="24"/>
        </w:rPr>
        <w:t>would pay $0.</w:t>
      </w:r>
      <w:r>
        <w:rPr>
          <w:rFonts w:ascii="Times New Roman" w:hAnsi="Times New Roman"/>
          <w:sz w:val="24"/>
        </w:rPr>
        <w:t xml:space="preserve">97 less </w:t>
      </w:r>
      <w:r w:rsidRPr="0006067B">
        <w:rPr>
          <w:rFonts w:ascii="Times New Roman" w:hAnsi="Times New Roman"/>
          <w:sz w:val="24"/>
        </w:rPr>
        <w:t>per month from $</w:t>
      </w:r>
      <w:r>
        <w:rPr>
          <w:rFonts w:ascii="Times New Roman" w:hAnsi="Times New Roman"/>
          <w:sz w:val="24"/>
        </w:rPr>
        <w:t>77.82 to $76.85</w:t>
      </w:r>
      <w:r w:rsidRPr="0006067B">
        <w:rPr>
          <w:rFonts w:ascii="Times New Roman" w:hAnsi="Times New Roman"/>
          <w:sz w:val="24"/>
        </w:rPr>
        <w:t xml:space="preserve">. </w:t>
      </w:r>
      <w:r w:rsidR="00463CA7" w:rsidRPr="0006067B">
        <w:rPr>
          <w:rFonts w:ascii="Times New Roman" w:hAnsi="Times New Roman"/>
          <w:sz w:val="24"/>
        </w:rPr>
        <w:t>The combined effects of the K-factor and deferral within the decoupling mechanism</w:t>
      </w:r>
      <w:r w:rsidR="00463CA7">
        <w:rPr>
          <w:rFonts w:ascii="Times New Roman" w:hAnsi="Times New Roman"/>
          <w:sz w:val="24"/>
        </w:rPr>
        <w:t xml:space="preserve"> on </w:t>
      </w:r>
      <w:r w:rsidR="00463CA7" w:rsidRPr="0006067B">
        <w:rPr>
          <w:rFonts w:ascii="Times New Roman" w:hAnsi="Times New Roman"/>
          <w:sz w:val="24"/>
        </w:rPr>
        <w:t xml:space="preserve">annual revenues </w:t>
      </w:r>
      <w:r w:rsidR="00463CA7">
        <w:rPr>
          <w:rFonts w:ascii="Times New Roman" w:hAnsi="Times New Roman"/>
          <w:sz w:val="24"/>
        </w:rPr>
        <w:t xml:space="preserve">and on </w:t>
      </w:r>
      <w:r w:rsidR="00463CA7" w:rsidRPr="0006067B">
        <w:rPr>
          <w:rFonts w:ascii="Times New Roman" w:hAnsi="Times New Roman"/>
          <w:sz w:val="24"/>
        </w:rPr>
        <w:t>PSE’s rates ($/</w:t>
      </w:r>
      <w:r w:rsidR="00463CA7">
        <w:rPr>
          <w:rFonts w:ascii="Times New Roman" w:hAnsi="Times New Roman"/>
          <w:sz w:val="24"/>
        </w:rPr>
        <w:t>therm</w:t>
      </w:r>
      <w:r w:rsidR="00463CA7" w:rsidRPr="0006067B">
        <w:rPr>
          <w:rFonts w:ascii="Times New Roman" w:hAnsi="Times New Roman"/>
          <w:sz w:val="24"/>
        </w:rPr>
        <w:t xml:space="preserve">) are </w:t>
      </w:r>
      <w:r w:rsidR="00463CA7">
        <w:rPr>
          <w:rFonts w:ascii="Times New Roman" w:hAnsi="Times New Roman"/>
          <w:sz w:val="24"/>
        </w:rPr>
        <w:t>found in Tables 3 and 4 below:</w:t>
      </w:r>
    </w:p>
    <w:p w14:paraId="741870E3" w14:textId="77777777" w:rsidR="00463CA7" w:rsidRDefault="00463CA7" w:rsidP="00E53E62">
      <w:pPr>
        <w:spacing w:after="0" w:line="240" w:lineRule="auto"/>
        <w:rPr>
          <w:rFonts w:ascii="Times New Roman" w:hAnsi="Times New Roman" w:cs="Times New Roman"/>
        </w:rPr>
      </w:pPr>
    </w:p>
    <w:p w14:paraId="741870E4" w14:textId="75EFA536" w:rsidR="00091859" w:rsidRDefault="00463CA7" w:rsidP="00406925">
      <w:pPr>
        <w:tabs>
          <w:tab w:val="left" w:pos="900"/>
        </w:tabs>
        <w:spacing w:after="0" w:line="240" w:lineRule="auto"/>
        <w:rPr>
          <w:rFonts w:ascii="Times New Roman" w:hAnsi="Times New Roman" w:cs="Times New Roman"/>
        </w:rPr>
      </w:pPr>
      <w:r>
        <w:rPr>
          <w:rFonts w:ascii="Times New Roman" w:hAnsi="Times New Roman" w:cs="Times New Roman"/>
        </w:rPr>
        <w:t>Table 3.</w:t>
      </w:r>
      <w:r>
        <w:rPr>
          <w:rFonts w:ascii="Times New Roman" w:hAnsi="Times New Roman" w:cs="Times New Roman"/>
        </w:rPr>
        <w:tab/>
      </w:r>
      <w:r>
        <w:rPr>
          <w:rFonts w:ascii="Times New Roman" w:hAnsi="Times New Roman"/>
          <w:sz w:val="24"/>
        </w:rPr>
        <w:t>Revenue Impact of Decoupling and the K-Factor</w:t>
      </w:r>
    </w:p>
    <w:tbl>
      <w:tblPr>
        <w:tblW w:w="4850" w:type="pct"/>
        <w:jc w:val="center"/>
        <w:tblLayout w:type="fixed"/>
        <w:tblCellMar>
          <w:left w:w="0" w:type="dxa"/>
          <w:right w:w="0" w:type="dxa"/>
        </w:tblCellMar>
        <w:tblLook w:val="04A0" w:firstRow="1" w:lastRow="0" w:firstColumn="1" w:lastColumn="0" w:noHBand="0" w:noVBand="1"/>
      </w:tblPr>
      <w:tblGrid>
        <w:gridCol w:w="3168"/>
        <w:gridCol w:w="1657"/>
        <w:gridCol w:w="1525"/>
        <w:gridCol w:w="1607"/>
        <w:gridCol w:w="1332"/>
      </w:tblGrid>
      <w:tr w:rsidR="00320A18" w14:paraId="741870EA" w14:textId="77777777" w:rsidTr="001E344F">
        <w:trPr>
          <w:jc w:val="center"/>
        </w:trPr>
        <w:tc>
          <w:tcPr>
            <w:tcW w:w="17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1870E5" w14:textId="77777777" w:rsidR="00F1631C" w:rsidRDefault="00F1631C" w:rsidP="00C90F8D">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Schedule Classes</w:t>
            </w:r>
          </w:p>
        </w:tc>
        <w:tc>
          <w:tcPr>
            <w:tcW w:w="8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0E6" w14:textId="77777777" w:rsidR="00F1631C" w:rsidRDefault="00F1631C" w:rsidP="00C90F8D">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Deferral Amortization</w:t>
            </w:r>
          </w:p>
        </w:tc>
        <w:tc>
          <w:tcPr>
            <w:tcW w:w="8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0E7" w14:textId="28D0E3D2" w:rsidR="00F1631C" w:rsidRDefault="00F1631C" w:rsidP="00C90F8D">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K-factor</w:t>
            </w:r>
            <w:r w:rsidR="004E2B53">
              <w:rPr>
                <w:rFonts w:ascii="Times New Roman" w:hAnsi="Times New Roman" w:cs="Times New Roman"/>
                <w:b/>
                <w:bCs/>
                <w:sz w:val="24"/>
                <w:szCs w:val="24"/>
              </w:rPr>
              <w:t xml:space="preserve"> Impac</w:t>
            </w:r>
            <w:r w:rsidR="00501881">
              <w:rPr>
                <w:rFonts w:ascii="Times New Roman" w:hAnsi="Times New Roman" w:cs="Times New Roman"/>
                <w:b/>
                <w:bCs/>
                <w:sz w:val="24"/>
                <w:szCs w:val="24"/>
              </w:rPr>
              <w:t>t</w:t>
            </w:r>
          </w:p>
        </w:tc>
        <w:tc>
          <w:tcPr>
            <w:tcW w:w="8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0E8" w14:textId="441238B2" w:rsidR="00F1631C" w:rsidRDefault="00F1631C" w:rsidP="005E1B5F">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 xml:space="preserve">Revenue </w:t>
            </w:r>
            <w:r w:rsidR="00522B1D">
              <w:rPr>
                <w:rFonts w:ascii="Times New Roman" w:hAnsi="Times New Roman" w:cs="Times New Roman"/>
                <w:b/>
                <w:bCs/>
                <w:sz w:val="24"/>
                <w:szCs w:val="24"/>
              </w:rPr>
              <w:t>Change</w:t>
            </w:r>
          </w:p>
        </w:tc>
        <w:tc>
          <w:tcPr>
            <w:tcW w:w="7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0E9" w14:textId="77777777" w:rsidR="00F1631C" w:rsidRDefault="00F1631C" w:rsidP="00C90F8D">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Percent Change</w:t>
            </w:r>
          </w:p>
        </w:tc>
      </w:tr>
      <w:tr w:rsidR="00320A18" w14:paraId="741870F0" w14:textId="77777777" w:rsidTr="001E344F">
        <w:trPr>
          <w:jc w:val="center"/>
        </w:trPr>
        <w:tc>
          <w:tcPr>
            <w:tcW w:w="170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1870EB" w14:textId="77777777" w:rsidR="00F1631C" w:rsidRDefault="0092408A" w:rsidP="00C90F8D">
            <w:pPr>
              <w:autoSpaceDE w:val="0"/>
              <w:autoSpaceDN w:val="0"/>
              <w:spacing w:line="218"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Residential schedules</w:t>
            </w:r>
          </w:p>
        </w:tc>
        <w:tc>
          <w:tcPr>
            <w:tcW w:w="892" w:type="pct"/>
            <w:tcBorders>
              <w:top w:val="nil"/>
              <w:left w:val="nil"/>
              <w:bottom w:val="single" w:sz="8" w:space="0" w:color="auto"/>
              <w:right w:val="single" w:sz="8" w:space="0" w:color="auto"/>
            </w:tcBorders>
            <w:tcMar>
              <w:top w:w="0" w:type="dxa"/>
              <w:left w:w="108" w:type="dxa"/>
              <w:bottom w:w="0" w:type="dxa"/>
              <w:right w:w="108" w:type="dxa"/>
            </w:tcMar>
            <w:vAlign w:val="center"/>
          </w:tcPr>
          <w:p w14:paraId="741870EC" w14:textId="7A995551" w:rsidR="00F1631C" w:rsidRDefault="00491656" w:rsidP="00195A46">
            <w:pPr>
              <w:autoSpaceDE w:val="0"/>
              <w:autoSpaceDN w:val="0"/>
              <w:spacing w:line="218"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262A5F">
              <w:rPr>
                <w:rFonts w:ascii="Times New Roman" w:eastAsiaTheme="minorHAnsi" w:hAnsi="Times New Roman" w:cs="Times New Roman"/>
                <w:sz w:val="24"/>
                <w:szCs w:val="24"/>
              </w:rPr>
              <w:t>(</w:t>
            </w:r>
            <w:r>
              <w:rPr>
                <w:rFonts w:ascii="Times New Roman" w:eastAsiaTheme="minorHAnsi" w:hAnsi="Times New Roman" w:cs="Times New Roman"/>
                <w:sz w:val="24"/>
                <w:szCs w:val="24"/>
              </w:rPr>
              <w:t>5,</w:t>
            </w:r>
            <w:r w:rsidR="00195A46">
              <w:rPr>
                <w:rFonts w:ascii="Times New Roman" w:eastAsiaTheme="minorHAnsi" w:hAnsi="Times New Roman" w:cs="Times New Roman"/>
                <w:sz w:val="24"/>
                <w:szCs w:val="24"/>
              </w:rPr>
              <w:t>367,408</w:t>
            </w:r>
            <w:r w:rsidR="00262A5F">
              <w:rPr>
                <w:rFonts w:ascii="Times New Roman" w:eastAsiaTheme="minorHAnsi" w:hAnsi="Times New Roman" w:cs="Times New Roman"/>
                <w:sz w:val="24"/>
                <w:szCs w:val="24"/>
              </w:rPr>
              <w:t>)</w:t>
            </w:r>
          </w:p>
        </w:tc>
        <w:tc>
          <w:tcPr>
            <w:tcW w:w="821" w:type="pct"/>
            <w:tcBorders>
              <w:top w:val="nil"/>
              <w:left w:val="nil"/>
              <w:bottom w:val="single" w:sz="8" w:space="0" w:color="auto"/>
              <w:right w:val="single" w:sz="8" w:space="0" w:color="auto"/>
            </w:tcBorders>
            <w:tcMar>
              <w:top w:w="0" w:type="dxa"/>
              <w:left w:w="108" w:type="dxa"/>
              <w:bottom w:w="0" w:type="dxa"/>
              <w:right w:w="108" w:type="dxa"/>
            </w:tcMar>
          </w:tcPr>
          <w:p w14:paraId="741870ED" w14:textId="5740B1B7" w:rsidR="00F1631C" w:rsidRDefault="00771BBC" w:rsidP="00195A46">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195A46">
              <w:rPr>
                <w:rFonts w:ascii="Times New Roman" w:eastAsiaTheme="minorHAnsi" w:hAnsi="Times New Roman" w:cs="Times New Roman"/>
                <w:sz w:val="24"/>
                <w:szCs w:val="24"/>
              </w:rPr>
              <w:t>(2,602,549)</w:t>
            </w:r>
          </w:p>
        </w:tc>
        <w:tc>
          <w:tcPr>
            <w:tcW w:w="865" w:type="pct"/>
            <w:tcBorders>
              <w:top w:val="nil"/>
              <w:left w:val="nil"/>
              <w:bottom w:val="single" w:sz="8" w:space="0" w:color="auto"/>
              <w:right w:val="single" w:sz="8" w:space="0" w:color="auto"/>
            </w:tcBorders>
            <w:tcMar>
              <w:top w:w="0" w:type="dxa"/>
              <w:left w:w="108" w:type="dxa"/>
              <w:bottom w:w="0" w:type="dxa"/>
              <w:right w:w="108" w:type="dxa"/>
            </w:tcMar>
          </w:tcPr>
          <w:p w14:paraId="741870EE" w14:textId="0D2222E5" w:rsidR="00F1631C" w:rsidRDefault="00195A46" w:rsidP="00522B1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$(7,969,958)</w:t>
            </w:r>
          </w:p>
        </w:tc>
        <w:tc>
          <w:tcPr>
            <w:tcW w:w="717" w:type="pct"/>
            <w:tcBorders>
              <w:top w:val="nil"/>
              <w:left w:val="nil"/>
              <w:bottom w:val="single" w:sz="8" w:space="0" w:color="auto"/>
              <w:right w:val="single" w:sz="8" w:space="0" w:color="auto"/>
            </w:tcBorders>
            <w:tcMar>
              <w:top w:w="0" w:type="dxa"/>
              <w:left w:w="108" w:type="dxa"/>
              <w:bottom w:w="0" w:type="dxa"/>
              <w:right w:w="108" w:type="dxa"/>
            </w:tcMar>
          </w:tcPr>
          <w:p w14:paraId="741870EF" w14:textId="67EE9112" w:rsidR="00F1631C" w:rsidRDefault="00195A46" w:rsidP="00C90F8D">
            <w:pPr>
              <w:autoSpaceDE w:val="0"/>
              <w:autoSpaceDN w:val="0"/>
              <w:spacing w:line="218"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-1.28%</w:t>
            </w:r>
          </w:p>
        </w:tc>
      </w:tr>
      <w:tr w:rsidR="00320A18" w14:paraId="741870F6" w14:textId="77777777" w:rsidTr="001E344F">
        <w:trPr>
          <w:jc w:val="center"/>
        </w:trPr>
        <w:tc>
          <w:tcPr>
            <w:tcW w:w="17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870F1" w14:textId="77777777" w:rsidR="00F1631C" w:rsidRPr="00BB4950" w:rsidRDefault="0092408A" w:rsidP="00320A18">
            <w:pPr>
              <w:autoSpaceDE w:val="0"/>
              <w:autoSpaceDN w:val="0"/>
              <w:spacing w:line="218" w:lineRule="auto"/>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Non-residential schedules</w:t>
            </w:r>
            <w:r w:rsidR="00BB4950">
              <w:rPr>
                <w:rFonts w:ascii="Times New Roman" w:eastAsiaTheme="minorHAnsi" w:hAnsi="Times New Roman" w:cs="Times New Roman"/>
                <w:iCs/>
                <w:sz w:val="24"/>
                <w:szCs w:val="24"/>
              </w:rPr>
              <w:t xml:space="preserve"> </w:t>
            </w:r>
          </w:p>
        </w:tc>
        <w:tc>
          <w:tcPr>
            <w:tcW w:w="892" w:type="pct"/>
            <w:tcBorders>
              <w:top w:val="nil"/>
              <w:left w:val="nil"/>
              <w:bottom w:val="single" w:sz="8" w:space="0" w:color="auto"/>
              <w:right w:val="single" w:sz="8" w:space="0" w:color="auto"/>
            </w:tcBorders>
            <w:tcMar>
              <w:top w:w="0" w:type="dxa"/>
              <w:left w:w="108" w:type="dxa"/>
              <w:bottom w:w="0" w:type="dxa"/>
              <w:right w:w="108" w:type="dxa"/>
            </w:tcMar>
            <w:vAlign w:val="center"/>
          </w:tcPr>
          <w:p w14:paraId="741870F2" w14:textId="2AD7598A" w:rsidR="00F1631C" w:rsidRDefault="00491656" w:rsidP="00195A46">
            <w:pPr>
              <w:autoSpaceDE w:val="0"/>
              <w:autoSpaceDN w:val="0"/>
              <w:spacing w:line="218"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195A46">
              <w:rPr>
                <w:rFonts w:ascii="Times New Roman" w:eastAsiaTheme="minorHAnsi" w:hAnsi="Times New Roman" w:cs="Times New Roman"/>
                <w:sz w:val="24"/>
                <w:szCs w:val="24"/>
              </w:rPr>
              <w:t>223,035</w:t>
            </w:r>
          </w:p>
        </w:tc>
        <w:tc>
          <w:tcPr>
            <w:tcW w:w="821" w:type="pct"/>
            <w:tcBorders>
              <w:top w:val="nil"/>
              <w:left w:val="nil"/>
              <w:bottom w:val="single" w:sz="8" w:space="0" w:color="auto"/>
              <w:right w:val="single" w:sz="8" w:space="0" w:color="auto"/>
            </w:tcBorders>
            <w:tcMar>
              <w:top w:w="0" w:type="dxa"/>
              <w:left w:w="108" w:type="dxa"/>
              <w:bottom w:w="0" w:type="dxa"/>
              <w:right w:w="108" w:type="dxa"/>
            </w:tcMar>
          </w:tcPr>
          <w:p w14:paraId="741870F3" w14:textId="31593176" w:rsidR="00F1631C" w:rsidRDefault="00491656" w:rsidP="00771BBC">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771BBC">
              <w:rPr>
                <w:rFonts w:ascii="Times New Roman" w:eastAsiaTheme="minorHAnsi" w:hAnsi="Times New Roman" w:cs="Times New Roman"/>
                <w:sz w:val="24"/>
                <w:szCs w:val="24"/>
              </w:rPr>
              <w:t>6,719,368</w:t>
            </w:r>
          </w:p>
        </w:tc>
        <w:tc>
          <w:tcPr>
            <w:tcW w:w="865" w:type="pct"/>
            <w:tcBorders>
              <w:top w:val="nil"/>
              <w:left w:val="nil"/>
              <w:bottom w:val="single" w:sz="8" w:space="0" w:color="auto"/>
              <w:right w:val="single" w:sz="8" w:space="0" w:color="auto"/>
            </w:tcBorders>
            <w:tcMar>
              <w:top w:w="0" w:type="dxa"/>
              <w:left w:w="108" w:type="dxa"/>
              <w:bottom w:w="0" w:type="dxa"/>
              <w:right w:w="108" w:type="dxa"/>
            </w:tcMar>
          </w:tcPr>
          <w:p w14:paraId="741870F4" w14:textId="412AB8BA" w:rsidR="00F1631C" w:rsidRDefault="00195A46" w:rsidP="00195A46">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$6,942,403</w:t>
            </w:r>
          </w:p>
        </w:tc>
        <w:tc>
          <w:tcPr>
            <w:tcW w:w="717" w:type="pct"/>
            <w:tcBorders>
              <w:top w:val="nil"/>
              <w:left w:val="nil"/>
              <w:bottom w:val="single" w:sz="8" w:space="0" w:color="auto"/>
              <w:right w:val="single" w:sz="8" w:space="0" w:color="auto"/>
            </w:tcBorders>
            <w:tcMar>
              <w:top w:w="0" w:type="dxa"/>
              <w:left w:w="108" w:type="dxa"/>
              <w:bottom w:w="0" w:type="dxa"/>
              <w:right w:w="108" w:type="dxa"/>
            </w:tcMar>
          </w:tcPr>
          <w:p w14:paraId="741870F5" w14:textId="06A0AE89" w:rsidR="00F1631C" w:rsidRDefault="005E1B5F" w:rsidP="00C90F8D">
            <w:pPr>
              <w:autoSpaceDE w:val="0"/>
              <w:autoSpaceDN w:val="0"/>
              <w:spacing w:line="218"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2.65</w:t>
            </w:r>
            <w:r w:rsidR="00DA453D">
              <w:rPr>
                <w:rFonts w:ascii="Times New Roman" w:eastAsiaTheme="minorHAnsi" w:hAnsi="Times New Roman" w:cs="Times New Roman"/>
                <w:sz w:val="24"/>
                <w:szCs w:val="24"/>
              </w:rPr>
              <w:t>%</w:t>
            </w:r>
          </w:p>
        </w:tc>
      </w:tr>
      <w:tr w:rsidR="00320A18" w14:paraId="741870FC" w14:textId="77777777" w:rsidTr="001E344F">
        <w:trPr>
          <w:jc w:val="center"/>
        </w:trPr>
        <w:tc>
          <w:tcPr>
            <w:tcW w:w="1705" w:type="pct"/>
            <w:tcBorders>
              <w:top w:val="nil"/>
              <w:left w:val="single" w:sz="8" w:space="0" w:color="auto"/>
              <w:bottom w:val="single" w:sz="18" w:space="0" w:color="auto"/>
              <w:right w:val="single" w:sz="8" w:space="0" w:color="auto"/>
            </w:tcBorders>
            <w:tcMar>
              <w:top w:w="0" w:type="dxa"/>
              <w:left w:w="108" w:type="dxa"/>
              <w:bottom w:w="0" w:type="dxa"/>
              <w:right w:w="108" w:type="dxa"/>
            </w:tcMar>
            <w:hideMark/>
          </w:tcPr>
          <w:p w14:paraId="741870F7" w14:textId="77777777" w:rsidR="00F1631C" w:rsidRDefault="00F1631C" w:rsidP="00C90F8D">
            <w:pPr>
              <w:autoSpaceDE w:val="0"/>
              <w:autoSpaceDN w:val="0"/>
              <w:spacing w:line="218" w:lineRule="auto"/>
              <w:rPr>
                <w:rFonts w:ascii="Times New Roman" w:eastAsiaTheme="minorHAnsi" w:hAnsi="Times New Roman" w:cs="Times New Roman"/>
                <w:sz w:val="24"/>
                <w:szCs w:val="24"/>
              </w:rPr>
            </w:pPr>
            <w:r>
              <w:rPr>
                <w:rFonts w:ascii="Times New Roman" w:hAnsi="Times New Roman" w:cs="Times New Roman"/>
                <w:sz w:val="24"/>
                <w:szCs w:val="24"/>
              </w:rPr>
              <w:t>Schedule</w:t>
            </w:r>
            <w:r w:rsidR="00B13583">
              <w:rPr>
                <w:rFonts w:ascii="Times New Roman" w:hAnsi="Times New Roman" w:cs="Times New Roman"/>
                <w:sz w:val="24"/>
                <w:szCs w:val="24"/>
              </w:rPr>
              <w:t>s 85,</w:t>
            </w:r>
            <w:r w:rsidR="005D1074">
              <w:rPr>
                <w:rFonts w:ascii="Times New Roman" w:hAnsi="Times New Roman" w:cs="Times New Roman"/>
                <w:sz w:val="24"/>
                <w:szCs w:val="24"/>
              </w:rPr>
              <w:t xml:space="preserve"> </w:t>
            </w:r>
            <w:r w:rsidR="00B13583">
              <w:rPr>
                <w:rFonts w:ascii="Times New Roman" w:hAnsi="Times New Roman" w:cs="Times New Roman"/>
                <w:sz w:val="24"/>
                <w:szCs w:val="24"/>
              </w:rPr>
              <w:t>85T,</w:t>
            </w:r>
            <w:r w:rsidR="005D1074">
              <w:rPr>
                <w:rFonts w:ascii="Times New Roman" w:hAnsi="Times New Roman" w:cs="Times New Roman"/>
                <w:sz w:val="24"/>
                <w:szCs w:val="24"/>
              </w:rPr>
              <w:t xml:space="preserve"> </w:t>
            </w:r>
            <w:r w:rsidR="00B13583">
              <w:rPr>
                <w:rFonts w:ascii="Times New Roman" w:hAnsi="Times New Roman" w:cs="Times New Roman"/>
                <w:sz w:val="24"/>
                <w:szCs w:val="24"/>
              </w:rPr>
              <w:t>87,</w:t>
            </w:r>
            <w:r w:rsidR="005D1074">
              <w:rPr>
                <w:rFonts w:ascii="Times New Roman" w:hAnsi="Times New Roman" w:cs="Times New Roman"/>
                <w:sz w:val="24"/>
                <w:szCs w:val="24"/>
              </w:rPr>
              <w:t xml:space="preserve"> </w:t>
            </w:r>
            <w:r w:rsidR="00B13583">
              <w:rPr>
                <w:rFonts w:ascii="Times New Roman" w:hAnsi="Times New Roman" w:cs="Times New Roman"/>
                <w:sz w:val="24"/>
                <w:szCs w:val="24"/>
              </w:rPr>
              <w:t>&amp;</w:t>
            </w:r>
            <w:r>
              <w:rPr>
                <w:rFonts w:ascii="Times New Roman" w:hAnsi="Times New Roman" w:cs="Times New Roman"/>
                <w:sz w:val="24"/>
                <w:szCs w:val="24"/>
              </w:rPr>
              <w:t xml:space="preserve"> 87</w:t>
            </w:r>
            <w:r w:rsidR="00B13583">
              <w:rPr>
                <w:rFonts w:ascii="Times New Roman" w:hAnsi="Times New Roman" w:cs="Times New Roman"/>
                <w:sz w:val="24"/>
                <w:szCs w:val="24"/>
              </w:rPr>
              <w:t>T</w:t>
            </w:r>
          </w:p>
        </w:tc>
        <w:tc>
          <w:tcPr>
            <w:tcW w:w="892" w:type="pct"/>
            <w:tcBorders>
              <w:top w:val="nil"/>
              <w:left w:val="nil"/>
              <w:bottom w:val="single" w:sz="18" w:space="0" w:color="auto"/>
              <w:right w:val="single" w:sz="8" w:space="0" w:color="auto"/>
            </w:tcBorders>
            <w:tcMar>
              <w:top w:w="0" w:type="dxa"/>
              <w:left w:w="108" w:type="dxa"/>
              <w:bottom w:w="0" w:type="dxa"/>
              <w:right w:w="108" w:type="dxa"/>
            </w:tcMar>
          </w:tcPr>
          <w:p w14:paraId="741870F8" w14:textId="73C75592" w:rsidR="00F1631C" w:rsidRDefault="00491656" w:rsidP="00195A46">
            <w:pPr>
              <w:autoSpaceDE w:val="0"/>
              <w:autoSpaceDN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195A46">
              <w:rPr>
                <w:rFonts w:ascii="Times New Roman" w:eastAsiaTheme="minorHAnsi" w:hAnsi="Times New Roman" w:cs="Times New Roman"/>
                <w:sz w:val="24"/>
                <w:szCs w:val="24"/>
              </w:rPr>
              <w:t>41,998</w:t>
            </w:r>
          </w:p>
        </w:tc>
        <w:tc>
          <w:tcPr>
            <w:tcW w:w="821" w:type="pct"/>
            <w:tcBorders>
              <w:top w:val="nil"/>
              <w:left w:val="nil"/>
              <w:bottom w:val="single" w:sz="18" w:space="0" w:color="auto"/>
              <w:right w:val="single" w:sz="8" w:space="0" w:color="auto"/>
            </w:tcBorders>
            <w:tcMar>
              <w:top w:w="0" w:type="dxa"/>
              <w:left w:w="108" w:type="dxa"/>
              <w:bottom w:w="0" w:type="dxa"/>
              <w:right w:w="108" w:type="dxa"/>
            </w:tcMar>
          </w:tcPr>
          <w:p w14:paraId="741870F9" w14:textId="630D6D55" w:rsidR="00F1631C" w:rsidRDefault="00771BBC" w:rsidP="00771BBC">
            <w:pPr>
              <w:autoSpaceDE w:val="0"/>
              <w:autoSpaceDN w:val="0"/>
              <w:spacing w:line="218"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865" w:type="pct"/>
            <w:tcBorders>
              <w:top w:val="nil"/>
              <w:left w:val="nil"/>
              <w:bottom w:val="single" w:sz="18" w:space="0" w:color="auto"/>
              <w:right w:val="single" w:sz="8" w:space="0" w:color="auto"/>
            </w:tcBorders>
            <w:tcMar>
              <w:top w:w="0" w:type="dxa"/>
              <w:left w:w="108" w:type="dxa"/>
              <w:bottom w:w="0" w:type="dxa"/>
              <w:right w:w="108" w:type="dxa"/>
            </w:tcMar>
          </w:tcPr>
          <w:p w14:paraId="741870FA" w14:textId="6201AD0F" w:rsidR="00F1631C" w:rsidRDefault="00195A46" w:rsidP="00195A46">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$41,998</w:t>
            </w:r>
          </w:p>
        </w:tc>
        <w:tc>
          <w:tcPr>
            <w:tcW w:w="717" w:type="pct"/>
            <w:tcBorders>
              <w:top w:val="nil"/>
              <w:left w:val="nil"/>
              <w:bottom w:val="single" w:sz="18" w:space="0" w:color="auto"/>
              <w:right w:val="single" w:sz="8" w:space="0" w:color="auto"/>
            </w:tcBorders>
            <w:tcMar>
              <w:top w:w="0" w:type="dxa"/>
              <w:left w:w="108" w:type="dxa"/>
              <w:bottom w:w="0" w:type="dxa"/>
              <w:right w:w="108" w:type="dxa"/>
            </w:tcMar>
          </w:tcPr>
          <w:p w14:paraId="741870FB" w14:textId="6198F40F" w:rsidR="00F1631C" w:rsidRDefault="00522B1D" w:rsidP="00C90F8D">
            <w:pPr>
              <w:autoSpaceDE w:val="0"/>
              <w:autoSpaceDN w:val="0"/>
              <w:spacing w:line="218"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02747A" w14:paraId="74187100" w14:textId="77777777" w:rsidTr="00406925">
        <w:trPr>
          <w:jc w:val="center"/>
        </w:trPr>
        <w:tc>
          <w:tcPr>
            <w:tcW w:w="341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870FD" w14:textId="77777777" w:rsidR="00F1631C" w:rsidRDefault="00F1631C" w:rsidP="00C90F8D">
            <w:pPr>
              <w:autoSpaceDE w:val="0"/>
              <w:autoSpaceDN w:val="0"/>
              <w:spacing w:line="218" w:lineRule="auto"/>
              <w:rPr>
                <w:rFonts w:ascii="Times New Roman" w:eastAsiaTheme="minorHAnsi" w:hAnsi="Times New Roman" w:cs="Times New Roman"/>
                <w:sz w:val="24"/>
                <w:szCs w:val="24"/>
              </w:rPr>
            </w:pPr>
            <w:r>
              <w:rPr>
                <w:rFonts w:ascii="Times New Roman" w:hAnsi="Times New Roman" w:cs="Times New Roman"/>
                <w:sz w:val="24"/>
                <w:szCs w:val="24"/>
              </w:rPr>
              <w:t>Total</w:t>
            </w:r>
          </w:p>
        </w:tc>
        <w:tc>
          <w:tcPr>
            <w:tcW w:w="865" w:type="pct"/>
            <w:tcBorders>
              <w:top w:val="nil"/>
              <w:left w:val="nil"/>
              <w:bottom w:val="single" w:sz="18" w:space="0" w:color="auto"/>
              <w:right w:val="single" w:sz="8" w:space="0" w:color="auto"/>
            </w:tcBorders>
            <w:tcMar>
              <w:top w:w="0" w:type="dxa"/>
              <w:left w:w="108" w:type="dxa"/>
              <w:bottom w:w="0" w:type="dxa"/>
              <w:right w:w="108" w:type="dxa"/>
            </w:tcMar>
          </w:tcPr>
          <w:p w14:paraId="741870FE" w14:textId="7558FD86" w:rsidR="00F1631C" w:rsidRDefault="00195A46" w:rsidP="00C90F8D">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$(985,557)</w:t>
            </w:r>
          </w:p>
        </w:tc>
        <w:tc>
          <w:tcPr>
            <w:tcW w:w="717" w:type="pct"/>
            <w:tcBorders>
              <w:top w:val="nil"/>
              <w:left w:val="nil"/>
              <w:bottom w:val="single" w:sz="18" w:space="0" w:color="auto"/>
              <w:right w:val="single" w:sz="8" w:space="0" w:color="auto"/>
            </w:tcBorders>
            <w:tcMar>
              <w:top w:w="0" w:type="dxa"/>
              <w:left w:w="108" w:type="dxa"/>
              <w:bottom w:w="0" w:type="dxa"/>
              <w:right w:w="108" w:type="dxa"/>
            </w:tcMar>
          </w:tcPr>
          <w:p w14:paraId="741870FF" w14:textId="78037692" w:rsidR="00F1631C" w:rsidRDefault="00195A46" w:rsidP="00C90F8D">
            <w:pPr>
              <w:autoSpaceDE w:val="0"/>
              <w:autoSpaceDN w:val="0"/>
              <w:spacing w:line="218"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-0.11%</w:t>
            </w:r>
          </w:p>
        </w:tc>
      </w:tr>
    </w:tbl>
    <w:p w14:paraId="7B35BAD8" w14:textId="0ECA3838" w:rsidR="004D33F0" w:rsidRPr="00522B1D" w:rsidRDefault="00522B1D" w:rsidP="00406925">
      <w:pPr>
        <w:tabs>
          <w:tab w:val="left" w:pos="990"/>
        </w:tabs>
        <w:spacing w:after="0" w:line="240" w:lineRule="auto"/>
        <w:rPr>
          <w:rFonts w:ascii="Times New Roman" w:hAnsi="Times New Roman" w:cs="Times New Roman"/>
          <w:sz w:val="20"/>
          <w:szCs w:val="20"/>
        </w:rPr>
      </w:pPr>
      <w:r w:rsidRPr="00522B1D">
        <w:rPr>
          <w:rFonts w:ascii="Times New Roman" w:hAnsi="Times New Roman" w:cs="Times New Roman"/>
          <w:sz w:val="20"/>
          <w:szCs w:val="20"/>
        </w:rPr>
        <w:t>*Schedules 85, 85T, 87, and 87T were removed from the non-residential schedule calculation this year, therefore, there is no</w:t>
      </w:r>
      <w:r w:rsidR="00195A46">
        <w:rPr>
          <w:rFonts w:ascii="Times New Roman" w:hAnsi="Times New Roman" w:cs="Times New Roman"/>
          <w:sz w:val="20"/>
          <w:szCs w:val="20"/>
        </w:rPr>
        <w:t xml:space="preserve"> K-factor</w:t>
      </w:r>
      <w:r w:rsidR="00771BBC">
        <w:rPr>
          <w:rFonts w:ascii="Times New Roman" w:hAnsi="Times New Roman" w:cs="Times New Roman"/>
          <w:sz w:val="20"/>
          <w:szCs w:val="20"/>
        </w:rPr>
        <w:t xml:space="preserve"> increase </w:t>
      </w:r>
      <w:r w:rsidR="00195A46">
        <w:rPr>
          <w:rFonts w:ascii="Times New Roman" w:hAnsi="Times New Roman" w:cs="Times New Roman"/>
          <w:sz w:val="20"/>
          <w:szCs w:val="20"/>
        </w:rPr>
        <w:t>relative to a previous year</w:t>
      </w:r>
      <w:r w:rsidR="00771BBC">
        <w:rPr>
          <w:rFonts w:ascii="Times New Roman" w:hAnsi="Times New Roman" w:cs="Times New Roman"/>
          <w:sz w:val="20"/>
          <w:szCs w:val="20"/>
        </w:rPr>
        <w:t>.</w:t>
      </w:r>
    </w:p>
    <w:p w14:paraId="43D7BCFD" w14:textId="77777777" w:rsidR="00522B1D" w:rsidRDefault="00522B1D" w:rsidP="00406925">
      <w:pPr>
        <w:tabs>
          <w:tab w:val="left" w:pos="990"/>
        </w:tabs>
        <w:spacing w:after="0" w:line="240" w:lineRule="auto"/>
        <w:rPr>
          <w:rFonts w:ascii="Times New Roman" w:hAnsi="Times New Roman" w:cs="Times New Roman"/>
          <w:sz w:val="24"/>
          <w:szCs w:val="24"/>
        </w:rPr>
      </w:pPr>
    </w:p>
    <w:p w14:paraId="74187102" w14:textId="05A1F125" w:rsidR="002D23B5" w:rsidRDefault="00463CA7" w:rsidP="00406925">
      <w:pPr>
        <w:tabs>
          <w:tab w:val="left" w:pos="990"/>
        </w:tabs>
        <w:spacing w:after="0" w:line="240" w:lineRule="auto"/>
        <w:rPr>
          <w:rFonts w:ascii="Times New Roman" w:hAnsi="Times New Roman" w:cs="Times New Roman"/>
          <w:b/>
          <w:sz w:val="24"/>
          <w:szCs w:val="24"/>
        </w:rPr>
      </w:pPr>
      <w:r w:rsidRPr="00463CA7">
        <w:rPr>
          <w:rFonts w:ascii="Times New Roman" w:hAnsi="Times New Roman" w:cs="Times New Roman"/>
          <w:sz w:val="24"/>
          <w:szCs w:val="24"/>
        </w:rPr>
        <w:t>Table 4.</w:t>
      </w:r>
      <w:r>
        <w:rPr>
          <w:rFonts w:ascii="Times New Roman" w:hAnsi="Times New Roman" w:cs="Times New Roman"/>
          <w:b/>
          <w:sz w:val="24"/>
          <w:szCs w:val="24"/>
        </w:rPr>
        <w:tab/>
      </w:r>
      <w:r>
        <w:rPr>
          <w:rFonts w:ascii="Times New Roman" w:hAnsi="Times New Roman" w:cs="Times New Roman"/>
          <w:sz w:val="24"/>
          <w:szCs w:val="24"/>
        </w:rPr>
        <w:t>Rate Impacts</w:t>
      </w:r>
    </w:p>
    <w:tbl>
      <w:tblPr>
        <w:tblW w:w="4177" w:type="pct"/>
        <w:tblInd w:w="108" w:type="dxa"/>
        <w:tblCellMar>
          <w:left w:w="0" w:type="dxa"/>
          <w:right w:w="0" w:type="dxa"/>
        </w:tblCellMar>
        <w:tblLook w:val="04A0" w:firstRow="1" w:lastRow="0" w:firstColumn="1" w:lastColumn="0" w:noHBand="0" w:noVBand="1"/>
      </w:tblPr>
      <w:tblGrid>
        <w:gridCol w:w="2970"/>
        <w:gridCol w:w="1774"/>
        <w:gridCol w:w="1771"/>
        <w:gridCol w:w="1485"/>
      </w:tblGrid>
      <w:tr w:rsidR="002D23B5" w14:paraId="74187107" w14:textId="77777777" w:rsidTr="00406925">
        <w:trPr>
          <w:trHeight w:val="790"/>
        </w:trPr>
        <w:tc>
          <w:tcPr>
            <w:tcW w:w="18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187103" w14:textId="77777777" w:rsidR="002D23B5" w:rsidRDefault="002D23B5" w:rsidP="00406925">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Schedule Classes</w:t>
            </w:r>
          </w:p>
        </w:tc>
        <w:tc>
          <w:tcPr>
            <w:tcW w:w="11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104" w14:textId="77777777" w:rsidR="002D23B5" w:rsidRDefault="002D23B5" w:rsidP="00406925">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Current Rate</w:t>
            </w:r>
          </w:p>
        </w:tc>
        <w:tc>
          <w:tcPr>
            <w:tcW w:w="11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105" w14:textId="77777777" w:rsidR="002D23B5" w:rsidRDefault="002D23B5" w:rsidP="00406925">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New Rate</w:t>
            </w:r>
          </w:p>
        </w:tc>
        <w:tc>
          <w:tcPr>
            <w:tcW w:w="9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4187106" w14:textId="77777777" w:rsidR="002D23B5" w:rsidRDefault="002D23B5" w:rsidP="00406925">
            <w:pPr>
              <w:autoSpaceDE w:val="0"/>
              <w:autoSpaceDN w:val="0"/>
              <w:spacing w:line="218"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Net Change</w:t>
            </w:r>
          </w:p>
        </w:tc>
      </w:tr>
      <w:tr w:rsidR="002D23B5" w14:paraId="7418710C" w14:textId="77777777" w:rsidTr="00406925">
        <w:tc>
          <w:tcPr>
            <w:tcW w:w="1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187108" w14:textId="77777777" w:rsidR="002D23B5" w:rsidRDefault="002D23B5" w:rsidP="00406925">
            <w:pPr>
              <w:autoSpaceDE w:val="0"/>
              <w:autoSpaceDN w:val="0"/>
              <w:spacing w:line="218" w:lineRule="auto"/>
              <w:rPr>
                <w:rFonts w:ascii="Times New Roman" w:eastAsiaTheme="minorHAnsi" w:hAnsi="Times New Roman" w:cs="Times New Roman"/>
                <w:sz w:val="24"/>
                <w:szCs w:val="24"/>
              </w:rPr>
            </w:pPr>
            <w:r>
              <w:rPr>
                <w:rFonts w:ascii="Times New Roman" w:hAnsi="Times New Roman" w:cs="Times New Roman"/>
                <w:sz w:val="24"/>
                <w:szCs w:val="24"/>
              </w:rPr>
              <w:t>Residential schedules</w:t>
            </w:r>
          </w:p>
        </w:tc>
        <w:tc>
          <w:tcPr>
            <w:tcW w:w="1109" w:type="pct"/>
            <w:tcBorders>
              <w:top w:val="nil"/>
              <w:left w:val="nil"/>
              <w:bottom w:val="single" w:sz="8" w:space="0" w:color="auto"/>
              <w:right w:val="single" w:sz="8" w:space="0" w:color="auto"/>
            </w:tcBorders>
            <w:tcMar>
              <w:top w:w="0" w:type="dxa"/>
              <w:left w:w="108" w:type="dxa"/>
              <w:bottom w:w="0" w:type="dxa"/>
              <w:right w:w="108" w:type="dxa"/>
            </w:tcMar>
            <w:vAlign w:val="center"/>
          </w:tcPr>
          <w:p w14:paraId="74187109" w14:textId="77777777" w:rsidR="002D23B5" w:rsidRDefault="002D23B5" w:rsidP="003564AB">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$0.02101</w:t>
            </w:r>
          </w:p>
        </w:tc>
        <w:tc>
          <w:tcPr>
            <w:tcW w:w="1107" w:type="pct"/>
            <w:tcBorders>
              <w:top w:val="nil"/>
              <w:left w:val="nil"/>
              <w:bottom w:val="single" w:sz="8" w:space="0" w:color="auto"/>
              <w:right w:val="single" w:sz="8" w:space="0" w:color="auto"/>
            </w:tcBorders>
            <w:tcMar>
              <w:top w:w="0" w:type="dxa"/>
              <w:left w:w="108" w:type="dxa"/>
              <w:bottom w:w="0" w:type="dxa"/>
              <w:right w:w="108" w:type="dxa"/>
            </w:tcMar>
          </w:tcPr>
          <w:p w14:paraId="7418710A" w14:textId="77777777" w:rsidR="002D23B5" w:rsidRDefault="002D23B5" w:rsidP="003564AB">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$0.00677</w:t>
            </w:r>
          </w:p>
        </w:tc>
        <w:tc>
          <w:tcPr>
            <w:tcW w:w="928" w:type="pct"/>
            <w:tcBorders>
              <w:top w:val="nil"/>
              <w:left w:val="nil"/>
              <w:bottom w:val="single" w:sz="8" w:space="0" w:color="auto"/>
              <w:right w:val="single" w:sz="8" w:space="0" w:color="auto"/>
            </w:tcBorders>
            <w:tcMar>
              <w:top w:w="0" w:type="dxa"/>
              <w:left w:w="108" w:type="dxa"/>
              <w:bottom w:w="0" w:type="dxa"/>
              <w:right w:w="108" w:type="dxa"/>
            </w:tcMar>
          </w:tcPr>
          <w:p w14:paraId="7418710B" w14:textId="77777777" w:rsidR="002D23B5" w:rsidRDefault="002D23B5" w:rsidP="003564AB">
            <w:pPr>
              <w:autoSpaceDE w:val="0"/>
              <w:autoSpaceDN w:val="0"/>
              <w:spacing w:line="218"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$(0.01424)</w:t>
            </w:r>
          </w:p>
        </w:tc>
      </w:tr>
      <w:tr w:rsidR="002D23B5" w14:paraId="74187111" w14:textId="77777777" w:rsidTr="00406925">
        <w:tc>
          <w:tcPr>
            <w:tcW w:w="1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18710D" w14:textId="77777777" w:rsidR="002D23B5" w:rsidRDefault="002D23B5" w:rsidP="00406925">
            <w:pPr>
              <w:autoSpaceDE w:val="0"/>
              <w:autoSpaceDN w:val="0"/>
              <w:spacing w:line="218" w:lineRule="auto"/>
              <w:rPr>
                <w:rFonts w:ascii="Times New Roman" w:eastAsiaTheme="minorHAnsi" w:hAnsi="Times New Roman" w:cs="Times New Roman"/>
                <w:sz w:val="24"/>
                <w:szCs w:val="24"/>
              </w:rPr>
            </w:pPr>
            <w:r>
              <w:rPr>
                <w:rFonts w:ascii="Times New Roman" w:hAnsi="Times New Roman" w:cs="Times New Roman"/>
                <w:sz w:val="24"/>
                <w:szCs w:val="24"/>
              </w:rPr>
              <w:t>Non-residential schedules</w:t>
            </w:r>
          </w:p>
        </w:tc>
        <w:tc>
          <w:tcPr>
            <w:tcW w:w="1109" w:type="pct"/>
            <w:tcBorders>
              <w:top w:val="nil"/>
              <w:left w:val="nil"/>
              <w:bottom w:val="single" w:sz="8" w:space="0" w:color="auto"/>
              <w:right w:val="single" w:sz="8" w:space="0" w:color="auto"/>
            </w:tcBorders>
            <w:tcMar>
              <w:top w:w="0" w:type="dxa"/>
              <w:left w:w="108" w:type="dxa"/>
              <w:bottom w:w="0" w:type="dxa"/>
              <w:right w:w="108" w:type="dxa"/>
            </w:tcMar>
            <w:vAlign w:val="center"/>
          </w:tcPr>
          <w:p w14:paraId="7418710E" w14:textId="77777777" w:rsidR="002D23B5" w:rsidRDefault="005E2E3D" w:rsidP="005E2E3D">
            <w:pPr>
              <w:autoSpaceDE w:val="0"/>
              <w:autoSpaceDN w:val="0"/>
              <w:spacing w:line="218"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1107" w:type="pct"/>
            <w:tcBorders>
              <w:top w:val="nil"/>
              <w:left w:val="nil"/>
              <w:bottom w:val="single" w:sz="8" w:space="0" w:color="auto"/>
              <w:right w:val="single" w:sz="8" w:space="0" w:color="auto"/>
            </w:tcBorders>
            <w:tcMar>
              <w:top w:w="0" w:type="dxa"/>
              <w:left w:w="108" w:type="dxa"/>
              <w:bottom w:w="0" w:type="dxa"/>
              <w:right w:w="108" w:type="dxa"/>
            </w:tcMar>
          </w:tcPr>
          <w:p w14:paraId="7418710F" w14:textId="77777777" w:rsidR="002D23B5" w:rsidRDefault="005E2E3D" w:rsidP="005E2E3D">
            <w:pPr>
              <w:autoSpaceDE w:val="0"/>
              <w:autoSpaceDN w:val="0"/>
              <w:spacing w:line="218"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28" w:type="pct"/>
            <w:tcBorders>
              <w:top w:val="nil"/>
              <w:left w:val="nil"/>
              <w:bottom w:val="single" w:sz="8" w:space="0" w:color="auto"/>
              <w:right w:val="single" w:sz="8" w:space="0" w:color="auto"/>
            </w:tcBorders>
            <w:tcMar>
              <w:top w:w="0" w:type="dxa"/>
              <w:left w:w="108" w:type="dxa"/>
              <w:bottom w:w="0" w:type="dxa"/>
              <w:right w:w="108" w:type="dxa"/>
            </w:tcMar>
          </w:tcPr>
          <w:p w14:paraId="74187110" w14:textId="77777777" w:rsidR="002D23B5" w:rsidRDefault="005E2E3D" w:rsidP="005E2E3D">
            <w:pPr>
              <w:autoSpaceDE w:val="0"/>
              <w:autoSpaceDN w:val="0"/>
              <w:spacing w:line="218"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2D23B5" w14:paraId="74187116" w14:textId="77777777" w:rsidTr="00406925">
        <w:tc>
          <w:tcPr>
            <w:tcW w:w="1856" w:type="pct"/>
            <w:tcBorders>
              <w:top w:val="nil"/>
              <w:left w:val="single" w:sz="8" w:space="0" w:color="auto"/>
              <w:bottom w:val="single" w:sz="18" w:space="0" w:color="auto"/>
              <w:right w:val="single" w:sz="8" w:space="0" w:color="auto"/>
            </w:tcBorders>
            <w:tcMar>
              <w:top w:w="0" w:type="dxa"/>
              <w:left w:w="108" w:type="dxa"/>
              <w:bottom w:w="0" w:type="dxa"/>
              <w:right w:w="108" w:type="dxa"/>
            </w:tcMar>
            <w:vAlign w:val="bottom"/>
            <w:hideMark/>
          </w:tcPr>
          <w:p w14:paraId="74187112" w14:textId="77777777" w:rsidR="002D23B5" w:rsidRDefault="002D23B5" w:rsidP="00406925">
            <w:pPr>
              <w:autoSpaceDE w:val="0"/>
              <w:autoSpaceDN w:val="0"/>
              <w:spacing w:line="218" w:lineRule="auto"/>
              <w:rPr>
                <w:rFonts w:ascii="Times New Roman" w:eastAsiaTheme="minorHAnsi" w:hAnsi="Times New Roman" w:cs="Times New Roman"/>
                <w:sz w:val="24"/>
                <w:szCs w:val="24"/>
              </w:rPr>
            </w:pPr>
            <w:r>
              <w:rPr>
                <w:rFonts w:ascii="Times New Roman" w:hAnsi="Times New Roman" w:cs="Times New Roman"/>
                <w:sz w:val="24"/>
                <w:szCs w:val="24"/>
              </w:rPr>
              <w:t>Schedule 85, 85T, 87, 87T</w:t>
            </w:r>
          </w:p>
        </w:tc>
        <w:tc>
          <w:tcPr>
            <w:tcW w:w="1109" w:type="pct"/>
            <w:tcBorders>
              <w:top w:val="nil"/>
              <w:left w:val="nil"/>
              <w:bottom w:val="single" w:sz="18" w:space="0" w:color="auto"/>
              <w:right w:val="single" w:sz="8" w:space="0" w:color="auto"/>
            </w:tcBorders>
            <w:tcMar>
              <w:top w:w="0" w:type="dxa"/>
              <w:left w:w="108" w:type="dxa"/>
              <w:bottom w:w="0" w:type="dxa"/>
              <w:right w:w="108" w:type="dxa"/>
            </w:tcMar>
          </w:tcPr>
          <w:p w14:paraId="74187113" w14:textId="77777777" w:rsidR="002D23B5" w:rsidRDefault="005E2E3D" w:rsidP="005E2E3D">
            <w:pPr>
              <w:autoSpaceDE w:val="0"/>
              <w:autoSpaceDN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1107" w:type="pct"/>
            <w:tcBorders>
              <w:top w:val="nil"/>
              <w:left w:val="nil"/>
              <w:bottom w:val="single" w:sz="18" w:space="0" w:color="auto"/>
              <w:right w:val="single" w:sz="8" w:space="0" w:color="auto"/>
            </w:tcBorders>
            <w:tcMar>
              <w:top w:w="0" w:type="dxa"/>
              <w:left w:w="108" w:type="dxa"/>
              <w:bottom w:w="0" w:type="dxa"/>
              <w:right w:w="108" w:type="dxa"/>
            </w:tcMar>
          </w:tcPr>
          <w:p w14:paraId="74187114" w14:textId="77777777" w:rsidR="002D23B5" w:rsidRDefault="005E2E3D" w:rsidP="005E2E3D">
            <w:pPr>
              <w:autoSpaceDE w:val="0"/>
              <w:autoSpaceDN w:val="0"/>
              <w:spacing w:line="218"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28" w:type="pct"/>
            <w:tcBorders>
              <w:top w:val="nil"/>
              <w:left w:val="nil"/>
              <w:bottom w:val="single" w:sz="18" w:space="0" w:color="auto"/>
              <w:right w:val="single" w:sz="8" w:space="0" w:color="auto"/>
            </w:tcBorders>
            <w:tcMar>
              <w:top w:w="0" w:type="dxa"/>
              <w:left w:w="108" w:type="dxa"/>
              <w:bottom w:w="0" w:type="dxa"/>
              <w:right w:w="108" w:type="dxa"/>
            </w:tcMar>
          </w:tcPr>
          <w:p w14:paraId="74187115" w14:textId="77777777" w:rsidR="002D23B5" w:rsidRDefault="005E2E3D" w:rsidP="005E2E3D">
            <w:pPr>
              <w:autoSpaceDE w:val="0"/>
              <w:autoSpaceDN w:val="0"/>
              <w:spacing w:line="218"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bl>
    <w:p w14:paraId="74187117" w14:textId="77777777" w:rsidR="002D23B5" w:rsidRPr="005E2E3D" w:rsidRDefault="005E2E3D" w:rsidP="00F00771">
      <w:pPr>
        <w:spacing w:after="0" w:line="240" w:lineRule="auto"/>
        <w:rPr>
          <w:rFonts w:ascii="Times New Roman" w:hAnsi="Times New Roman" w:cs="Times New Roman"/>
          <w:sz w:val="20"/>
          <w:szCs w:val="20"/>
        </w:rPr>
      </w:pPr>
      <w:r w:rsidRPr="005E2E3D">
        <w:rPr>
          <w:rFonts w:ascii="Times New Roman" w:hAnsi="Times New Roman" w:cs="Times New Roman"/>
          <w:sz w:val="20"/>
          <w:szCs w:val="20"/>
        </w:rPr>
        <w:t>*Rates vary by block. Please see attachment</w:t>
      </w:r>
      <w:r w:rsidR="00D217EF">
        <w:rPr>
          <w:rFonts w:ascii="Times New Roman" w:hAnsi="Times New Roman" w:cs="Times New Roman"/>
          <w:sz w:val="20"/>
          <w:szCs w:val="20"/>
        </w:rPr>
        <w:t xml:space="preserve"> 1</w:t>
      </w:r>
      <w:r w:rsidRPr="005E2E3D">
        <w:rPr>
          <w:rFonts w:ascii="Times New Roman" w:hAnsi="Times New Roman" w:cs="Times New Roman"/>
          <w:sz w:val="20"/>
          <w:szCs w:val="20"/>
        </w:rPr>
        <w:t xml:space="preserve"> for </w:t>
      </w:r>
      <w:r w:rsidR="00D217EF">
        <w:rPr>
          <w:rFonts w:ascii="Times New Roman" w:hAnsi="Times New Roman" w:cs="Times New Roman"/>
          <w:sz w:val="20"/>
          <w:szCs w:val="20"/>
        </w:rPr>
        <w:t>rate impacts by schedule block</w:t>
      </w:r>
      <w:r w:rsidRPr="005E2E3D">
        <w:rPr>
          <w:rFonts w:ascii="Times New Roman" w:hAnsi="Times New Roman" w:cs="Times New Roman"/>
          <w:sz w:val="20"/>
          <w:szCs w:val="20"/>
        </w:rPr>
        <w:t>.</w:t>
      </w:r>
    </w:p>
    <w:p w14:paraId="74187118" w14:textId="77777777" w:rsidR="005E2E3D" w:rsidRDefault="005E2E3D" w:rsidP="00F00771">
      <w:pPr>
        <w:spacing w:after="0" w:line="240" w:lineRule="auto"/>
        <w:rPr>
          <w:rFonts w:ascii="Times New Roman" w:hAnsi="Times New Roman" w:cs="Times New Roman"/>
          <w:b/>
          <w:sz w:val="24"/>
          <w:szCs w:val="24"/>
        </w:rPr>
      </w:pPr>
    </w:p>
    <w:p w14:paraId="74187119" w14:textId="3CE490E0" w:rsidR="00F877E3" w:rsidRPr="00195B3C" w:rsidRDefault="00195B3C" w:rsidP="00195B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Non-residential </w:t>
      </w:r>
      <w:r w:rsidR="00104338">
        <w:rPr>
          <w:rFonts w:ascii="Times New Roman" w:hAnsi="Times New Roman" w:cs="Times New Roman"/>
          <w:sz w:val="24"/>
          <w:szCs w:val="24"/>
        </w:rPr>
        <w:t xml:space="preserve">natural gas </w:t>
      </w:r>
      <w:r>
        <w:rPr>
          <w:rFonts w:ascii="Times New Roman" w:hAnsi="Times New Roman" w:cs="Times New Roman"/>
          <w:sz w:val="24"/>
          <w:szCs w:val="24"/>
        </w:rPr>
        <w:t xml:space="preserve">customers are particularly impacted by this filing. The change of overall revenue impacts is a 2.65 percent increase, but this includes the natural gas commodity revenue, which is unaffected by decoupling. The settlement agreement’s </w:t>
      </w:r>
      <w:r w:rsidR="000327E2">
        <w:rPr>
          <w:rFonts w:ascii="Times New Roman" w:hAnsi="Times New Roman" w:cs="Times New Roman"/>
          <w:sz w:val="24"/>
          <w:szCs w:val="24"/>
        </w:rPr>
        <w:t>3.0</w:t>
      </w:r>
      <w:r>
        <w:rPr>
          <w:rFonts w:ascii="Times New Roman" w:hAnsi="Times New Roman" w:cs="Times New Roman"/>
          <w:sz w:val="24"/>
          <w:szCs w:val="24"/>
        </w:rPr>
        <w:t xml:space="preserve"> percent cap on revenue increases only applies to the overall revenue.</w:t>
      </w:r>
    </w:p>
    <w:p w14:paraId="7418711A" w14:textId="77777777" w:rsidR="00476869" w:rsidRDefault="00476869" w:rsidP="00E53E62">
      <w:pPr>
        <w:spacing w:after="0" w:line="240" w:lineRule="auto"/>
        <w:rPr>
          <w:rFonts w:ascii="Times New Roman" w:hAnsi="Times New Roman" w:cs="Times New Roman"/>
          <w:sz w:val="24"/>
          <w:szCs w:val="24"/>
        </w:rPr>
      </w:pPr>
    </w:p>
    <w:p w14:paraId="63CA45DE" w14:textId="77777777" w:rsidR="004E4B0D" w:rsidRDefault="004E4B0D" w:rsidP="00E53E62">
      <w:pPr>
        <w:spacing w:after="0" w:line="240" w:lineRule="auto"/>
        <w:rPr>
          <w:rFonts w:ascii="Times New Roman" w:hAnsi="Times New Roman" w:cs="Times New Roman"/>
          <w:i/>
          <w:sz w:val="24"/>
          <w:szCs w:val="24"/>
        </w:rPr>
      </w:pPr>
    </w:p>
    <w:p w14:paraId="7418711B" w14:textId="77777777" w:rsidR="00C925EB" w:rsidRPr="00435D68" w:rsidRDefault="00435D68" w:rsidP="00E53E62">
      <w:pPr>
        <w:spacing w:after="0" w:line="240" w:lineRule="auto"/>
        <w:rPr>
          <w:rFonts w:ascii="Times New Roman" w:hAnsi="Times New Roman" w:cs="Times New Roman"/>
          <w:i/>
          <w:sz w:val="24"/>
          <w:szCs w:val="24"/>
        </w:rPr>
      </w:pPr>
      <w:r w:rsidRPr="00435D68">
        <w:rPr>
          <w:rFonts w:ascii="Times New Roman" w:hAnsi="Times New Roman" w:cs="Times New Roman"/>
          <w:i/>
          <w:sz w:val="24"/>
          <w:szCs w:val="24"/>
        </w:rPr>
        <w:t>Meeting other requirements</w:t>
      </w:r>
    </w:p>
    <w:p w14:paraId="7418711C" w14:textId="29EFC4A6" w:rsidR="00C925EB" w:rsidRPr="00435D68" w:rsidRDefault="00435D68" w:rsidP="00E53E62">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As stated previously,</w:t>
      </w:r>
      <w:r w:rsidR="00F15888">
        <w:rPr>
          <w:rFonts w:ascii="Times New Roman" w:hAnsi="Times New Roman" w:cs="Times New Roman"/>
          <w:sz w:val="24"/>
          <w:szCs w:val="24"/>
        </w:rPr>
        <w:t xml:space="preserve"> PSE is obliged to meet additional </w:t>
      </w:r>
      <w:r w:rsidR="000D6771">
        <w:rPr>
          <w:rFonts w:ascii="Times New Roman" w:hAnsi="Times New Roman" w:cs="Times New Roman"/>
          <w:sz w:val="24"/>
          <w:szCs w:val="24"/>
        </w:rPr>
        <w:t xml:space="preserve">settlement </w:t>
      </w:r>
      <w:r w:rsidR="00F15888">
        <w:rPr>
          <w:rFonts w:ascii="Times New Roman" w:hAnsi="Times New Roman" w:cs="Times New Roman"/>
          <w:sz w:val="24"/>
          <w:szCs w:val="24"/>
        </w:rPr>
        <w:t>requirements.</w:t>
      </w:r>
      <w:r>
        <w:rPr>
          <w:rFonts w:ascii="Times New Roman" w:hAnsi="Times New Roman" w:cs="Times New Roman"/>
          <w:sz w:val="24"/>
          <w:szCs w:val="24"/>
        </w:rPr>
        <w:t xml:space="preserve"> The biennial conservation </w:t>
      </w:r>
      <w:r w:rsidR="00245399">
        <w:rPr>
          <w:rFonts w:ascii="Times New Roman" w:hAnsi="Times New Roman" w:cs="Times New Roman"/>
          <w:sz w:val="24"/>
          <w:szCs w:val="24"/>
        </w:rPr>
        <w:t xml:space="preserve">plan filed in November 2013 included an additional </w:t>
      </w:r>
      <w:r>
        <w:rPr>
          <w:rFonts w:ascii="Times New Roman" w:hAnsi="Times New Roman" w:cs="Times New Roman"/>
          <w:sz w:val="24"/>
          <w:szCs w:val="24"/>
        </w:rPr>
        <w:t xml:space="preserve">five percent above its biennial conservation target. </w:t>
      </w:r>
      <w:r w:rsidRPr="00245399">
        <w:rPr>
          <w:rFonts w:ascii="Times New Roman" w:hAnsi="Times New Roman" w:cs="Times New Roman"/>
          <w:sz w:val="24"/>
          <w:szCs w:val="24"/>
        </w:rPr>
        <w:t xml:space="preserve">The company has </w:t>
      </w:r>
      <w:r w:rsidR="00245399" w:rsidRPr="00245399">
        <w:rPr>
          <w:rFonts w:ascii="Times New Roman" w:hAnsi="Times New Roman" w:cs="Times New Roman"/>
          <w:sz w:val="24"/>
          <w:szCs w:val="24"/>
        </w:rPr>
        <w:t>been</w:t>
      </w:r>
      <w:r w:rsidRPr="00245399">
        <w:rPr>
          <w:rFonts w:ascii="Times New Roman" w:hAnsi="Times New Roman" w:cs="Times New Roman"/>
          <w:sz w:val="24"/>
          <w:szCs w:val="24"/>
        </w:rPr>
        <w:t xml:space="preserve"> participating in the market transformation study of natural gas conservation by NEEA.</w:t>
      </w:r>
      <w:r w:rsidR="000327E2">
        <w:rPr>
          <w:rFonts w:ascii="Times New Roman" w:hAnsi="Times New Roman" w:cs="Times New Roman"/>
          <w:sz w:val="24"/>
          <w:szCs w:val="24"/>
        </w:rPr>
        <w:t xml:space="preserve"> The earnings test is based on</w:t>
      </w:r>
      <w:r w:rsidR="00AC124C">
        <w:rPr>
          <w:rFonts w:ascii="Times New Roman" w:hAnsi="Times New Roman" w:cs="Times New Roman"/>
          <w:sz w:val="24"/>
          <w:szCs w:val="24"/>
        </w:rPr>
        <w:t xml:space="preserve"> </w:t>
      </w:r>
      <w:r w:rsidR="00AB7D63">
        <w:rPr>
          <w:rFonts w:ascii="Times New Roman" w:hAnsi="Times New Roman" w:cs="Times New Roman"/>
          <w:sz w:val="24"/>
          <w:szCs w:val="24"/>
        </w:rPr>
        <w:t xml:space="preserve">the </w:t>
      </w:r>
      <w:r w:rsidR="00AC124C">
        <w:rPr>
          <w:rFonts w:ascii="Times New Roman" w:hAnsi="Times New Roman" w:cs="Times New Roman"/>
          <w:sz w:val="24"/>
          <w:szCs w:val="24"/>
        </w:rPr>
        <w:t>Commission Basis Reports</w:t>
      </w:r>
      <w:r w:rsidR="00753EF8">
        <w:rPr>
          <w:rFonts w:ascii="Times New Roman" w:hAnsi="Times New Roman" w:cs="Times New Roman"/>
          <w:sz w:val="24"/>
          <w:szCs w:val="24"/>
        </w:rPr>
        <w:t xml:space="preserve"> which are currently under review and have been delayed because the</w:t>
      </w:r>
      <w:r w:rsidR="00AC124C">
        <w:rPr>
          <w:rFonts w:ascii="Times New Roman" w:hAnsi="Times New Roman" w:cs="Times New Roman"/>
          <w:sz w:val="24"/>
          <w:szCs w:val="24"/>
        </w:rPr>
        <w:t xml:space="preserve"> company </w:t>
      </w:r>
      <w:r w:rsidR="00753EF8">
        <w:rPr>
          <w:rFonts w:ascii="Times New Roman" w:hAnsi="Times New Roman" w:cs="Times New Roman"/>
          <w:sz w:val="24"/>
          <w:szCs w:val="24"/>
        </w:rPr>
        <w:t xml:space="preserve">has not yet provided </w:t>
      </w:r>
      <w:r w:rsidR="00AC124C">
        <w:rPr>
          <w:rFonts w:ascii="Times New Roman" w:hAnsi="Times New Roman" w:cs="Times New Roman"/>
          <w:sz w:val="24"/>
          <w:szCs w:val="24"/>
        </w:rPr>
        <w:t>work papers. However, t</w:t>
      </w:r>
      <w:r w:rsidR="005E7069">
        <w:rPr>
          <w:rFonts w:ascii="Times New Roman" w:hAnsi="Times New Roman" w:cs="Times New Roman"/>
          <w:sz w:val="24"/>
          <w:szCs w:val="24"/>
        </w:rPr>
        <w:t xml:space="preserve">he </w:t>
      </w:r>
      <w:r w:rsidR="00AC124C">
        <w:rPr>
          <w:rFonts w:ascii="Times New Roman" w:hAnsi="Times New Roman" w:cs="Times New Roman"/>
          <w:sz w:val="24"/>
          <w:szCs w:val="24"/>
        </w:rPr>
        <w:t xml:space="preserve">initial </w:t>
      </w:r>
      <w:r w:rsidR="005E7069">
        <w:rPr>
          <w:rFonts w:ascii="Times New Roman" w:hAnsi="Times New Roman" w:cs="Times New Roman"/>
          <w:sz w:val="24"/>
          <w:szCs w:val="24"/>
        </w:rPr>
        <w:t>earnings test a</w:t>
      </w:r>
      <w:r w:rsidR="00C925EB">
        <w:rPr>
          <w:rFonts w:ascii="Times New Roman" w:hAnsi="Times New Roman" w:cs="Times New Roman"/>
          <w:sz w:val="24"/>
          <w:szCs w:val="24"/>
        </w:rPr>
        <w:t xml:space="preserve">nalysis shows that PSE did not earn </w:t>
      </w:r>
      <w:r w:rsidR="006E3687">
        <w:rPr>
          <w:rFonts w:ascii="Times New Roman" w:hAnsi="Times New Roman" w:cs="Times New Roman"/>
          <w:sz w:val="24"/>
          <w:szCs w:val="24"/>
        </w:rPr>
        <w:t xml:space="preserve">above </w:t>
      </w:r>
      <w:r w:rsidR="00C925EB">
        <w:rPr>
          <w:rFonts w:ascii="Times New Roman" w:hAnsi="Times New Roman" w:cs="Times New Roman"/>
          <w:sz w:val="24"/>
          <w:szCs w:val="24"/>
        </w:rPr>
        <w:t>i</w:t>
      </w:r>
      <w:r w:rsidR="00AC124C">
        <w:rPr>
          <w:rFonts w:ascii="Times New Roman" w:hAnsi="Times New Roman" w:cs="Times New Roman"/>
          <w:sz w:val="24"/>
          <w:szCs w:val="24"/>
        </w:rPr>
        <w:t>ts authorized</w:t>
      </w:r>
      <w:r w:rsidR="00C925EB">
        <w:rPr>
          <w:rFonts w:ascii="Times New Roman" w:hAnsi="Times New Roman" w:cs="Times New Roman"/>
          <w:sz w:val="24"/>
          <w:szCs w:val="24"/>
        </w:rPr>
        <w:t xml:space="preserve"> rat</w:t>
      </w:r>
      <w:r>
        <w:rPr>
          <w:rFonts w:ascii="Times New Roman" w:hAnsi="Times New Roman" w:cs="Times New Roman"/>
          <w:sz w:val="24"/>
          <w:szCs w:val="24"/>
        </w:rPr>
        <w:t>e of return</w:t>
      </w:r>
      <w:r w:rsidR="00C925EB">
        <w:rPr>
          <w:rFonts w:ascii="Times New Roman" w:hAnsi="Times New Roman" w:cs="Times New Roman"/>
          <w:sz w:val="24"/>
          <w:szCs w:val="24"/>
        </w:rPr>
        <w:t>.</w:t>
      </w:r>
      <w:r w:rsidR="005E7069">
        <w:rPr>
          <w:rFonts w:ascii="Times New Roman" w:hAnsi="Times New Roman" w:cs="Times New Roman"/>
          <w:sz w:val="24"/>
          <w:szCs w:val="24"/>
        </w:rPr>
        <w:t xml:space="preserve"> The company has been funding the low-income conservation with an</w:t>
      </w:r>
      <w:r w:rsidR="00245399">
        <w:rPr>
          <w:rFonts w:ascii="Times New Roman" w:hAnsi="Times New Roman" w:cs="Times New Roman"/>
          <w:sz w:val="24"/>
          <w:szCs w:val="24"/>
        </w:rPr>
        <w:t xml:space="preserve"> additional $500,000 per year, and funding low-income bill assistance with an additional $1,000,000 per year. </w:t>
      </w:r>
      <w:r w:rsidR="005E7069">
        <w:rPr>
          <w:rFonts w:ascii="Times New Roman" w:hAnsi="Times New Roman" w:cs="Times New Roman"/>
          <w:sz w:val="24"/>
          <w:szCs w:val="24"/>
        </w:rPr>
        <w:t>The company and staff are currently developing the request for proposal for a third party evaluation of the decoupling mechanisms</w:t>
      </w:r>
      <w:r w:rsidR="003F1A49">
        <w:rPr>
          <w:rFonts w:ascii="Times New Roman" w:hAnsi="Times New Roman" w:cs="Times New Roman"/>
          <w:sz w:val="24"/>
          <w:szCs w:val="24"/>
        </w:rPr>
        <w:t xml:space="preserve"> and will have the first report by the end of 2014</w:t>
      </w:r>
      <w:r w:rsidR="005E7069">
        <w:rPr>
          <w:rFonts w:ascii="Times New Roman" w:hAnsi="Times New Roman" w:cs="Times New Roman"/>
          <w:sz w:val="24"/>
          <w:szCs w:val="24"/>
        </w:rPr>
        <w:t>.</w:t>
      </w:r>
    </w:p>
    <w:p w14:paraId="7418711D" w14:textId="77777777" w:rsidR="002A7914" w:rsidRDefault="002A7914" w:rsidP="00175CC4">
      <w:pPr>
        <w:spacing w:after="0" w:line="240" w:lineRule="auto"/>
        <w:rPr>
          <w:rFonts w:ascii="Times New Roman" w:hAnsi="Times New Roman" w:cs="Times New Roman"/>
          <w:strike/>
          <w:sz w:val="24"/>
          <w:szCs w:val="24"/>
        </w:rPr>
      </w:pPr>
    </w:p>
    <w:p w14:paraId="7418711E" w14:textId="77777777" w:rsidR="00014439" w:rsidRDefault="00014439" w:rsidP="00491656">
      <w:pPr>
        <w:spacing w:after="0" w:line="240" w:lineRule="auto"/>
        <w:contextualSpacing/>
        <w:rPr>
          <w:rFonts w:ascii="Times New Roman" w:hAnsi="Times New Roman" w:cs="Times New Roman"/>
          <w:b/>
          <w:sz w:val="24"/>
          <w:szCs w:val="24"/>
          <w:u w:val="single"/>
        </w:rPr>
      </w:pPr>
      <w:r w:rsidRPr="002F3DAF">
        <w:rPr>
          <w:rFonts w:ascii="Times New Roman" w:hAnsi="Times New Roman" w:cs="Times New Roman"/>
          <w:b/>
          <w:sz w:val="24"/>
          <w:szCs w:val="24"/>
          <w:u w:val="single"/>
        </w:rPr>
        <w:t>Customer Comments</w:t>
      </w:r>
    </w:p>
    <w:p w14:paraId="6EF8F46F" w14:textId="77777777" w:rsidR="00840F7A" w:rsidRDefault="00840F7A" w:rsidP="00491656">
      <w:pPr>
        <w:spacing w:after="0" w:line="240" w:lineRule="auto"/>
        <w:contextualSpacing/>
        <w:rPr>
          <w:rFonts w:ascii="Times New Roman" w:hAnsi="Times New Roman" w:cs="Times New Roman"/>
          <w:b/>
          <w:sz w:val="24"/>
          <w:szCs w:val="24"/>
          <w:u w:val="single"/>
        </w:rPr>
      </w:pPr>
    </w:p>
    <w:p w14:paraId="7418711F" w14:textId="42BF11C4" w:rsidR="00014439" w:rsidRDefault="00014439" w:rsidP="00491656">
      <w:pPr>
        <w:spacing w:after="0" w:line="240" w:lineRule="auto"/>
        <w:contextualSpacing/>
        <w:rPr>
          <w:rFonts w:ascii="Times New Roman" w:hAnsi="Times New Roman"/>
          <w:sz w:val="24"/>
          <w:szCs w:val="24"/>
        </w:rPr>
      </w:pPr>
      <w:r>
        <w:rPr>
          <w:rFonts w:ascii="Times New Roman" w:hAnsi="Times New Roman"/>
          <w:sz w:val="24"/>
          <w:szCs w:val="24"/>
        </w:rPr>
        <w:t>On April 1, 2014, PSE notified its customers of the proposed rate increase by published notice in area</w:t>
      </w:r>
      <w:r w:rsidR="003564AB">
        <w:rPr>
          <w:rFonts w:ascii="Times New Roman" w:hAnsi="Times New Roman"/>
          <w:sz w:val="24"/>
          <w:szCs w:val="24"/>
        </w:rPr>
        <w:t xml:space="preserve"> newspapers. PSE also provided </w:t>
      </w:r>
      <w:r>
        <w:rPr>
          <w:rFonts w:ascii="Times New Roman" w:hAnsi="Times New Roman"/>
          <w:sz w:val="24"/>
          <w:szCs w:val="24"/>
        </w:rPr>
        <w:t xml:space="preserve">television stations, radio stations, and local newspapers with information about the filing. The commission received five customer comments on this filing; two opposed to the increase and three undecided. </w:t>
      </w:r>
    </w:p>
    <w:p w14:paraId="74187120" w14:textId="77777777" w:rsidR="00014439" w:rsidRDefault="00014439" w:rsidP="00491656">
      <w:pPr>
        <w:spacing w:after="0" w:line="240" w:lineRule="auto"/>
        <w:contextualSpacing/>
        <w:rPr>
          <w:rFonts w:ascii="Times New Roman" w:hAnsi="Times New Roman"/>
          <w:b/>
          <w:sz w:val="24"/>
          <w:szCs w:val="24"/>
        </w:rPr>
      </w:pPr>
    </w:p>
    <w:p w14:paraId="74187121" w14:textId="77777777" w:rsidR="00014439" w:rsidRPr="00014439" w:rsidRDefault="00014439" w:rsidP="00491656">
      <w:pPr>
        <w:spacing w:after="0" w:line="240" w:lineRule="auto"/>
        <w:contextualSpacing/>
        <w:rPr>
          <w:rFonts w:ascii="Times New Roman" w:hAnsi="Times New Roman"/>
          <w:sz w:val="24"/>
          <w:szCs w:val="24"/>
        </w:rPr>
      </w:pPr>
      <w:r w:rsidRPr="00014439">
        <w:rPr>
          <w:rFonts w:ascii="Times New Roman" w:hAnsi="Times New Roman"/>
          <w:sz w:val="24"/>
          <w:szCs w:val="24"/>
        </w:rPr>
        <w:t>General Comments</w:t>
      </w:r>
    </w:p>
    <w:p w14:paraId="74187122" w14:textId="77777777" w:rsidR="00014439" w:rsidRDefault="00014439" w:rsidP="00491656">
      <w:pPr>
        <w:pStyle w:val="ListParagraph"/>
        <w:numPr>
          <w:ilvl w:val="0"/>
          <w:numId w:val="6"/>
        </w:numPr>
        <w:spacing w:after="0" w:line="240" w:lineRule="auto"/>
        <w:rPr>
          <w:rFonts w:ascii="Times New Roman" w:hAnsi="Times New Roman"/>
          <w:sz w:val="24"/>
          <w:szCs w:val="24"/>
        </w:rPr>
      </w:pPr>
      <w:r w:rsidRPr="0015391C">
        <w:rPr>
          <w:rFonts w:ascii="Times New Roman" w:hAnsi="Times New Roman"/>
          <w:sz w:val="24"/>
          <w:szCs w:val="24"/>
        </w:rPr>
        <w:t xml:space="preserve">Five customers expressed frustration with the frequent rate increases. Increases are hurting senior citizens, people on fixed incomes, and average working class folks. </w:t>
      </w:r>
    </w:p>
    <w:p w14:paraId="37197242" w14:textId="77777777" w:rsidR="003564AB" w:rsidRPr="0015391C" w:rsidRDefault="003564AB" w:rsidP="003564AB">
      <w:pPr>
        <w:pStyle w:val="ListParagraph"/>
        <w:spacing w:after="0" w:line="240" w:lineRule="auto"/>
        <w:rPr>
          <w:rFonts w:ascii="Times New Roman" w:hAnsi="Times New Roman"/>
          <w:sz w:val="24"/>
          <w:szCs w:val="24"/>
        </w:rPr>
      </w:pPr>
    </w:p>
    <w:p w14:paraId="74187123" w14:textId="77777777" w:rsidR="00014439" w:rsidRPr="0015391C" w:rsidRDefault="00014439" w:rsidP="00491656">
      <w:pPr>
        <w:pStyle w:val="ListParagraph"/>
        <w:numPr>
          <w:ilvl w:val="0"/>
          <w:numId w:val="6"/>
        </w:numPr>
        <w:spacing w:after="0" w:line="240" w:lineRule="auto"/>
        <w:rPr>
          <w:rFonts w:ascii="Times New Roman" w:hAnsi="Times New Roman"/>
          <w:b/>
          <w:sz w:val="24"/>
          <w:szCs w:val="24"/>
        </w:rPr>
      </w:pPr>
      <w:r w:rsidRPr="0015391C">
        <w:rPr>
          <w:rFonts w:ascii="Times New Roman" w:hAnsi="Times New Roman"/>
          <w:sz w:val="24"/>
          <w:szCs w:val="24"/>
        </w:rPr>
        <w:t>Four customers questioned the need for an increase. They stated that PSE is focused on profit and its shareholders, and</w:t>
      </w:r>
      <w:r>
        <w:rPr>
          <w:rFonts w:ascii="Times New Roman" w:hAnsi="Times New Roman"/>
          <w:sz w:val="24"/>
          <w:szCs w:val="24"/>
        </w:rPr>
        <w:t xml:space="preserve"> t</w:t>
      </w:r>
      <w:r w:rsidRPr="0015391C">
        <w:rPr>
          <w:rFonts w:ascii="Times New Roman" w:hAnsi="Times New Roman"/>
          <w:sz w:val="24"/>
          <w:szCs w:val="24"/>
        </w:rPr>
        <w:t>here is adequate rainfall and hydro</w:t>
      </w:r>
      <w:r>
        <w:rPr>
          <w:rFonts w:ascii="Times New Roman" w:hAnsi="Times New Roman"/>
          <w:sz w:val="24"/>
          <w:szCs w:val="24"/>
        </w:rPr>
        <w:t>-</w:t>
      </w:r>
      <w:r w:rsidRPr="0015391C">
        <w:rPr>
          <w:rFonts w:ascii="Times New Roman" w:hAnsi="Times New Roman"/>
          <w:sz w:val="24"/>
          <w:szCs w:val="24"/>
        </w:rPr>
        <w:t>electric power.</w:t>
      </w:r>
    </w:p>
    <w:p w14:paraId="74187124" w14:textId="77777777" w:rsidR="00014439" w:rsidRDefault="00014439" w:rsidP="00491656">
      <w:pPr>
        <w:spacing w:after="0" w:line="240" w:lineRule="auto"/>
        <w:contextualSpacing/>
        <w:rPr>
          <w:rFonts w:ascii="Times New Roman" w:hAnsi="Times New Roman"/>
          <w:b/>
          <w:sz w:val="24"/>
          <w:szCs w:val="24"/>
        </w:rPr>
      </w:pPr>
    </w:p>
    <w:p w14:paraId="74187125" w14:textId="77777777" w:rsidR="00014439" w:rsidRPr="00014439" w:rsidRDefault="00014439" w:rsidP="00491656">
      <w:pPr>
        <w:spacing w:after="0" w:line="240" w:lineRule="auto"/>
        <w:ind w:left="720"/>
        <w:contextualSpacing/>
        <w:rPr>
          <w:rFonts w:ascii="Times New Roman" w:hAnsi="Times New Roman"/>
          <w:sz w:val="24"/>
          <w:szCs w:val="24"/>
        </w:rPr>
      </w:pPr>
      <w:r w:rsidRPr="00014439">
        <w:rPr>
          <w:rFonts w:ascii="Times New Roman" w:hAnsi="Times New Roman"/>
          <w:sz w:val="24"/>
          <w:szCs w:val="24"/>
        </w:rPr>
        <w:t>Staff Response:</w:t>
      </w:r>
    </w:p>
    <w:p w14:paraId="74187126" w14:textId="77777777" w:rsidR="00014439" w:rsidRDefault="00014439" w:rsidP="00491656">
      <w:pPr>
        <w:spacing w:after="0" w:line="240" w:lineRule="auto"/>
        <w:ind w:left="720"/>
        <w:contextualSpacing/>
        <w:rPr>
          <w:rFonts w:ascii="Times New Roman" w:hAnsi="Times New Roman"/>
          <w:sz w:val="24"/>
          <w:szCs w:val="24"/>
        </w:rPr>
      </w:pPr>
      <w:r>
        <w:rPr>
          <w:rFonts w:ascii="Times New Roman" w:hAnsi="Times New Roman"/>
          <w:sz w:val="24"/>
          <w:szCs w:val="24"/>
        </w:rPr>
        <w:t>Staff provided information on the ratemaking process and energy rates. Staff advised customers that state law requires rates to be fair and reasonable and sufficient to allow the company the opportunity to recover reasonable operating expenses and earn a reasonable return on investment. The commission cannot deny rates that are needed to cover company costs.</w:t>
      </w:r>
    </w:p>
    <w:p w14:paraId="74187127" w14:textId="77777777" w:rsidR="00014439" w:rsidRDefault="00014439" w:rsidP="00491656">
      <w:pPr>
        <w:spacing w:after="0" w:line="240" w:lineRule="auto"/>
        <w:contextualSpacing/>
        <w:rPr>
          <w:rFonts w:ascii="Times New Roman" w:hAnsi="Times New Roman"/>
          <w:sz w:val="24"/>
          <w:szCs w:val="24"/>
        </w:rPr>
      </w:pPr>
    </w:p>
    <w:p w14:paraId="74187128" w14:textId="77777777" w:rsidR="00014439" w:rsidRPr="00EF6476" w:rsidRDefault="00014439" w:rsidP="00491656">
      <w:pPr>
        <w:spacing w:after="0" w:line="240" w:lineRule="auto"/>
        <w:contextualSpacing/>
        <w:rPr>
          <w:rFonts w:ascii="Times New Roman" w:hAnsi="Times New Roman"/>
          <w:sz w:val="24"/>
          <w:szCs w:val="24"/>
        </w:rPr>
      </w:pPr>
      <w:r>
        <w:rPr>
          <w:rFonts w:ascii="Times New Roman" w:hAnsi="Times New Roman"/>
          <w:sz w:val="24"/>
          <w:szCs w:val="24"/>
        </w:rPr>
        <w:t>Staff also provided information to consumers about decoupling and conservation.</w:t>
      </w:r>
    </w:p>
    <w:p w14:paraId="74187129" w14:textId="77777777" w:rsidR="00CA7746" w:rsidRPr="00CA7746" w:rsidRDefault="00CA7746" w:rsidP="00491656">
      <w:pPr>
        <w:spacing w:after="0" w:line="240" w:lineRule="auto"/>
        <w:contextualSpacing/>
        <w:rPr>
          <w:rFonts w:ascii="Times New Roman" w:hAnsi="Times New Roman" w:cs="Times New Roman"/>
          <w:color w:val="FF0000"/>
          <w:sz w:val="24"/>
          <w:szCs w:val="24"/>
        </w:rPr>
      </w:pPr>
    </w:p>
    <w:p w14:paraId="7418712A" w14:textId="77777777" w:rsidR="00D61508" w:rsidRPr="005357D9" w:rsidRDefault="002A7914" w:rsidP="00175CC4">
      <w:pPr>
        <w:spacing w:after="0" w:line="240" w:lineRule="auto"/>
        <w:rPr>
          <w:rFonts w:ascii="Times New Roman" w:hAnsi="Times New Roman" w:cs="Times New Roman"/>
          <w:b/>
          <w:sz w:val="24"/>
          <w:szCs w:val="24"/>
          <w:u w:val="single"/>
        </w:rPr>
      </w:pPr>
      <w:r w:rsidRPr="005357D9">
        <w:rPr>
          <w:rFonts w:ascii="Times New Roman" w:hAnsi="Times New Roman" w:cs="Times New Roman"/>
          <w:b/>
          <w:sz w:val="24"/>
          <w:szCs w:val="24"/>
          <w:u w:val="single"/>
        </w:rPr>
        <w:t>Conclusion</w:t>
      </w:r>
    </w:p>
    <w:p w14:paraId="7418712B" w14:textId="77777777" w:rsidR="002A7914" w:rsidRPr="005357D9" w:rsidRDefault="002A7914" w:rsidP="00175CC4">
      <w:pPr>
        <w:spacing w:after="0" w:line="240" w:lineRule="auto"/>
        <w:rPr>
          <w:rFonts w:ascii="Times New Roman" w:hAnsi="Times New Roman" w:cs="Times New Roman"/>
          <w:b/>
          <w:sz w:val="24"/>
          <w:szCs w:val="24"/>
          <w:u w:val="single"/>
        </w:rPr>
      </w:pPr>
    </w:p>
    <w:p w14:paraId="7418712C" w14:textId="77777777" w:rsidR="005357D9" w:rsidRDefault="002A7914" w:rsidP="005357D9">
      <w:pPr>
        <w:spacing w:after="0" w:line="240" w:lineRule="auto"/>
        <w:rPr>
          <w:rFonts w:ascii="Times New Roman" w:hAnsi="Times New Roman" w:cs="Times New Roman"/>
          <w:sz w:val="24"/>
          <w:szCs w:val="24"/>
        </w:rPr>
      </w:pPr>
      <w:r w:rsidRPr="005357D9">
        <w:rPr>
          <w:rFonts w:ascii="Times New Roman" w:hAnsi="Times New Roman" w:cs="Times New Roman"/>
          <w:sz w:val="24"/>
          <w:szCs w:val="24"/>
        </w:rPr>
        <w:t xml:space="preserve">Staff recommends the commission take no action, thereby allowing </w:t>
      </w:r>
      <w:r w:rsidR="005357D9">
        <w:rPr>
          <w:rFonts w:ascii="Times New Roman" w:hAnsi="Times New Roman" w:cs="Times New Roman"/>
          <w:sz w:val="24"/>
          <w:szCs w:val="24"/>
        </w:rPr>
        <w:t>the tariff sheets filed by Puget Sound Energy in Dockets UE-140531 and UG-140533 to become effective May 1, 2014, by operation of law.</w:t>
      </w:r>
    </w:p>
    <w:p w14:paraId="7418712E" w14:textId="77777777" w:rsidR="00175CC4" w:rsidRPr="005357D9" w:rsidRDefault="00175CC4" w:rsidP="00175CC4">
      <w:pPr>
        <w:spacing w:line="240" w:lineRule="auto"/>
        <w:rPr>
          <w:rFonts w:ascii="Times New Roman" w:hAnsi="Times New Roman" w:cs="Times New Roman"/>
          <w:sz w:val="24"/>
          <w:szCs w:val="24"/>
        </w:rPr>
      </w:pPr>
    </w:p>
    <w:sectPr w:rsidR="00175CC4" w:rsidRPr="005357D9" w:rsidSect="002847BD">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87131" w14:textId="77777777" w:rsidR="00195A46" w:rsidRDefault="00195A46" w:rsidP="00426B44">
      <w:pPr>
        <w:spacing w:after="0" w:line="240" w:lineRule="auto"/>
      </w:pPr>
      <w:r>
        <w:separator/>
      </w:r>
    </w:p>
  </w:endnote>
  <w:endnote w:type="continuationSeparator" w:id="0">
    <w:p w14:paraId="74187132" w14:textId="77777777" w:rsidR="00195A46" w:rsidRDefault="00195A46" w:rsidP="0042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8712F" w14:textId="77777777" w:rsidR="00195A46" w:rsidRDefault="00195A46" w:rsidP="00426B44">
      <w:pPr>
        <w:spacing w:after="0" w:line="240" w:lineRule="auto"/>
      </w:pPr>
      <w:r>
        <w:separator/>
      </w:r>
    </w:p>
  </w:footnote>
  <w:footnote w:type="continuationSeparator" w:id="0">
    <w:p w14:paraId="74187130" w14:textId="77777777" w:rsidR="00195A46" w:rsidRDefault="00195A46" w:rsidP="00426B44">
      <w:pPr>
        <w:spacing w:after="0" w:line="240" w:lineRule="auto"/>
      </w:pPr>
      <w:r>
        <w:continuationSeparator/>
      </w:r>
    </w:p>
  </w:footnote>
  <w:footnote w:id="1">
    <w:p w14:paraId="74187138" w14:textId="54D430D6" w:rsidR="00195A46" w:rsidRPr="00673697" w:rsidRDefault="00195A46" w:rsidP="007A41BD">
      <w:pPr>
        <w:pStyle w:val="FootnoteText"/>
        <w:rPr>
          <w:rFonts w:ascii="Times New Roman" w:hAnsi="Times New Roman" w:cs="Times New Roman"/>
        </w:rPr>
      </w:pPr>
      <w:r w:rsidRPr="00673697">
        <w:rPr>
          <w:rStyle w:val="FootnoteReference"/>
          <w:rFonts w:ascii="Times New Roman" w:hAnsi="Times New Roman" w:cs="Times New Roman"/>
        </w:rPr>
        <w:footnoteRef/>
      </w:r>
      <w:r w:rsidRPr="00673697">
        <w:rPr>
          <w:rFonts w:ascii="Times New Roman" w:hAnsi="Times New Roman" w:cs="Times New Roman"/>
        </w:rPr>
        <w:t xml:space="preserve"> Consolidated </w:t>
      </w:r>
      <w:r>
        <w:rPr>
          <w:rFonts w:ascii="Times New Roman" w:hAnsi="Times New Roman" w:cs="Times New Roman"/>
        </w:rPr>
        <w:t>D</w:t>
      </w:r>
      <w:r w:rsidRPr="00673697">
        <w:rPr>
          <w:rFonts w:ascii="Times New Roman" w:hAnsi="Times New Roman" w:cs="Times New Roman"/>
        </w:rPr>
        <w:t xml:space="preserve">ockets UE-121697 and UG-121705, Final Order </w:t>
      </w:r>
      <w:r>
        <w:rPr>
          <w:rFonts w:ascii="Times New Roman" w:hAnsi="Times New Roman" w:cs="Times New Roman"/>
        </w:rPr>
        <w:t>0</w:t>
      </w:r>
      <w:r w:rsidRPr="00673697">
        <w:rPr>
          <w:rFonts w:ascii="Times New Roman" w:hAnsi="Times New Roman" w:cs="Times New Roman"/>
        </w:rPr>
        <w:t xml:space="preserve">7, at </w:t>
      </w:r>
      <w:r>
        <w:rPr>
          <w:rFonts w:ascii="Times New Roman" w:hAnsi="Times New Roman" w:cs="Times New Roman"/>
        </w:rPr>
        <w:t>¶ 237.</w:t>
      </w:r>
      <w:r w:rsidR="00A236F9">
        <w:rPr>
          <w:rFonts w:ascii="Times New Roman" w:hAnsi="Times New Roman" w:cs="Times New Roman"/>
        </w:rPr>
        <w:t xml:space="preserve"> June 25, 2013.</w:t>
      </w:r>
      <w:bookmarkStart w:id="0" w:name="_GoBack"/>
      <w:bookmarkEnd w:id="0"/>
    </w:p>
  </w:footnote>
  <w:footnote w:id="2">
    <w:p w14:paraId="74187139" w14:textId="3F39F4E6" w:rsidR="00195A46" w:rsidRPr="00673697" w:rsidRDefault="00195A46" w:rsidP="006B6D56">
      <w:pPr>
        <w:pStyle w:val="FootnoteText"/>
        <w:rPr>
          <w:rFonts w:ascii="Times New Roman" w:hAnsi="Times New Roman" w:cs="Times New Roman"/>
        </w:rPr>
      </w:pPr>
      <w:r w:rsidRPr="00673697">
        <w:rPr>
          <w:rStyle w:val="FootnoteReference"/>
          <w:rFonts w:ascii="Times New Roman" w:hAnsi="Times New Roman" w:cs="Times New Roman"/>
        </w:rPr>
        <w:footnoteRef/>
      </w:r>
      <w:r w:rsidRPr="00673697">
        <w:rPr>
          <w:rFonts w:ascii="Times New Roman" w:hAnsi="Times New Roman" w:cs="Times New Roman"/>
        </w:rPr>
        <w:t xml:space="preserve"> </w:t>
      </w:r>
      <w:r>
        <w:rPr>
          <w:rFonts w:ascii="Times New Roman" w:hAnsi="Times New Roman" w:cs="Times New Roman"/>
        </w:rPr>
        <w:t>Id.</w:t>
      </w:r>
      <w:r w:rsidRPr="00FB2F1F">
        <w:rPr>
          <w:rFonts w:ascii="Times New Roman" w:hAnsi="Times New Roman" w:cs="Times New Roman"/>
        </w:rPr>
        <w:t xml:space="preserve"> </w:t>
      </w:r>
      <w:r w:rsidRPr="00673697">
        <w:rPr>
          <w:rFonts w:ascii="Times New Roman" w:hAnsi="Times New Roman" w:cs="Times New Roman"/>
        </w:rPr>
        <w:t xml:space="preserve">at </w:t>
      </w:r>
      <w:r>
        <w:rPr>
          <w:rFonts w:ascii="Times New Roman" w:hAnsi="Times New Roman" w:cs="Times New Roman"/>
        </w:rPr>
        <w:t>¶ 173</w:t>
      </w:r>
    </w:p>
  </w:footnote>
  <w:footnote w:id="3">
    <w:p w14:paraId="7418713A" w14:textId="2DDA69C7" w:rsidR="00195A46" w:rsidRPr="00673697" w:rsidRDefault="00195A46" w:rsidP="003F1A49">
      <w:pPr>
        <w:pStyle w:val="FootnoteText"/>
        <w:rPr>
          <w:rFonts w:ascii="Times New Roman" w:hAnsi="Times New Roman" w:cs="Times New Roman"/>
        </w:rPr>
      </w:pPr>
      <w:r w:rsidRPr="00673697">
        <w:rPr>
          <w:rStyle w:val="FootnoteReference"/>
          <w:rFonts w:ascii="Times New Roman" w:hAnsi="Times New Roman" w:cs="Times New Roman"/>
        </w:rPr>
        <w:footnoteRef/>
      </w:r>
      <w:r w:rsidRPr="00673697">
        <w:rPr>
          <w:rFonts w:ascii="Times New Roman" w:hAnsi="Times New Roman" w:cs="Times New Roman"/>
        </w:rPr>
        <w:t xml:space="preserve"> Per the Amended Petition, PSE is subject to financial penalties for failing to meet the higher level of conservation achievement.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87133" w14:textId="77777777" w:rsidR="00195A46" w:rsidRPr="009D69A9" w:rsidRDefault="00195A46">
    <w:pPr>
      <w:pStyle w:val="Header"/>
      <w:rPr>
        <w:rFonts w:ascii="Times New Roman" w:hAnsi="Times New Roman" w:cs="Times New Roman"/>
        <w:sz w:val="20"/>
        <w:szCs w:val="20"/>
      </w:rPr>
    </w:pPr>
    <w:r>
      <w:rPr>
        <w:rFonts w:ascii="Times New Roman" w:hAnsi="Times New Roman" w:cs="Times New Roman"/>
        <w:sz w:val="20"/>
        <w:szCs w:val="20"/>
      </w:rPr>
      <w:t>Dockets UE</w:t>
    </w:r>
    <w:r w:rsidRPr="009D69A9">
      <w:rPr>
        <w:rFonts w:ascii="Times New Roman" w:hAnsi="Times New Roman" w:cs="Times New Roman"/>
        <w:sz w:val="20"/>
        <w:szCs w:val="20"/>
      </w:rPr>
      <w:t>-</w:t>
    </w:r>
    <w:r>
      <w:rPr>
        <w:rFonts w:ascii="Times New Roman" w:hAnsi="Times New Roman" w:cs="Times New Roman"/>
        <w:sz w:val="20"/>
        <w:szCs w:val="20"/>
      </w:rPr>
      <w:t>140531 and UG-140533</w:t>
    </w:r>
  </w:p>
  <w:p w14:paraId="74187134" w14:textId="77777777" w:rsidR="00195A46" w:rsidRPr="009D69A9" w:rsidRDefault="00195A46">
    <w:pPr>
      <w:pStyle w:val="Header"/>
      <w:rPr>
        <w:rFonts w:ascii="Times New Roman" w:hAnsi="Times New Roman" w:cs="Times New Roman"/>
        <w:sz w:val="20"/>
        <w:szCs w:val="20"/>
      </w:rPr>
    </w:pPr>
    <w:r>
      <w:rPr>
        <w:rFonts w:ascii="Times New Roman" w:hAnsi="Times New Roman" w:cs="Times New Roman"/>
        <w:sz w:val="20"/>
        <w:szCs w:val="20"/>
      </w:rPr>
      <w:t>April 24, 2014</w:t>
    </w:r>
  </w:p>
  <w:p w14:paraId="74187135" w14:textId="77777777" w:rsidR="00195A46" w:rsidRPr="009D69A9" w:rsidRDefault="00195A46">
    <w:pPr>
      <w:pStyle w:val="Header"/>
      <w:rPr>
        <w:rFonts w:ascii="Times New Roman" w:hAnsi="Times New Roman" w:cs="Times New Roman"/>
        <w:noProof/>
        <w:sz w:val="20"/>
        <w:szCs w:val="20"/>
      </w:rPr>
    </w:pPr>
    <w:r w:rsidRPr="009D69A9">
      <w:rPr>
        <w:rFonts w:ascii="Times New Roman" w:hAnsi="Times New Roman" w:cs="Times New Roman"/>
        <w:sz w:val="20"/>
        <w:szCs w:val="20"/>
      </w:rPr>
      <w:t xml:space="preserve">Page </w:t>
    </w:r>
    <w:r w:rsidRPr="009D69A9">
      <w:rPr>
        <w:rFonts w:ascii="Times New Roman" w:hAnsi="Times New Roman" w:cs="Times New Roman"/>
        <w:sz w:val="20"/>
        <w:szCs w:val="20"/>
      </w:rPr>
      <w:fldChar w:fldCharType="begin"/>
    </w:r>
    <w:r w:rsidRPr="009D69A9">
      <w:rPr>
        <w:rFonts w:ascii="Times New Roman" w:hAnsi="Times New Roman" w:cs="Times New Roman"/>
        <w:sz w:val="20"/>
        <w:szCs w:val="20"/>
      </w:rPr>
      <w:instrText xml:space="preserve"> PAGE   \* MERGEFORMAT </w:instrText>
    </w:r>
    <w:r w:rsidRPr="009D69A9">
      <w:rPr>
        <w:rFonts w:ascii="Times New Roman" w:hAnsi="Times New Roman" w:cs="Times New Roman"/>
        <w:sz w:val="20"/>
        <w:szCs w:val="20"/>
      </w:rPr>
      <w:fldChar w:fldCharType="separate"/>
    </w:r>
    <w:r w:rsidR="00A236F9">
      <w:rPr>
        <w:rFonts w:ascii="Times New Roman" w:hAnsi="Times New Roman" w:cs="Times New Roman"/>
        <w:noProof/>
        <w:sz w:val="20"/>
        <w:szCs w:val="20"/>
      </w:rPr>
      <w:t>2</w:t>
    </w:r>
    <w:r w:rsidRPr="009D69A9">
      <w:rPr>
        <w:rFonts w:ascii="Times New Roman" w:hAnsi="Times New Roman" w:cs="Times New Roman"/>
        <w:noProof/>
        <w:sz w:val="20"/>
        <w:szCs w:val="20"/>
      </w:rPr>
      <w:fldChar w:fldCharType="end"/>
    </w:r>
  </w:p>
  <w:p w14:paraId="74187136" w14:textId="77777777" w:rsidR="00195A46" w:rsidRPr="002847BD" w:rsidRDefault="00195A46">
    <w:pPr>
      <w:pStyle w:val="Header"/>
      <w:rPr>
        <w:noProof/>
        <w:sz w:val="20"/>
        <w:szCs w:val="20"/>
      </w:rPr>
    </w:pPr>
  </w:p>
  <w:p w14:paraId="74187137" w14:textId="77777777" w:rsidR="00195A46" w:rsidRPr="002847BD" w:rsidRDefault="00195A4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412A"/>
    <w:multiLevelType w:val="hybridMultilevel"/>
    <w:tmpl w:val="5448DD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894327"/>
    <w:multiLevelType w:val="hybridMultilevel"/>
    <w:tmpl w:val="E686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50AC4"/>
    <w:multiLevelType w:val="hybridMultilevel"/>
    <w:tmpl w:val="441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A03BF3"/>
    <w:multiLevelType w:val="hybridMultilevel"/>
    <w:tmpl w:val="79449090"/>
    <w:lvl w:ilvl="0" w:tplc="EF22ABB2">
      <w:start w:val="1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74A5863"/>
    <w:multiLevelType w:val="hybridMultilevel"/>
    <w:tmpl w:val="2856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3F7630"/>
    <w:multiLevelType w:val="hybridMultilevel"/>
    <w:tmpl w:val="CC2E7EE0"/>
    <w:lvl w:ilvl="0" w:tplc="A882F348">
      <w:start w:val="1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C4"/>
    <w:rsid w:val="00002360"/>
    <w:rsid w:val="000040E5"/>
    <w:rsid w:val="00014439"/>
    <w:rsid w:val="00016312"/>
    <w:rsid w:val="00016F64"/>
    <w:rsid w:val="000262EC"/>
    <w:rsid w:val="0002747A"/>
    <w:rsid w:val="000327E2"/>
    <w:rsid w:val="000342BF"/>
    <w:rsid w:val="00037338"/>
    <w:rsid w:val="00044BDB"/>
    <w:rsid w:val="0005245C"/>
    <w:rsid w:val="0006067B"/>
    <w:rsid w:val="000616AA"/>
    <w:rsid w:val="000631DE"/>
    <w:rsid w:val="00066157"/>
    <w:rsid w:val="00075DE8"/>
    <w:rsid w:val="00076AD1"/>
    <w:rsid w:val="00080406"/>
    <w:rsid w:val="00081744"/>
    <w:rsid w:val="000832FA"/>
    <w:rsid w:val="00083332"/>
    <w:rsid w:val="000916EE"/>
    <w:rsid w:val="00091859"/>
    <w:rsid w:val="00097ED7"/>
    <w:rsid w:val="000A4AC8"/>
    <w:rsid w:val="000A617D"/>
    <w:rsid w:val="000B5CD9"/>
    <w:rsid w:val="000C4192"/>
    <w:rsid w:val="000C55CD"/>
    <w:rsid w:val="000D523D"/>
    <w:rsid w:val="000D58AA"/>
    <w:rsid w:val="000D6771"/>
    <w:rsid w:val="000E4682"/>
    <w:rsid w:val="000E640C"/>
    <w:rsid w:val="000F1E3C"/>
    <w:rsid w:val="000F5A48"/>
    <w:rsid w:val="00104338"/>
    <w:rsid w:val="0010537B"/>
    <w:rsid w:val="00106693"/>
    <w:rsid w:val="00114019"/>
    <w:rsid w:val="001231CA"/>
    <w:rsid w:val="00123447"/>
    <w:rsid w:val="00123AC1"/>
    <w:rsid w:val="00143B3C"/>
    <w:rsid w:val="001476C1"/>
    <w:rsid w:val="001546B7"/>
    <w:rsid w:val="0015493F"/>
    <w:rsid w:val="001626B9"/>
    <w:rsid w:val="00165347"/>
    <w:rsid w:val="001658F9"/>
    <w:rsid w:val="001679B1"/>
    <w:rsid w:val="00170C9C"/>
    <w:rsid w:val="00171BBB"/>
    <w:rsid w:val="00175CC4"/>
    <w:rsid w:val="00182724"/>
    <w:rsid w:val="00183E45"/>
    <w:rsid w:val="00185F30"/>
    <w:rsid w:val="00195A46"/>
    <w:rsid w:val="00195B3C"/>
    <w:rsid w:val="001A3B8F"/>
    <w:rsid w:val="001B180C"/>
    <w:rsid w:val="001B6B37"/>
    <w:rsid w:val="001C05E3"/>
    <w:rsid w:val="001C10C0"/>
    <w:rsid w:val="001C5AB1"/>
    <w:rsid w:val="001C6511"/>
    <w:rsid w:val="001C686F"/>
    <w:rsid w:val="001D0659"/>
    <w:rsid w:val="001D1CCD"/>
    <w:rsid w:val="001D3D0C"/>
    <w:rsid w:val="001D5EFD"/>
    <w:rsid w:val="001E131E"/>
    <w:rsid w:val="001E1D7A"/>
    <w:rsid w:val="001E1F62"/>
    <w:rsid w:val="001E3030"/>
    <w:rsid w:val="001E344F"/>
    <w:rsid w:val="001F2E11"/>
    <w:rsid w:val="0021768F"/>
    <w:rsid w:val="00222461"/>
    <w:rsid w:val="00232097"/>
    <w:rsid w:val="00245399"/>
    <w:rsid w:val="002554EA"/>
    <w:rsid w:val="00262A5F"/>
    <w:rsid w:val="0026435F"/>
    <w:rsid w:val="00271ABC"/>
    <w:rsid w:val="00272A9B"/>
    <w:rsid w:val="002748F2"/>
    <w:rsid w:val="00276399"/>
    <w:rsid w:val="002847BD"/>
    <w:rsid w:val="002859B6"/>
    <w:rsid w:val="002874D8"/>
    <w:rsid w:val="00296CD2"/>
    <w:rsid w:val="002A0C0C"/>
    <w:rsid w:val="002A11B7"/>
    <w:rsid w:val="002A1C76"/>
    <w:rsid w:val="002A1F03"/>
    <w:rsid w:val="002A436E"/>
    <w:rsid w:val="002A447C"/>
    <w:rsid w:val="002A7914"/>
    <w:rsid w:val="002B59A9"/>
    <w:rsid w:val="002C0194"/>
    <w:rsid w:val="002C039A"/>
    <w:rsid w:val="002C46C8"/>
    <w:rsid w:val="002D2075"/>
    <w:rsid w:val="002D23B5"/>
    <w:rsid w:val="002D3848"/>
    <w:rsid w:val="002D7392"/>
    <w:rsid w:val="002E03A3"/>
    <w:rsid w:val="002E7571"/>
    <w:rsid w:val="00305B49"/>
    <w:rsid w:val="00306AA0"/>
    <w:rsid w:val="0031171E"/>
    <w:rsid w:val="00316B90"/>
    <w:rsid w:val="0032042A"/>
    <w:rsid w:val="00320A18"/>
    <w:rsid w:val="003218AF"/>
    <w:rsid w:val="003248AF"/>
    <w:rsid w:val="0032773E"/>
    <w:rsid w:val="00336AEC"/>
    <w:rsid w:val="003377CA"/>
    <w:rsid w:val="00340D57"/>
    <w:rsid w:val="00345A36"/>
    <w:rsid w:val="00346158"/>
    <w:rsid w:val="003564AB"/>
    <w:rsid w:val="00365A1A"/>
    <w:rsid w:val="00365B44"/>
    <w:rsid w:val="0036663C"/>
    <w:rsid w:val="00371890"/>
    <w:rsid w:val="0038232F"/>
    <w:rsid w:val="0038314B"/>
    <w:rsid w:val="003848AA"/>
    <w:rsid w:val="003851D1"/>
    <w:rsid w:val="00395246"/>
    <w:rsid w:val="003A42F5"/>
    <w:rsid w:val="003A7BEC"/>
    <w:rsid w:val="003B47A5"/>
    <w:rsid w:val="003B4A34"/>
    <w:rsid w:val="003B678A"/>
    <w:rsid w:val="003B7059"/>
    <w:rsid w:val="003D17FF"/>
    <w:rsid w:val="003E5D52"/>
    <w:rsid w:val="003F1A49"/>
    <w:rsid w:val="003F2FA4"/>
    <w:rsid w:val="003F5BAD"/>
    <w:rsid w:val="003F6C02"/>
    <w:rsid w:val="004011FB"/>
    <w:rsid w:val="00401566"/>
    <w:rsid w:val="00404795"/>
    <w:rsid w:val="00406925"/>
    <w:rsid w:val="00406D60"/>
    <w:rsid w:val="0041400E"/>
    <w:rsid w:val="0041527E"/>
    <w:rsid w:val="004205D7"/>
    <w:rsid w:val="0042479B"/>
    <w:rsid w:val="00426B44"/>
    <w:rsid w:val="00431DCF"/>
    <w:rsid w:val="00435D68"/>
    <w:rsid w:val="00436981"/>
    <w:rsid w:val="004478E3"/>
    <w:rsid w:val="00451346"/>
    <w:rsid w:val="00456835"/>
    <w:rsid w:val="00463CA7"/>
    <w:rsid w:val="00464BCE"/>
    <w:rsid w:val="0047376E"/>
    <w:rsid w:val="00476869"/>
    <w:rsid w:val="00481C20"/>
    <w:rsid w:val="00491656"/>
    <w:rsid w:val="004956CC"/>
    <w:rsid w:val="004A42B8"/>
    <w:rsid w:val="004A68EE"/>
    <w:rsid w:val="004C3746"/>
    <w:rsid w:val="004D09E2"/>
    <w:rsid w:val="004D322C"/>
    <w:rsid w:val="004D33F0"/>
    <w:rsid w:val="004D583A"/>
    <w:rsid w:val="004E0B86"/>
    <w:rsid w:val="004E2B53"/>
    <w:rsid w:val="004E3757"/>
    <w:rsid w:val="004E4B0D"/>
    <w:rsid w:val="004E767F"/>
    <w:rsid w:val="004F1448"/>
    <w:rsid w:val="004F1C47"/>
    <w:rsid w:val="0050102B"/>
    <w:rsid w:val="00501881"/>
    <w:rsid w:val="00506415"/>
    <w:rsid w:val="00510799"/>
    <w:rsid w:val="0051333E"/>
    <w:rsid w:val="005139B6"/>
    <w:rsid w:val="00522B1D"/>
    <w:rsid w:val="0052400D"/>
    <w:rsid w:val="00524514"/>
    <w:rsid w:val="00525026"/>
    <w:rsid w:val="00530E37"/>
    <w:rsid w:val="00534180"/>
    <w:rsid w:val="00534E25"/>
    <w:rsid w:val="005357D9"/>
    <w:rsid w:val="00543026"/>
    <w:rsid w:val="00545D0C"/>
    <w:rsid w:val="00552600"/>
    <w:rsid w:val="00557DC3"/>
    <w:rsid w:val="005620A3"/>
    <w:rsid w:val="005634F3"/>
    <w:rsid w:val="00564118"/>
    <w:rsid w:val="00565F0B"/>
    <w:rsid w:val="00570FF7"/>
    <w:rsid w:val="00571672"/>
    <w:rsid w:val="005749E9"/>
    <w:rsid w:val="0057600A"/>
    <w:rsid w:val="00586619"/>
    <w:rsid w:val="005907A4"/>
    <w:rsid w:val="00594AE7"/>
    <w:rsid w:val="005A03B0"/>
    <w:rsid w:val="005A1E25"/>
    <w:rsid w:val="005A324F"/>
    <w:rsid w:val="005A326C"/>
    <w:rsid w:val="005A3548"/>
    <w:rsid w:val="005A3974"/>
    <w:rsid w:val="005A551C"/>
    <w:rsid w:val="005A65F5"/>
    <w:rsid w:val="005A6C74"/>
    <w:rsid w:val="005B5CB4"/>
    <w:rsid w:val="005B615C"/>
    <w:rsid w:val="005B6B45"/>
    <w:rsid w:val="005B746E"/>
    <w:rsid w:val="005C0DF6"/>
    <w:rsid w:val="005C3D58"/>
    <w:rsid w:val="005D08D2"/>
    <w:rsid w:val="005D1074"/>
    <w:rsid w:val="005D1457"/>
    <w:rsid w:val="005D37B7"/>
    <w:rsid w:val="005D3D6B"/>
    <w:rsid w:val="005E1B5F"/>
    <w:rsid w:val="005E2694"/>
    <w:rsid w:val="005E2E3D"/>
    <w:rsid w:val="005E7069"/>
    <w:rsid w:val="005F3A75"/>
    <w:rsid w:val="005F3D25"/>
    <w:rsid w:val="005F5A8A"/>
    <w:rsid w:val="005F625C"/>
    <w:rsid w:val="005F6A4E"/>
    <w:rsid w:val="0060068B"/>
    <w:rsid w:val="00610348"/>
    <w:rsid w:val="00611AF1"/>
    <w:rsid w:val="00615D88"/>
    <w:rsid w:val="006312F4"/>
    <w:rsid w:val="00637276"/>
    <w:rsid w:val="00637DC9"/>
    <w:rsid w:val="006414B4"/>
    <w:rsid w:val="006424E3"/>
    <w:rsid w:val="00643AC2"/>
    <w:rsid w:val="00644B63"/>
    <w:rsid w:val="006478CB"/>
    <w:rsid w:val="00652DFB"/>
    <w:rsid w:val="006561F6"/>
    <w:rsid w:val="00661479"/>
    <w:rsid w:val="006665D8"/>
    <w:rsid w:val="006670EA"/>
    <w:rsid w:val="00667B03"/>
    <w:rsid w:val="006729EE"/>
    <w:rsid w:val="00672F7B"/>
    <w:rsid w:val="00673697"/>
    <w:rsid w:val="00692A75"/>
    <w:rsid w:val="006971BE"/>
    <w:rsid w:val="006A17F8"/>
    <w:rsid w:val="006A19DF"/>
    <w:rsid w:val="006A1DD8"/>
    <w:rsid w:val="006A41EE"/>
    <w:rsid w:val="006A49BD"/>
    <w:rsid w:val="006B00B9"/>
    <w:rsid w:val="006B0DB5"/>
    <w:rsid w:val="006B648D"/>
    <w:rsid w:val="006B6D56"/>
    <w:rsid w:val="006C378D"/>
    <w:rsid w:val="006C5085"/>
    <w:rsid w:val="006D260A"/>
    <w:rsid w:val="006D79B1"/>
    <w:rsid w:val="006E3687"/>
    <w:rsid w:val="006F02E0"/>
    <w:rsid w:val="006F4A6F"/>
    <w:rsid w:val="0070376C"/>
    <w:rsid w:val="00704051"/>
    <w:rsid w:val="00713EEA"/>
    <w:rsid w:val="007158C7"/>
    <w:rsid w:val="00716C68"/>
    <w:rsid w:val="0072171F"/>
    <w:rsid w:val="0072770D"/>
    <w:rsid w:val="00730F5C"/>
    <w:rsid w:val="007376CF"/>
    <w:rsid w:val="00737A60"/>
    <w:rsid w:val="00737C04"/>
    <w:rsid w:val="00744F5C"/>
    <w:rsid w:val="00746645"/>
    <w:rsid w:val="00750901"/>
    <w:rsid w:val="00753EF8"/>
    <w:rsid w:val="0075530A"/>
    <w:rsid w:val="00757F84"/>
    <w:rsid w:val="00761E55"/>
    <w:rsid w:val="00765645"/>
    <w:rsid w:val="00765D90"/>
    <w:rsid w:val="00765ED6"/>
    <w:rsid w:val="007669DC"/>
    <w:rsid w:val="0077169D"/>
    <w:rsid w:val="00771BBC"/>
    <w:rsid w:val="00771E64"/>
    <w:rsid w:val="007768FF"/>
    <w:rsid w:val="007814DD"/>
    <w:rsid w:val="00782DBC"/>
    <w:rsid w:val="00784C41"/>
    <w:rsid w:val="00784E22"/>
    <w:rsid w:val="00795A67"/>
    <w:rsid w:val="00796A39"/>
    <w:rsid w:val="00796A64"/>
    <w:rsid w:val="007A07B4"/>
    <w:rsid w:val="007A41BD"/>
    <w:rsid w:val="007B0CB7"/>
    <w:rsid w:val="007B2DFB"/>
    <w:rsid w:val="007C059F"/>
    <w:rsid w:val="007C2573"/>
    <w:rsid w:val="007D00BB"/>
    <w:rsid w:val="007D0D52"/>
    <w:rsid w:val="007D486E"/>
    <w:rsid w:val="007D7AFE"/>
    <w:rsid w:val="007E156E"/>
    <w:rsid w:val="007E4D11"/>
    <w:rsid w:val="007E7E6B"/>
    <w:rsid w:val="00802AE9"/>
    <w:rsid w:val="00802F28"/>
    <w:rsid w:val="00805404"/>
    <w:rsid w:val="00811A38"/>
    <w:rsid w:val="00822B5D"/>
    <w:rsid w:val="00825421"/>
    <w:rsid w:val="0082756C"/>
    <w:rsid w:val="00833A4F"/>
    <w:rsid w:val="00840F7A"/>
    <w:rsid w:val="008479E0"/>
    <w:rsid w:val="00847D23"/>
    <w:rsid w:val="00854143"/>
    <w:rsid w:val="0085420B"/>
    <w:rsid w:val="0085533E"/>
    <w:rsid w:val="00856E2F"/>
    <w:rsid w:val="00860D5F"/>
    <w:rsid w:val="008624B7"/>
    <w:rsid w:val="00862A2F"/>
    <w:rsid w:val="008669A1"/>
    <w:rsid w:val="00866D06"/>
    <w:rsid w:val="00871C02"/>
    <w:rsid w:val="008766D4"/>
    <w:rsid w:val="00886DFA"/>
    <w:rsid w:val="008905C1"/>
    <w:rsid w:val="00892B89"/>
    <w:rsid w:val="00893DDF"/>
    <w:rsid w:val="00894571"/>
    <w:rsid w:val="00894B2A"/>
    <w:rsid w:val="0089527C"/>
    <w:rsid w:val="0089559A"/>
    <w:rsid w:val="008A5A7D"/>
    <w:rsid w:val="008A5B48"/>
    <w:rsid w:val="008A64E6"/>
    <w:rsid w:val="008B4FA1"/>
    <w:rsid w:val="008C3C59"/>
    <w:rsid w:val="008C4D9C"/>
    <w:rsid w:val="008D7418"/>
    <w:rsid w:val="008E5C82"/>
    <w:rsid w:val="0090017B"/>
    <w:rsid w:val="00900811"/>
    <w:rsid w:val="00904FAD"/>
    <w:rsid w:val="00907122"/>
    <w:rsid w:val="00907A9E"/>
    <w:rsid w:val="0091048C"/>
    <w:rsid w:val="00912A8F"/>
    <w:rsid w:val="00914669"/>
    <w:rsid w:val="0092408A"/>
    <w:rsid w:val="00927127"/>
    <w:rsid w:val="009302CD"/>
    <w:rsid w:val="00934762"/>
    <w:rsid w:val="00937F30"/>
    <w:rsid w:val="00941201"/>
    <w:rsid w:val="009423C3"/>
    <w:rsid w:val="00944FFC"/>
    <w:rsid w:val="00953492"/>
    <w:rsid w:val="00964CDE"/>
    <w:rsid w:val="009710AF"/>
    <w:rsid w:val="0097543A"/>
    <w:rsid w:val="00980AAF"/>
    <w:rsid w:val="009824E4"/>
    <w:rsid w:val="00986BF4"/>
    <w:rsid w:val="00991C7F"/>
    <w:rsid w:val="00992A51"/>
    <w:rsid w:val="009A0770"/>
    <w:rsid w:val="009A323A"/>
    <w:rsid w:val="009A445F"/>
    <w:rsid w:val="009A5BDD"/>
    <w:rsid w:val="009A6CAE"/>
    <w:rsid w:val="009A7C9B"/>
    <w:rsid w:val="009B151D"/>
    <w:rsid w:val="009B2908"/>
    <w:rsid w:val="009B2EA9"/>
    <w:rsid w:val="009B5560"/>
    <w:rsid w:val="009B608F"/>
    <w:rsid w:val="009C29C2"/>
    <w:rsid w:val="009C55C2"/>
    <w:rsid w:val="009D3F84"/>
    <w:rsid w:val="009D69A9"/>
    <w:rsid w:val="009D6BD9"/>
    <w:rsid w:val="009E1927"/>
    <w:rsid w:val="009E2E64"/>
    <w:rsid w:val="009E3A11"/>
    <w:rsid w:val="009E4DD3"/>
    <w:rsid w:val="009E564F"/>
    <w:rsid w:val="009F3D45"/>
    <w:rsid w:val="00A07C8D"/>
    <w:rsid w:val="00A10276"/>
    <w:rsid w:val="00A13E09"/>
    <w:rsid w:val="00A14626"/>
    <w:rsid w:val="00A228C6"/>
    <w:rsid w:val="00A236F9"/>
    <w:rsid w:val="00A3541C"/>
    <w:rsid w:val="00A41B84"/>
    <w:rsid w:val="00A46B56"/>
    <w:rsid w:val="00A528F2"/>
    <w:rsid w:val="00A56A4B"/>
    <w:rsid w:val="00A579D0"/>
    <w:rsid w:val="00A64E40"/>
    <w:rsid w:val="00A67CBB"/>
    <w:rsid w:val="00A72356"/>
    <w:rsid w:val="00A8121D"/>
    <w:rsid w:val="00A84C2A"/>
    <w:rsid w:val="00A851D6"/>
    <w:rsid w:val="00A922AB"/>
    <w:rsid w:val="00AB1FE6"/>
    <w:rsid w:val="00AB7D63"/>
    <w:rsid w:val="00AC124C"/>
    <w:rsid w:val="00AC45C2"/>
    <w:rsid w:val="00AD3312"/>
    <w:rsid w:val="00AD484A"/>
    <w:rsid w:val="00AD54E6"/>
    <w:rsid w:val="00AD6046"/>
    <w:rsid w:val="00AD7EC0"/>
    <w:rsid w:val="00AE273E"/>
    <w:rsid w:val="00AE7F1C"/>
    <w:rsid w:val="00AF6CF1"/>
    <w:rsid w:val="00B0564B"/>
    <w:rsid w:val="00B0619E"/>
    <w:rsid w:val="00B11F2C"/>
    <w:rsid w:val="00B13041"/>
    <w:rsid w:val="00B13583"/>
    <w:rsid w:val="00B17818"/>
    <w:rsid w:val="00B3213E"/>
    <w:rsid w:val="00B34BCF"/>
    <w:rsid w:val="00B40C4A"/>
    <w:rsid w:val="00B439D6"/>
    <w:rsid w:val="00B47C54"/>
    <w:rsid w:val="00B5434D"/>
    <w:rsid w:val="00B64C99"/>
    <w:rsid w:val="00B6783B"/>
    <w:rsid w:val="00B7505A"/>
    <w:rsid w:val="00B90172"/>
    <w:rsid w:val="00B94AAA"/>
    <w:rsid w:val="00BA15A1"/>
    <w:rsid w:val="00BA226E"/>
    <w:rsid w:val="00BA3257"/>
    <w:rsid w:val="00BA7E47"/>
    <w:rsid w:val="00BB08F5"/>
    <w:rsid w:val="00BB4950"/>
    <w:rsid w:val="00BD06AF"/>
    <w:rsid w:val="00BD0797"/>
    <w:rsid w:val="00BE67CD"/>
    <w:rsid w:val="00BE69DD"/>
    <w:rsid w:val="00BF04EA"/>
    <w:rsid w:val="00BF2C47"/>
    <w:rsid w:val="00BF344A"/>
    <w:rsid w:val="00BF6C6D"/>
    <w:rsid w:val="00C01A9E"/>
    <w:rsid w:val="00C04165"/>
    <w:rsid w:val="00C13C4F"/>
    <w:rsid w:val="00C1557B"/>
    <w:rsid w:val="00C231A1"/>
    <w:rsid w:val="00C26C75"/>
    <w:rsid w:val="00C35DEB"/>
    <w:rsid w:val="00C47C48"/>
    <w:rsid w:val="00C553A7"/>
    <w:rsid w:val="00C64273"/>
    <w:rsid w:val="00C66DFB"/>
    <w:rsid w:val="00C71B1A"/>
    <w:rsid w:val="00C90F8D"/>
    <w:rsid w:val="00C925EB"/>
    <w:rsid w:val="00C94531"/>
    <w:rsid w:val="00C97453"/>
    <w:rsid w:val="00CA63E1"/>
    <w:rsid w:val="00CA7746"/>
    <w:rsid w:val="00CB04A6"/>
    <w:rsid w:val="00CB745A"/>
    <w:rsid w:val="00CC3790"/>
    <w:rsid w:val="00CC4DBA"/>
    <w:rsid w:val="00CC51DC"/>
    <w:rsid w:val="00CC5822"/>
    <w:rsid w:val="00CC6904"/>
    <w:rsid w:val="00CD3F1E"/>
    <w:rsid w:val="00CD5EC1"/>
    <w:rsid w:val="00CD6517"/>
    <w:rsid w:val="00CD7793"/>
    <w:rsid w:val="00CF4B60"/>
    <w:rsid w:val="00CF5D9C"/>
    <w:rsid w:val="00D02D2D"/>
    <w:rsid w:val="00D0709D"/>
    <w:rsid w:val="00D125D7"/>
    <w:rsid w:val="00D12CE7"/>
    <w:rsid w:val="00D13771"/>
    <w:rsid w:val="00D171DB"/>
    <w:rsid w:val="00D20C65"/>
    <w:rsid w:val="00D217EF"/>
    <w:rsid w:val="00D25AA3"/>
    <w:rsid w:val="00D2675B"/>
    <w:rsid w:val="00D328A5"/>
    <w:rsid w:val="00D32C4B"/>
    <w:rsid w:val="00D33C71"/>
    <w:rsid w:val="00D359F0"/>
    <w:rsid w:val="00D4063C"/>
    <w:rsid w:val="00D42009"/>
    <w:rsid w:val="00D43A7A"/>
    <w:rsid w:val="00D47330"/>
    <w:rsid w:val="00D5115A"/>
    <w:rsid w:val="00D52419"/>
    <w:rsid w:val="00D5490F"/>
    <w:rsid w:val="00D60C64"/>
    <w:rsid w:val="00D61508"/>
    <w:rsid w:val="00D6703B"/>
    <w:rsid w:val="00D705EF"/>
    <w:rsid w:val="00D70DDE"/>
    <w:rsid w:val="00D70FDC"/>
    <w:rsid w:val="00D737D9"/>
    <w:rsid w:val="00D744BE"/>
    <w:rsid w:val="00D756F5"/>
    <w:rsid w:val="00D76FF5"/>
    <w:rsid w:val="00D87E23"/>
    <w:rsid w:val="00D93889"/>
    <w:rsid w:val="00D96E9C"/>
    <w:rsid w:val="00DA0276"/>
    <w:rsid w:val="00DA1B86"/>
    <w:rsid w:val="00DA453D"/>
    <w:rsid w:val="00DA525C"/>
    <w:rsid w:val="00DB24C9"/>
    <w:rsid w:val="00DB2EE5"/>
    <w:rsid w:val="00DC1438"/>
    <w:rsid w:val="00DC6BFF"/>
    <w:rsid w:val="00DD2A47"/>
    <w:rsid w:val="00DD3791"/>
    <w:rsid w:val="00DD719B"/>
    <w:rsid w:val="00DD77EA"/>
    <w:rsid w:val="00DE15CA"/>
    <w:rsid w:val="00DE451E"/>
    <w:rsid w:val="00DF373D"/>
    <w:rsid w:val="00E002D5"/>
    <w:rsid w:val="00E02D8C"/>
    <w:rsid w:val="00E03285"/>
    <w:rsid w:val="00E03CDC"/>
    <w:rsid w:val="00E07061"/>
    <w:rsid w:val="00E0740E"/>
    <w:rsid w:val="00E10102"/>
    <w:rsid w:val="00E10D33"/>
    <w:rsid w:val="00E129C0"/>
    <w:rsid w:val="00E1598D"/>
    <w:rsid w:val="00E27066"/>
    <w:rsid w:val="00E35794"/>
    <w:rsid w:val="00E36D9B"/>
    <w:rsid w:val="00E406F7"/>
    <w:rsid w:val="00E43875"/>
    <w:rsid w:val="00E516F4"/>
    <w:rsid w:val="00E53E62"/>
    <w:rsid w:val="00E6037B"/>
    <w:rsid w:val="00E609CE"/>
    <w:rsid w:val="00E61E85"/>
    <w:rsid w:val="00E677F0"/>
    <w:rsid w:val="00E67D1C"/>
    <w:rsid w:val="00E704C6"/>
    <w:rsid w:val="00E7489D"/>
    <w:rsid w:val="00E76E22"/>
    <w:rsid w:val="00E77F21"/>
    <w:rsid w:val="00E819C9"/>
    <w:rsid w:val="00E821ED"/>
    <w:rsid w:val="00E85779"/>
    <w:rsid w:val="00E93E9A"/>
    <w:rsid w:val="00E9516E"/>
    <w:rsid w:val="00EA4536"/>
    <w:rsid w:val="00EB4CB2"/>
    <w:rsid w:val="00EC2110"/>
    <w:rsid w:val="00EC4162"/>
    <w:rsid w:val="00ED4245"/>
    <w:rsid w:val="00ED45A9"/>
    <w:rsid w:val="00EE13B1"/>
    <w:rsid w:val="00EE1BBF"/>
    <w:rsid w:val="00EE3E46"/>
    <w:rsid w:val="00EE64F7"/>
    <w:rsid w:val="00EE6646"/>
    <w:rsid w:val="00EE7587"/>
    <w:rsid w:val="00EF75BE"/>
    <w:rsid w:val="00F00771"/>
    <w:rsid w:val="00F00B84"/>
    <w:rsid w:val="00F04E57"/>
    <w:rsid w:val="00F0631A"/>
    <w:rsid w:val="00F10A38"/>
    <w:rsid w:val="00F10F5C"/>
    <w:rsid w:val="00F12BF3"/>
    <w:rsid w:val="00F130C1"/>
    <w:rsid w:val="00F15888"/>
    <w:rsid w:val="00F1631C"/>
    <w:rsid w:val="00F21B68"/>
    <w:rsid w:val="00F302FA"/>
    <w:rsid w:val="00F45BD3"/>
    <w:rsid w:val="00F52C62"/>
    <w:rsid w:val="00F52CC3"/>
    <w:rsid w:val="00F52DBD"/>
    <w:rsid w:val="00F54D7B"/>
    <w:rsid w:val="00F622D9"/>
    <w:rsid w:val="00F62C06"/>
    <w:rsid w:val="00F64FBC"/>
    <w:rsid w:val="00F65EDD"/>
    <w:rsid w:val="00F75C36"/>
    <w:rsid w:val="00F81614"/>
    <w:rsid w:val="00F877E3"/>
    <w:rsid w:val="00F90286"/>
    <w:rsid w:val="00F922E8"/>
    <w:rsid w:val="00F9270F"/>
    <w:rsid w:val="00F93D0B"/>
    <w:rsid w:val="00F963F1"/>
    <w:rsid w:val="00FA1897"/>
    <w:rsid w:val="00FB2F1F"/>
    <w:rsid w:val="00FB7B35"/>
    <w:rsid w:val="00FC30FA"/>
    <w:rsid w:val="00FC5175"/>
    <w:rsid w:val="00FC5C7C"/>
    <w:rsid w:val="00FD0BFB"/>
    <w:rsid w:val="00FD302C"/>
    <w:rsid w:val="00FD7D27"/>
    <w:rsid w:val="00FF32C7"/>
    <w:rsid w:val="00FF47E1"/>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18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7B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26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B44"/>
    <w:rPr>
      <w:sz w:val="20"/>
      <w:szCs w:val="20"/>
    </w:rPr>
  </w:style>
  <w:style w:type="character" w:styleId="FootnoteReference">
    <w:name w:val="footnote reference"/>
    <w:basedOn w:val="DefaultParagraphFont"/>
    <w:uiPriority w:val="99"/>
    <w:semiHidden/>
    <w:unhideWhenUsed/>
    <w:rsid w:val="00426B44"/>
    <w:rPr>
      <w:vertAlign w:val="superscript"/>
    </w:rPr>
  </w:style>
  <w:style w:type="paragraph" w:styleId="ListParagraph">
    <w:name w:val="List Paragraph"/>
    <w:basedOn w:val="Normal"/>
    <w:uiPriority w:val="34"/>
    <w:qFormat/>
    <w:rsid w:val="00E77F21"/>
    <w:pPr>
      <w:ind w:left="720"/>
      <w:contextualSpacing/>
    </w:pPr>
  </w:style>
  <w:style w:type="table" w:styleId="TableGrid">
    <w:name w:val="Table Grid"/>
    <w:basedOn w:val="TableNormal"/>
    <w:uiPriority w:val="59"/>
    <w:rsid w:val="00802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93E9A"/>
    <w:rPr>
      <w:sz w:val="16"/>
      <w:szCs w:val="16"/>
    </w:rPr>
  </w:style>
  <w:style w:type="paragraph" w:styleId="CommentText">
    <w:name w:val="annotation text"/>
    <w:basedOn w:val="Normal"/>
    <w:link w:val="CommentTextChar"/>
    <w:uiPriority w:val="99"/>
    <w:semiHidden/>
    <w:unhideWhenUsed/>
    <w:rsid w:val="00E93E9A"/>
    <w:pPr>
      <w:spacing w:line="240" w:lineRule="auto"/>
    </w:pPr>
    <w:rPr>
      <w:sz w:val="20"/>
      <w:szCs w:val="20"/>
    </w:rPr>
  </w:style>
  <w:style w:type="character" w:customStyle="1" w:styleId="CommentTextChar">
    <w:name w:val="Comment Text Char"/>
    <w:basedOn w:val="DefaultParagraphFont"/>
    <w:link w:val="CommentText"/>
    <w:uiPriority w:val="99"/>
    <w:semiHidden/>
    <w:rsid w:val="00E93E9A"/>
    <w:rPr>
      <w:sz w:val="20"/>
      <w:szCs w:val="20"/>
    </w:rPr>
  </w:style>
  <w:style w:type="paragraph" w:styleId="CommentSubject">
    <w:name w:val="annotation subject"/>
    <w:basedOn w:val="CommentText"/>
    <w:next w:val="CommentText"/>
    <w:link w:val="CommentSubjectChar"/>
    <w:uiPriority w:val="99"/>
    <w:semiHidden/>
    <w:unhideWhenUsed/>
    <w:rsid w:val="00E93E9A"/>
    <w:rPr>
      <w:b/>
      <w:bCs/>
    </w:rPr>
  </w:style>
  <w:style w:type="character" w:customStyle="1" w:styleId="CommentSubjectChar">
    <w:name w:val="Comment Subject Char"/>
    <w:basedOn w:val="CommentTextChar"/>
    <w:link w:val="CommentSubject"/>
    <w:uiPriority w:val="99"/>
    <w:semiHidden/>
    <w:rsid w:val="00E93E9A"/>
    <w:rPr>
      <w:b/>
      <w:bCs/>
      <w:sz w:val="20"/>
      <w:szCs w:val="20"/>
    </w:rPr>
  </w:style>
  <w:style w:type="paragraph" w:styleId="BalloonText">
    <w:name w:val="Balloon Text"/>
    <w:basedOn w:val="Normal"/>
    <w:link w:val="BalloonTextChar"/>
    <w:uiPriority w:val="99"/>
    <w:semiHidden/>
    <w:unhideWhenUsed/>
    <w:rsid w:val="00E9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E9A"/>
    <w:rPr>
      <w:rFonts w:ascii="Tahoma" w:hAnsi="Tahoma" w:cs="Tahoma"/>
      <w:sz w:val="16"/>
      <w:szCs w:val="16"/>
    </w:rPr>
  </w:style>
  <w:style w:type="character" w:styleId="Hyperlink">
    <w:name w:val="Hyperlink"/>
    <w:basedOn w:val="DefaultParagraphFont"/>
    <w:uiPriority w:val="99"/>
    <w:unhideWhenUsed/>
    <w:rsid w:val="00A8121D"/>
    <w:rPr>
      <w:color w:val="0000FF" w:themeColor="hyperlink"/>
      <w:u w:val="single"/>
    </w:rPr>
  </w:style>
  <w:style w:type="paragraph" w:styleId="Header">
    <w:name w:val="header"/>
    <w:basedOn w:val="Normal"/>
    <w:link w:val="HeaderChar"/>
    <w:uiPriority w:val="99"/>
    <w:unhideWhenUsed/>
    <w:rsid w:val="00E85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79"/>
  </w:style>
  <w:style w:type="paragraph" w:styleId="Footer">
    <w:name w:val="footer"/>
    <w:basedOn w:val="Normal"/>
    <w:link w:val="FooterChar"/>
    <w:uiPriority w:val="99"/>
    <w:unhideWhenUsed/>
    <w:rsid w:val="00E85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79"/>
  </w:style>
  <w:style w:type="character" w:customStyle="1" w:styleId="Heading2Char">
    <w:name w:val="Heading 2 Char"/>
    <w:basedOn w:val="DefaultParagraphFont"/>
    <w:link w:val="Heading2"/>
    <w:uiPriority w:val="9"/>
    <w:semiHidden/>
    <w:rsid w:val="00FB7B35"/>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856E2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7B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26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B44"/>
    <w:rPr>
      <w:sz w:val="20"/>
      <w:szCs w:val="20"/>
    </w:rPr>
  </w:style>
  <w:style w:type="character" w:styleId="FootnoteReference">
    <w:name w:val="footnote reference"/>
    <w:basedOn w:val="DefaultParagraphFont"/>
    <w:uiPriority w:val="99"/>
    <w:semiHidden/>
    <w:unhideWhenUsed/>
    <w:rsid w:val="00426B44"/>
    <w:rPr>
      <w:vertAlign w:val="superscript"/>
    </w:rPr>
  </w:style>
  <w:style w:type="paragraph" w:styleId="ListParagraph">
    <w:name w:val="List Paragraph"/>
    <w:basedOn w:val="Normal"/>
    <w:uiPriority w:val="34"/>
    <w:qFormat/>
    <w:rsid w:val="00E77F21"/>
    <w:pPr>
      <w:ind w:left="720"/>
      <w:contextualSpacing/>
    </w:pPr>
  </w:style>
  <w:style w:type="table" w:styleId="TableGrid">
    <w:name w:val="Table Grid"/>
    <w:basedOn w:val="TableNormal"/>
    <w:uiPriority w:val="59"/>
    <w:rsid w:val="00802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93E9A"/>
    <w:rPr>
      <w:sz w:val="16"/>
      <w:szCs w:val="16"/>
    </w:rPr>
  </w:style>
  <w:style w:type="paragraph" w:styleId="CommentText">
    <w:name w:val="annotation text"/>
    <w:basedOn w:val="Normal"/>
    <w:link w:val="CommentTextChar"/>
    <w:uiPriority w:val="99"/>
    <w:semiHidden/>
    <w:unhideWhenUsed/>
    <w:rsid w:val="00E93E9A"/>
    <w:pPr>
      <w:spacing w:line="240" w:lineRule="auto"/>
    </w:pPr>
    <w:rPr>
      <w:sz w:val="20"/>
      <w:szCs w:val="20"/>
    </w:rPr>
  </w:style>
  <w:style w:type="character" w:customStyle="1" w:styleId="CommentTextChar">
    <w:name w:val="Comment Text Char"/>
    <w:basedOn w:val="DefaultParagraphFont"/>
    <w:link w:val="CommentText"/>
    <w:uiPriority w:val="99"/>
    <w:semiHidden/>
    <w:rsid w:val="00E93E9A"/>
    <w:rPr>
      <w:sz w:val="20"/>
      <w:szCs w:val="20"/>
    </w:rPr>
  </w:style>
  <w:style w:type="paragraph" w:styleId="CommentSubject">
    <w:name w:val="annotation subject"/>
    <w:basedOn w:val="CommentText"/>
    <w:next w:val="CommentText"/>
    <w:link w:val="CommentSubjectChar"/>
    <w:uiPriority w:val="99"/>
    <w:semiHidden/>
    <w:unhideWhenUsed/>
    <w:rsid w:val="00E93E9A"/>
    <w:rPr>
      <w:b/>
      <w:bCs/>
    </w:rPr>
  </w:style>
  <w:style w:type="character" w:customStyle="1" w:styleId="CommentSubjectChar">
    <w:name w:val="Comment Subject Char"/>
    <w:basedOn w:val="CommentTextChar"/>
    <w:link w:val="CommentSubject"/>
    <w:uiPriority w:val="99"/>
    <w:semiHidden/>
    <w:rsid w:val="00E93E9A"/>
    <w:rPr>
      <w:b/>
      <w:bCs/>
      <w:sz w:val="20"/>
      <w:szCs w:val="20"/>
    </w:rPr>
  </w:style>
  <w:style w:type="paragraph" w:styleId="BalloonText">
    <w:name w:val="Balloon Text"/>
    <w:basedOn w:val="Normal"/>
    <w:link w:val="BalloonTextChar"/>
    <w:uiPriority w:val="99"/>
    <w:semiHidden/>
    <w:unhideWhenUsed/>
    <w:rsid w:val="00E9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E9A"/>
    <w:rPr>
      <w:rFonts w:ascii="Tahoma" w:hAnsi="Tahoma" w:cs="Tahoma"/>
      <w:sz w:val="16"/>
      <w:szCs w:val="16"/>
    </w:rPr>
  </w:style>
  <w:style w:type="character" w:styleId="Hyperlink">
    <w:name w:val="Hyperlink"/>
    <w:basedOn w:val="DefaultParagraphFont"/>
    <w:uiPriority w:val="99"/>
    <w:unhideWhenUsed/>
    <w:rsid w:val="00A8121D"/>
    <w:rPr>
      <w:color w:val="0000FF" w:themeColor="hyperlink"/>
      <w:u w:val="single"/>
    </w:rPr>
  </w:style>
  <w:style w:type="paragraph" w:styleId="Header">
    <w:name w:val="header"/>
    <w:basedOn w:val="Normal"/>
    <w:link w:val="HeaderChar"/>
    <w:uiPriority w:val="99"/>
    <w:unhideWhenUsed/>
    <w:rsid w:val="00E85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79"/>
  </w:style>
  <w:style w:type="paragraph" w:styleId="Footer">
    <w:name w:val="footer"/>
    <w:basedOn w:val="Normal"/>
    <w:link w:val="FooterChar"/>
    <w:uiPriority w:val="99"/>
    <w:unhideWhenUsed/>
    <w:rsid w:val="00E85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79"/>
  </w:style>
  <w:style w:type="character" w:customStyle="1" w:styleId="Heading2Char">
    <w:name w:val="Heading 2 Char"/>
    <w:basedOn w:val="DefaultParagraphFont"/>
    <w:link w:val="Heading2"/>
    <w:uiPriority w:val="9"/>
    <w:semiHidden/>
    <w:rsid w:val="00FB7B35"/>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856E2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1161">
      <w:bodyDiv w:val="1"/>
      <w:marLeft w:val="0"/>
      <w:marRight w:val="0"/>
      <w:marTop w:val="0"/>
      <w:marBottom w:val="0"/>
      <w:divBdr>
        <w:top w:val="none" w:sz="0" w:space="0" w:color="auto"/>
        <w:left w:val="none" w:sz="0" w:space="0" w:color="auto"/>
        <w:bottom w:val="none" w:sz="0" w:space="0" w:color="auto"/>
        <w:right w:val="none" w:sz="0" w:space="0" w:color="auto"/>
      </w:divBdr>
    </w:div>
    <w:div w:id="176434358">
      <w:bodyDiv w:val="1"/>
      <w:marLeft w:val="0"/>
      <w:marRight w:val="0"/>
      <w:marTop w:val="0"/>
      <w:marBottom w:val="0"/>
      <w:divBdr>
        <w:top w:val="none" w:sz="0" w:space="0" w:color="auto"/>
        <w:left w:val="none" w:sz="0" w:space="0" w:color="auto"/>
        <w:bottom w:val="none" w:sz="0" w:space="0" w:color="auto"/>
        <w:right w:val="none" w:sz="0" w:space="0" w:color="auto"/>
      </w:divBdr>
    </w:div>
    <w:div w:id="1799906952">
      <w:bodyDiv w:val="1"/>
      <w:marLeft w:val="0"/>
      <w:marRight w:val="0"/>
      <w:marTop w:val="0"/>
      <w:marBottom w:val="0"/>
      <w:divBdr>
        <w:top w:val="none" w:sz="0" w:space="0" w:color="auto"/>
        <w:left w:val="none" w:sz="0" w:space="0" w:color="auto"/>
        <w:bottom w:val="none" w:sz="0" w:space="0" w:color="auto"/>
        <w:right w:val="none" w:sz="0" w:space="0" w:color="auto"/>
      </w:divBdr>
    </w:div>
    <w:div w:id="19472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2014-03-31T07:00:00+00:00</OpenedDate>
    <Date1 xmlns="dc463f71-b30c-4ab2-9473-d307f9d35888">2014-04-24T07:00:00+00:00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140531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091682C5ECAC4181A2593C042943A0" ma:contentTypeVersion="175" ma:contentTypeDescription="" ma:contentTypeScope="" ma:versionID="6ab16cdde23e516b1252ac014a37c5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B1AE2-1AF2-40F9-92FC-881CA50BB353}"/>
</file>

<file path=customXml/itemProps2.xml><?xml version="1.0" encoding="utf-8"?>
<ds:datastoreItem xmlns:ds="http://schemas.openxmlformats.org/officeDocument/2006/customXml" ds:itemID="{E52FF9AF-B69F-4A3D-880A-9985CAC7B5E8}"/>
</file>

<file path=customXml/itemProps3.xml><?xml version="1.0" encoding="utf-8"?>
<ds:datastoreItem xmlns:ds="http://schemas.openxmlformats.org/officeDocument/2006/customXml" ds:itemID="{5F2EB31C-90D4-4D0C-9C7D-066975524A43}"/>
</file>

<file path=customXml/itemProps4.xml><?xml version="1.0" encoding="utf-8"?>
<ds:datastoreItem xmlns:ds="http://schemas.openxmlformats.org/officeDocument/2006/customXml" ds:itemID="{1C70A343-B13F-4A26-AA12-09CCBCACD2B2}"/>
</file>

<file path=customXml/itemProps5.xml><?xml version="1.0" encoding="utf-8"?>
<ds:datastoreItem xmlns:ds="http://schemas.openxmlformats.org/officeDocument/2006/customXml" ds:itemID="{D551E1E0-6D4B-4CCC-A483-7398A0C3C213}"/>
</file>

<file path=docProps/app.xml><?xml version="1.0" encoding="utf-8"?>
<Properties xmlns="http://schemas.openxmlformats.org/officeDocument/2006/extended-properties" xmlns:vt="http://schemas.openxmlformats.org/officeDocument/2006/docPropsVTypes">
  <Template>Normal</Template>
  <TotalTime>288</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UE-140531 UG-140533 memo</vt:lpstr>
    </vt:vector>
  </TitlesOfParts>
  <Company>Washington Utilities and Transportation Commission</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UE-140531 UG-140533 memo</dc:title>
  <dc:creator>EJ Keating</dc:creator>
  <cp:lastModifiedBy>Bradley Cebulko</cp:lastModifiedBy>
  <cp:revision>19</cp:revision>
  <cp:lastPrinted>2014-04-16T22:16:00Z</cp:lastPrinted>
  <dcterms:created xsi:type="dcterms:W3CDTF">2014-04-16T21:43:00Z</dcterms:created>
  <dcterms:modified xsi:type="dcterms:W3CDTF">2014-04-21T21:56:00Z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0x0101006E56B4D1795A2E4DB2F0B01679ED314A0025091682C5ECAC4181A2593C042943A0</vt:lpwstr>
  </property>
  <property fmtid="{D5CDD505-2E9C-101B-9397-08002B2CF9AE}" pid="3" name="_docset_NoMedatataSyncRequired">
    <vt:lpwstr>False</vt:lpwstr>
  </property>
</Properties>
</file>