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6CEE" w:rsidRPr="00CF6CEE" w:rsidRDefault="00882A37" w:rsidP="003E0C77">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6124575</wp:posOffset>
                </wp:positionH>
                <wp:positionV relativeFrom="paragraph">
                  <wp:posOffset>91440</wp:posOffset>
                </wp:positionV>
                <wp:extent cx="609600" cy="6629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9600" cy="662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r>
                              <w:rPr>
                                <w:rFonts w:ascii="Arial" w:hAnsi="Arial" w:cs="Arial"/>
                                <w:sz w:val="20"/>
                              </w:rPr>
                              <w:t>(D)</w:t>
                            </w: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r>
                              <w:rPr>
                                <w:rFonts w:ascii="Arial" w:hAnsi="Arial" w:cs="Arial"/>
                                <w:sz w:val="20"/>
                              </w:rPr>
                              <w:t>(D)</w:t>
                            </w: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r>
                              <w:rPr>
                                <w:rFonts w:ascii="Arial" w:hAnsi="Arial" w:cs="Arial"/>
                                <w:sz w:val="20"/>
                              </w:rPr>
                              <w:t>(N)</w:t>
                            </w:r>
                          </w:p>
                          <w:p w:rsidR="00882A37" w:rsidRDefault="00882A37">
                            <w:pPr>
                              <w:rPr>
                                <w:rFonts w:ascii="Arial" w:hAnsi="Arial" w:cs="Arial"/>
                                <w:sz w:val="20"/>
                              </w:rPr>
                            </w:pPr>
                            <w:r>
                              <w:rPr>
                                <w:rFonts w:ascii="Arial" w:hAnsi="Arial" w:cs="Arial"/>
                                <w:sz w:val="20"/>
                              </w:rPr>
                              <w:t>(N)</w:t>
                            </w:r>
                          </w:p>
                          <w:p w:rsidR="00882A37" w:rsidRPr="00882A37" w:rsidRDefault="00882A37">
                            <w:pPr>
                              <w:rPr>
                                <w:rFonts w:ascii="Arial" w:hAnsi="Arial" w:cs="Arial"/>
                                <w:sz w:val="20"/>
                              </w:rPr>
                            </w:pPr>
                            <w:r>
                              <w:rPr>
                                <w:rFonts w:ascii="Arial" w:hAnsi="Arial" w:cs="Arial"/>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2.25pt;margin-top:7.2pt;width:48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" filled="f" stroked="f" strokeweight=".5pt">
                <v:textbox>
                  <w:txbxContent>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r>
                        <w:rPr>
                          <w:rFonts w:ascii="Arial" w:hAnsi="Arial" w:cs="Arial"/>
                          <w:sz w:val="20"/>
                        </w:rPr>
                        <w:t>(D)</w:t>
                      </w: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r>
                        <w:rPr>
                          <w:rFonts w:ascii="Arial" w:hAnsi="Arial" w:cs="Arial"/>
                          <w:sz w:val="20"/>
                        </w:rPr>
                        <w:t>(D)</w:t>
                      </w:r>
                    </w:p>
                    <w:p w:rsidR="00882A37" w:rsidRDefault="00882A37">
                      <w:pPr>
                        <w:rPr>
                          <w:rFonts w:ascii="Arial" w:hAnsi="Arial" w:cs="Arial"/>
                          <w:sz w:val="20"/>
                        </w:rPr>
                      </w:pPr>
                    </w:p>
                    <w:p w:rsidR="00882A37" w:rsidRDefault="00882A37">
                      <w:pPr>
                        <w:rPr>
                          <w:rFonts w:ascii="Arial" w:hAnsi="Arial" w:cs="Arial"/>
                          <w:sz w:val="20"/>
                        </w:rPr>
                      </w:pPr>
                    </w:p>
                    <w:p w:rsidR="00882A37" w:rsidRDefault="00882A37">
                      <w:pPr>
                        <w:rPr>
                          <w:rFonts w:ascii="Arial" w:hAnsi="Arial" w:cs="Arial"/>
                          <w:sz w:val="20"/>
                        </w:rPr>
                      </w:pPr>
                      <w:r>
                        <w:rPr>
                          <w:rFonts w:ascii="Arial" w:hAnsi="Arial" w:cs="Arial"/>
                          <w:sz w:val="20"/>
                        </w:rPr>
                        <w:t>(N)</w:t>
                      </w:r>
                    </w:p>
                    <w:p w:rsidR="00882A37" w:rsidRDefault="00882A37">
                      <w:pPr>
                        <w:rPr>
                          <w:rFonts w:ascii="Arial" w:hAnsi="Arial" w:cs="Arial"/>
                          <w:sz w:val="20"/>
                        </w:rPr>
                      </w:pPr>
                      <w:r>
                        <w:rPr>
                          <w:rFonts w:ascii="Arial" w:hAnsi="Arial" w:cs="Arial"/>
                          <w:sz w:val="20"/>
                        </w:rPr>
                        <w:t>(N)</w:t>
                      </w:r>
                    </w:p>
                    <w:p w:rsidR="00882A37" w:rsidRPr="00882A37" w:rsidRDefault="00882A37">
                      <w:pPr>
                        <w:rPr>
                          <w:rFonts w:ascii="Arial" w:hAnsi="Arial" w:cs="Arial"/>
                          <w:sz w:val="20"/>
                        </w:rPr>
                      </w:pPr>
                      <w:r>
                        <w:rPr>
                          <w:rFonts w:ascii="Arial" w:hAnsi="Arial" w:cs="Arial"/>
                          <w:sz w:val="20"/>
                        </w:rPr>
                        <w:t>(N)</w:t>
                      </w:r>
                    </w:p>
                  </w:txbxContent>
                </v:textbox>
              </v:shape>
            </w:pict>
          </mc:Fallback>
        </mc:AlternateContent>
      </w:r>
      <w:r w:rsidR="00CF6CEE" w:rsidRPr="00CF6CEE">
        <w:rPr>
          <w:rFonts w:ascii="Arial" w:hAnsi="Arial" w:cs="Arial"/>
          <w:sz w:val="20"/>
          <w:u w:val="single"/>
        </w:rPr>
        <w:t xml:space="preserve">MAINTENANCE </w:t>
      </w:r>
      <w:proofErr w:type="gramStart"/>
      <w:r w:rsidR="00CF6CEE" w:rsidRPr="00CF6CEE">
        <w:rPr>
          <w:rFonts w:ascii="Arial" w:hAnsi="Arial" w:cs="Arial"/>
          <w:sz w:val="20"/>
          <w:u w:val="single"/>
        </w:rPr>
        <w:t>SERVICE</w:t>
      </w:r>
      <w:r w:rsidR="00CF6CEE" w:rsidRPr="00CF6CEE">
        <w:rPr>
          <w:rFonts w:ascii="Arial" w:hAnsi="Arial" w:cs="Arial"/>
          <w:sz w:val="20"/>
        </w:rPr>
        <w:t xml:space="preserve"> :</w:t>
      </w:r>
      <w:proofErr w:type="gramEnd"/>
      <w:r w:rsidR="00CF6CEE" w:rsidRPr="00CF6CEE">
        <w:rPr>
          <w:rFonts w:ascii="Arial" w:hAnsi="Arial" w:cs="Arial"/>
          <w:sz w:val="20"/>
        </w:rPr>
        <w:t xml:space="preserve"> (No New Service)</w:t>
      </w:r>
    </w:p>
    <w:p w:rsidR="00CF6CEE" w:rsidRPr="00CF6CEE" w:rsidRDefault="00CF6CEE" w:rsidP="003E0C77">
      <w:pPr>
        <w:ind w:left="12" w:firstLine="720"/>
        <w:jc w:val="both"/>
        <w:rPr>
          <w:rFonts w:ascii="Arial" w:hAnsi="Arial" w:cs="Arial"/>
          <w:sz w:val="20"/>
        </w:rPr>
      </w:pPr>
      <w:r w:rsidRPr="00CF6CEE">
        <w:rPr>
          <w:rFonts w:ascii="Arial" w:hAnsi="Arial" w:cs="Arial"/>
          <w:sz w:val="20"/>
        </w:rPr>
        <w:t>Where the utility operates and maintains the system, a flat rate equal to one-twelfth the estimated annual cost for operation and maintenance will be added to the Energy Only Service rates listed above.  Monthly Maintenance is only applicable for existing monthly maintenance service agreements in effect prior to April 15, 2008.</w:t>
      </w:r>
    </w:p>
    <w:p w:rsidR="00CF6CEE" w:rsidRPr="00CF6CEE" w:rsidRDefault="00CF6CEE" w:rsidP="003E0C77">
      <w:pPr>
        <w:jc w:val="both"/>
        <w:rPr>
          <w:rFonts w:ascii="Arial" w:hAnsi="Arial" w:cs="Arial"/>
          <w:sz w:val="20"/>
        </w:rPr>
      </w:pPr>
    </w:p>
    <w:p w:rsidR="00CF6CEE" w:rsidRPr="00CF6CEE" w:rsidRDefault="00CF6CEE" w:rsidP="003E0C77">
      <w:pPr>
        <w:jc w:val="both"/>
        <w:rPr>
          <w:rFonts w:ascii="Arial" w:hAnsi="Arial" w:cs="Arial"/>
          <w:sz w:val="20"/>
        </w:rPr>
      </w:pPr>
      <w:r w:rsidRPr="00CF6CEE">
        <w:rPr>
          <w:rFonts w:ascii="Arial" w:hAnsi="Arial" w:cs="Arial"/>
          <w:sz w:val="20"/>
          <w:u w:val="single"/>
        </w:rPr>
        <w:t>PROVISIONS</w:t>
      </w:r>
      <w:r w:rsidRPr="00CF6CEE">
        <w:rPr>
          <w:rFonts w:ascii="Arial" w:hAnsi="Arial" w:cs="Arial"/>
          <w:sz w:val="20"/>
        </w:rPr>
        <w:t xml:space="preserve">: </w:t>
      </w:r>
    </w:p>
    <w:p w:rsidR="00CF6CEE" w:rsidRPr="00CF6CEE" w:rsidRDefault="00CF6CEE" w:rsidP="003E0C77">
      <w:pPr>
        <w:numPr>
          <w:ilvl w:val="0"/>
          <w:numId w:val="6"/>
        </w:numPr>
        <w:tabs>
          <w:tab w:val="clear" w:pos="1080"/>
          <w:tab w:val="num" w:pos="732"/>
        </w:tabs>
        <w:ind w:left="732"/>
        <w:jc w:val="both"/>
        <w:rPr>
          <w:rFonts w:ascii="Arial" w:hAnsi="Arial" w:cs="Arial"/>
          <w:sz w:val="20"/>
        </w:rPr>
      </w:pPr>
      <w:r w:rsidRPr="00CF6CEE">
        <w:rPr>
          <w:rFonts w:ascii="Arial" w:hAnsi="Arial" w:cs="Arial"/>
          <w:sz w:val="20"/>
        </w:rPr>
        <w:t>The Company will not maintain new Customer owned street li</w:t>
      </w:r>
      <w:r w:rsidR="003E0C77">
        <w:rPr>
          <w:rFonts w:ascii="Arial" w:hAnsi="Arial" w:cs="Arial"/>
          <w:sz w:val="20"/>
        </w:rPr>
        <w:t xml:space="preserve">ghts. </w:t>
      </w:r>
      <w:r w:rsidRPr="00CF6CEE">
        <w:rPr>
          <w:rFonts w:ascii="Arial" w:hAnsi="Arial" w:cs="Arial"/>
          <w:sz w:val="20"/>
        </w:rPr>
        <w:t>Such maintenance will be the responsibility of the Customer; however the Company may install pole identification tags for the purposes of tracking unmetered Customer owned lights.</w:t>
      </w:r>
    </w:p>
    <w:p w:rsidR="00CF6CEE" w:rsidRPr="00CF6CEE" w:rsidRDefault="00CF6CEE" w:rsidP="003E0C77">
      <w:pPr>
        <w:tabs>
          <w:tab w:val="num" w:pos="732"/>
        </w:tabs>
        <w:ind w:left="732"/>
        <w:jc w:val="both"/>
        <w:rPr>
          <w:rFonts w:ascii="Arial" w:hAnsi="Arial" w:cs="Arial"/>
          <w:sz w:val="20"/>
        </w:rPr>
      </w:pPr>
    </w:p>
    <w:p w:rsidR="00CF6CEE" w:rsidRDefault="00CF6CEE" w:rsidP="003E0C77">
      <w:pPr>
        <w:numPr>
          <w:ilvl w:val="0"/>
          <w:numId w:val="6"/>
        </w:numPr>
        <w:tabs>
          <w:tab w:val="clear" w:pos="1080"/>
          <w:tab w:val="num" w:pos="732"/>
        </w:tabs>
        <w:ind w:left="732"/>
        <w:jc w:val="both"/>
        <w:rPr>
          <w:rFonts w:ascii="Arial" w:hAnsi="Arial" w:cs="Arial"/>
          <w:sz w:val="20"/>
        </w:rPr>
      </w:pPr>
      <w:r w:rsidRPr="00CF6CEE">
        <w:rPr>
          <w:rFonts w:ascii="Arial" w:hAnsi="Arial" w:cs="Arial"/>
          <w:sz w:val="20"/>
        </w:rPr>
        <w:t xml:space="preserve">Customer owned lights, mounted to Company owned distribution poles, shall be installed, maintained, transferred or removed only by qualified personnel.  </w:t>
      </w:r>
    </w:p>
    <w:p w:rsidR="003E0C77" w:rsidRPr="00CF6CEE" w:rsidRDefault="003E0C77" w:rsidP="003E0C77">
      <w:pPr>
        <w:jc w:val="both"/>
        <w:rPr>
          <w:rFonts w:ascii="Arial" w:hAnsi="Arial" w:cs="Arial"/>
          <w:sz w:val="20"/>
        </w:rPr>
      </w:pPr>
    </w:p>
    <w:p w:rsidR="00E13A5F" w:rsidRPr="003E0C77" w:rsidRDefault="00CF6CEE" w:rsidP="003E0C77">
      <w:pPr>
        <w:pStyle w:val="ListParagraph"/>
        <w:numPr>
          <w:ilvl w:val="0"/>
          <w:numId w:val="6"/>
        </w:numPr>
        <w:tabs>
          <w:tab w:val="clear" w:pos="1080"/>
          <w:tab w:val="num" w:pos="720"/>
        </w:tabs>
        <w:ind w:left="720"/>
        <w:rPr>
          <w:rFonts w:ascii="Arial" w:hAnsi="Arial" w:cs="Arial"/>
          <w:sz w:val="20"/>
        </w:rPr>
      </w:pPr>
      <w:r w:rsidRPr="00CF6CEE">
        <w:rPr>
          <w:rFonts w:ascii="Arial" w:hAnsi="Arial" w:cs="Arial"/>
          <w:sz w:val="20"/>
        </w:rPr>
        <w:t>The entire system, including the design of facilities, installation of fixtures on Customer poles, and wiring suitable for connection to Company’s system, will be furnished by the Customer.</w:t>
      </w:r>
      <w:r w:rsidR="003E0C77" w:rsidRPr="003E0C77">
        <w:rPr>
          <w:rFonts w:ascii="Arial" w:hAnsi="Arial" w:cs="Arial"/>
          <w:sz w:val="20"/>
        </w:rPr>
        <w:t xml:space="preserve"> </w:t>
      </w:r>
      <w:r w:rsidR="003E0C77">
        <w:rPr>
          <w:rFonts w:ascii="Arial" w:hAnsi="Arial" w:cs="Arial"/>
          <w:sz w:val="20"/>
        </w:rPr>
        <w:t>Electrical connections to Company facilities shall be performed by Company personnel or Company’s contractors.</w:t>
      </w:r>
    </w:p>
    <w:p w:rsidR="00CF6CEE" w:rsidRPr="00CF6CEE" w:rsidRDefault="00CF6CEE" w:rsidP="003E0C77">
      <w:pPr>
        <w:pStyle w:val="ListParagraph"/>
        <w:tabs>
          <w:tab w:val="num" w:pos="720"/>
        </w:tabs>
        <w:jc w:val="both"/>
        <w:rPr>
          <w:rFonts w:ascii="Arial" w:hAnsi="Arial" w:cs="Arial"/>
          <w:sz w:val="20"/>
        </w:rPr>
      </w:pPr>
    </w:p>
    <w:p w:rsidR="00CF6CEE" w:rsidRPr="00EB011A" w:rsidRDefault="00CF6CEE" w:rsidP="003E0C77">
      <w:pPr>
        <w:numPr>
          <w:ilvl w:val="0"/>
          <w:numId w:val="6"/>
        </w:numPr>
        <w:tabs>
          <w:tab w:val="clear" w:pos="1080"/>
          <w:tab w:val="num" w:pos="720"/>
        </w:tabs>
        <w:ind w:left="720"/>
        <w:jc w:val="both"/>
        <w:rPr>
          <w:rFonts w:ascii="Arial" w:hAnsi="Arial" w:cs="Arial"/>
          <w:sz w:val="20"/>
        </w:rPr>
      </w:pPr>
      <w:r w:rsidRPr="00CF6CEE">
        <w:rPr>
          <w:rFonts w:ascii="Arial" w:hAnsi="Arial" w:cs="Arial"/>
          <w:sz w:val="20"/>
        </w:rPr>
        <w:t>Customer must notify the Company in writing of any changes to the street lighting system which would affect billing, including new installations</w:t>
      </w:r>
      <w:r w:rsidR="003E0C77">
        <w:rPr>
          <w:rFonts w:ascii="Arial" w:hAnsi="Arial" w:cs="Arial"/>
          <w:sz w:val="20"/>
        </w:rPr>
        <w:t xml:space="preserve">, removals or wattage changes. </w:t>
      </w:r>
      <w:r w:rsidRPr="00CF6CEE">
        <w:rPr>
          <w:rFonts w:ascii="Arial" w:hAnsi="Arial" w:cs="Arial"/>
          <w:sz w:val="20"/>
        </w:rPr>
        <w:t xml:space="preserve">Standard notification procedure will be through online forms at </w:t>
      </w:r>
      <w:hyperlink r:id="rId9" w:history="1">
        <w:r w:rsidRPr="00EB011A">
          <w:rPr>
            <w:rStyle w:val="Hyperlink"/>
            <w:rFonts w:ascii="Arial" w:hAnsi="Arial" w:cs="Arial"/>
            <w:sz w:val="20"/>
          </w:rPr>
          <w:t>www.pacificpower.net/streetlights</w:t>
        </w:r>
      </w:hyperlink>
      <w:r w:rsidRPr="00EB011A">
        <w:rPr>
          <w:rFonts w:ascii="Arial" w:hAnsi="Arial" w:cs="Arial"/>
          <w:sz w:val="20"/>
        </w:rPr>
        <w:t>.</w:t>
      </w:r>
    </w:p>
    <w:p w:rsidR="00CF6CEE" w:rsidRPr="00CF6CEE" w:rsidRDefault="00CF6CEE" w:rsidP="003E0C77">
      <w:pPr>
        <w:tabs>
          <w:tab w:val="num" w:pos="720"/>
        </w:tabs>
        <w:ind w:left="720"/>
        <w:jc w:val="both"/>
        <w:rPr>
          <w:rFonts w:ascii="Arial" w:hAnsi="Arial" w:cs="Arial"/>
          <w:sz w:val="20"/>
        </w:rPr>
      </w:pPr>
    </w:p>
    <w:p w:rsidR="00CF6CEE" w:rsidRPr="00CF6CEE" w:rsidRDefault="00CF6CEE" w:rsidP="003E0C77">
      <w:pPr>
        <w:numPr>
          <w:ilvl w:val="0"/>
          <w:numId w:val="6"/>
        </w:numPr>
        <w:tabs>
          <w:tab w:val="clear" w:pos="1080"/>
          <w:tab w:val="num" w:pos="720"/>
        </w:tabs>
        <w:ind w:left="720"/>
        <w:jc w:val="both"/>
        <w:rPr>
          <w:rFonts w:ascii="Arial" w:hAnsi="Arial" w:cs="Arial"/>
          <w:sz w:val="20"/>
        </w:rPr>
      </w:pPr>
      <w:r w:rsidRPr="00CF6CEE">
        <w:rPr>
          <w:rFonts w:ascii="Arial" w:hAnsi="Arial" w:cs="Arial"/>
          <w:sz w:val="20"/>
        </w:rPr>
        <w:t>All new underground-fed lights on this schedule will require a Customer installed means of disconnect acceptable to both the Company and the local electrical inspecting authority.</w:t>
      </w:r>
    </w:p>
    <w:p w:rsidR="00CF6CEE" w:rsidRPr="00CF6CEE" w:rsidRDefault="00CF6CEE" w:rsidP="003E0C77">
      <w:pPr>
        <w:tabs>
          <w:tab w:val="num" w:pos="720"/>
        </w:tabs>
        <w:ind w:left="720"/>
        <w:jc w:val="both"/>
        <w:rPr>
          <w:rFonts w:ascii="Arial" w:hAnsi="Arial" w:cs="Arial"/>
          <w:sz w:val="20"/>
        </w:rPr>
      </w:pPr>
    </w:p>
    <w:p w:rsidR="00CF6CEE" w:rsidRPr="00CF6CEE" w:rsidRDefault="00CF6CEE" w:rsidP="003E0C77">
      <w:pPr>
        <w:numPr>
          <w:ilvl w:val="0"/>
          <w:numId w:val="6"/>
        </w:numPr>
        <w:tabs>
          <w:tab w:val="clear" w:pos="1080"/>
          <w:tab w:val="num" w:pos="720"/>
        </w:tabs>
        <w:ind w:left="720"/>
        <w:jc w:val="both"/>
        <w:rPr>
          <w:rFonts w:ascii="Arial" w:hAnsi="Arial" w:cs="Arial"/>
          <w:sz w:val="20"/>
        </w:rPr>
      </w:pPr>
      <w:r w:rsidRPr="00CF6CEE">
        <w:rPr>
          <w:rFonts w:ascii="Arial" w:hAnsi="Arial" w:cs="Arial"/>
          <w:sz w:val="20"/>
        </w:rPr>
        <w:t>Temporary disconnection and subsequent reconnection of electrical service requested by the Customer shall be at the Customer’s expense.</w:t>
      </w:r>
    </w:p>
    <w:p w:rsidR="00CF6CEE" w:rsidRPr="00CF6CEE" w:rsidRDefault="00CF6CEE" w:rsidP="003E0C77">
      <w:pPr>
        <w:tabs>
          <w:tab w:val="num" w:pos="720"/>
        </w:tabs>
        <w:ind w:left="720"/>
        <w:jc w:val="both"/>
        <w:rPr>
          <w:rFonts w:ascii="Arial" w:hAnsi="Arial" w:cs="Arial"/>
          <w:sz w:val="20"/>
        </w:rPr>
      </w:pPr>
    </w:p>
    <w:p w:rsidR="00CF6CEE" w:rsidRDefault="00CF6CEE" w:rsidP="003E0C77">
      <w:pPr>
        <w:numPr>
          <w:ilvl w:val="0"/>
          <w:numId w:val="6"/>
        </w:numPr>
        <w:tabs>
          <w:tab w:val="clear" w:pos="1080"/>
          <w:tab w:val="num" w:pos="720"/>
        </w:tabs>
        <w:ind w:left="720"/>
        <w:jc w:val="both"/>
        <w:rPr>
          <w:rFonts w:ascii="Arial" w:hAnsi="Arial" w:cs="Arial"/>
          <w:sz w:val="20"/>
        </w:rPr>
      </w:pPr>
      <w:r w:rsidRPr="00CF6CEE">
        <w:rPr>
          <w:rFonts w:ascii="Arial" w:hAnsi="Arial" w:cs="Arial"/>
          <w:sz w:val="20"/>
        </w:rPr>
        <w:t>Where approved by the Company, all pole mounted outlets used for holiday or other decorations as well as traffic or other signal systems, will be supplied with service on a metered General Service rate schedule via a Customer-installed meter base.</w:t>
      </w:r>
    </w:p>
    <w:p w:rsidR="005C2758" w:rsidRPr="00CF6CEE" w:rsidRDefault="005C2758" w:rsidP="003E0C77">
      <w:pPr>
        <w:jc w:val="both"/>
        <w:rPr>
          <w:rFonts w:ascii="Arial" w:hAnsi="Arial" w:cs="Arial"/>
          <w:sz w:val="20"/>
        </w:rPr>
      </w:pPr>
    </w:p>
    <w:p w:rsidR="005C2758" w:rsidRPr="005C2758" w:rsidRDefault="005C2758" w:rsidP="003E0C77">
      <w:pPr>
        <w:pStyle w:val="ListParagraph"/>
        <w:ind w:left="90"/>
        <w:jc w:val="both"/>
        <w:rPr>
          <w:rFonts w:ascii="Arial" w:hAnsi="Arial" w:cs="Arial"/>
          <w:sz w:val="20"/>
        </w:rPr>
      </w:pPr>
      <w:r w:rsidRPr="005C2758">
        <w:rPr>
          <w:rFonts w:ascii="Arial" w:hAnsi="Arial" w:cs="Arial"/>
          <w:sz w:val="20"/>
          <w:u w:val="single"/>
        </w:rPr>
        <w:t>TERM OF CONTRACT</w:t>
      </w:r>
      <w:r w:rsidRPr="005C2758">
        <w:rPr>
          <w:rFonts w:ascii="Arial" w:hAnsi="Arial" w:cs="Arial"/>
          <w:sz w:val="20"/>
        </w:rPr>
        <w:t>:</w:t>
      </w:r>
    </w:p>
    <w:p w:rsidR="005C2758" w:rsidRPr="005C2758" w:rsidRDefault="005C2758" w:rsidP="003E0C77">
      <w:pPr>
        <w:pStyle w:val="ListParagraph"/>
        <w:ind w:left="90" w:firstLine="630"/>
        <w:jc w:val="both"/>
        <w:rPr>
          <w:rFonts w:ascii="Arial" w:hAnsi="Arial" w:cs="Arial"/>
          <w:sz w:val="20"/>
        </w:rPr>
      </w:pPr>
      <w:r w:rsidRPr="005C2758">
        <w:rPr>
          <w:rFonts w:ascii="Arial" w:hAnsi="Arial" w:cs="Arial"/>
          <w:sz w:val="20"/>
        </w:rPr>
        <w:t>Not less than one (1) year for both new and replacement fixtures.</w:t>
      </w:r>
    </w:p>
    <w:p w:rsidR="005C2758" w:rsidRPr="005C2758" w:rsidRDefault="005C2758" w:rsidP="003E0C77">
      <w:pPr>
        <w:pStyle w:val="ListParagraph"/>
        <w:ind w:left="90"/>
        <w:jc w:val="both"/>
        <w:rPr>
          <w:rFonts w:ascii="Arial" w:hAnsi="Arial" w:cs="Arial"/>
          <w:sz w:val="20"/>
        </w:rPr>
      </w:pPr>
    </w:p>
    <w:p w:rsidR="005C2758" w:rsidRPr="005C2758" w:rsidRDefault="005C2758" w:rsidP="003E0C77">
      <w:pPr>
        <w:pStyle w:val="ListParagraph"/>
        <w:ind w:left="90"/>
        <w:jc w:val="both"/>
        <w:rPr>
          <w:rFonts w:ascii="Arial" w:hAnsi="Arial" w:cs="Arial"/>
          <w:sz w:val="20"/>
        </w:rPr>
      </w:pPr>
      <w:r w:rsidRPr="005C2758">
        <w:rPr>
          <w:rFonts w:ascii="Arial" w:hAnsi="Arial" w:cs="Arial"/>
          <w:sz w:val="20"/>
          <w:u w:val="single"/>
        </w:rPr>
        <w:t>RULES AND REGULATIONS</w:t>
      </w:r>
      <w:r w:rsidRPr="005C2758">
        <w:rPr>
          <w:rFonts w:ascii="Arial" w:hAnsi="Arial" w:cs="Arial"/>
          <w:sz w:val="20"/>
        </w:rPr>
        <w:t>:</w:t>
      </w:r>
    </w:p>
    <w:p w:rsidR="005C2758" w:rsidRPr="005C2758" w:rsidRDefault="005C2758" w:rsidP="003E0C77">
      <w:pPr>
        <w:pStyle w:val="ListParagraph"/>
        <w:ind w:left="90" w:firstLine="630"/>
        <w:jc w:val="both"/>
        <w:rPr>
          <w:rFonts w:ascii="Arial" w:hAnsi="Arial" w:cs="Arial"/>
          <w:sz w:val="20"/>
        </w:rPr>
      </w:pPr>
      <w:r w:rsidRPr="005C2758">
        <w:rPr>
          <w:rFonts w:ascii="Arial" w:hAnsi="Arial" w:cs="Arial"/>
          <w:sz w:val="20"/>
        </w:rPr>
        <w:t xml:space="preserve">Service under this schedule is subject to the General Rules and Regulations contained in the </w:t>
      </w:r>
      <w:proofErr w:type="gramStart"/>
      <w:r w:rsidRPr="005C2758">
        <w:rPr>
          <w:rFonts w:ascii="Arial" w:hAnsi="Arial" w:cs="Arial"/>
          <w:sz w:val="20"/>
        </w:rPr>
        <w:t>tariff</w:t>
      </w:r>
      <w:proofErr w:type="gramEnd"/>
      <w:r w:rsidRPr="005C2758">
        <w:rPr>
          <w:rFonts w:ascii="Arial" w:hAnsi="Arial" w:cs="Arial"/>
          <w:sz w:val="20"/>
        </w:rPr>
        <w:t xml:space="preserve"> of which this schedule is part and to those prescribed by regulatory authorities.</w:t>
      </w:r>
    </w:p>
    <w:p w:rsidR="00CF6CEE" w:rsidRPr="00CF6CEE" w:rsidRDefault="00CF6CEE" w:rsidP="003E0C77">
      <w:pPr>
        <w:pStyle w:val="ListParagraph"/>
        <w:ind w:left="1080"/>
        <w:jc w:val="both"/>
        <w:rPr>
          <w:rFonts w:ascii="Arial" w:hAnsi="Arial" w:cs="Arial"/>
          <w:sz w:val="20"/>
        </w:rPr>
      </w:pPr>
    </w:p>
    <w:sectPr w:rsidR="00CF6CEE" w:rsidRPr="00CF6CEE" w:rsidSect="00A91A21">
      <w:headerReference w:type="even" r:id="rId10"/>
      <w:headerReference w:type="default" r:id="rId11"/>
      <w:footerReference w:type="even" r:id="rId12"/>
      <w:footerReference w:type="default" r:id="rId13"/>
      <w:headerReference w:type="first" r:id="rId14"/>
      <w:footerReference w:type="first" r:id="rId15"/>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7A" w:rsidRDefault="005A1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E5DE8" w:rsidRDefault="004E5DE8" w:rsidP="004E5DE8">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5A1A7A">
      <w:rPr>
        <w:rFonts w:ascii="Arial" w:hAnsi="Arial" w:cs="Arial"/>
        <w:sz w:val="20"/>
      </w:rPr>
      <w:t>January 8, 2014</w:t>
    </w:r>
    <w:r>
      <w:rPr>
        <w:rFonts w:ascii="Arial" w:hAnsi="Arial" w:cs="Arial"/>
        <w:sz w:val="20"/>
      </w:rPr>
      <w:tab/>
    </w:r>
    <w:r>
      <w:rPr>
        <w:rFonts w:ascii="Arial" w:hAnsi="Arial" w:cs="Arial"/>
        <w:b/>
        <w:sz w:val="20"/>
      </w:rPr>
      <w:t>Effective:</w:t>
    </w:r>
    <w:r>
      <w:rPr>
        <w:rFonts w:ascii="Arial" w:hAnsi="Arial" w:cs="Arial"/>
        <w:sz w:val="20"/>
      </w:rPr>
      <w:t xml:space="preserve"> </w:t>
    </w:r>
    <w:r w:rsidR="005A1A7A">
      <w:rPr>
        <w:rFonts w:ascii="Arial" w:hAnsi="Arial" w:cs="Arial"/>
        <w:sz w:val="20"/>
      </w:rPr>
      <w:t>March 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5A1A7A">
      <w:rPr>
        <w:rFonts w:ascii="Arial" w:hAnsi="Arial" w:cs="Arial"/>
        <w:sz w:val="20"/>
      </w:rPr>
      <w:t>14-01</w:t>
    </w:r>
  </w:p>
  <w:p w:rsidR="003E0C77" w:rsidRDefault="003E0C77" w:rsidP="003E0C77">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4EBDBEDD" wp14:editId="6050126E">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3E0C77" w:rsidRDefault="003E0C77" w:rsidP="003E0C77">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7ADFE03F" wp14:editId="79AACC5E">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960AD" w:rsidRDefault="003E0C77" w:rsidP="003E0C77">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08DCB122" wp14:editId="1584220C">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7A" w:rsidRDefault="005A1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7A" w:rsidRDefault="005A1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370A7" w:rsidRDefault="002204EC" w:rsidP="001370A7">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370A7">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E0C77" w:rsidP="00A91A21">
    <w:pPr>
      <w:tabs>
        <w:tab w:val="left" w:pos="7200"/>
      </w:tabs>
      <w:ind w:right="2160"/>
      <w:jc w:val="right"/>
      <w:rPr>
        <w:rFonts w:ascii="Arial" w:hAnsi="Arial" w:cs="Arial"/>
        <w:sz w:val="20"/>
      </w:rPr>
    </w:pPr>
    <w:r>
      <w:rPr>
        <w:rFonts w:ascii="Arial" w:hAnsi="Arial" w:cs="Arial"/>
        <w:sz w:val="20"/>
      </w:rPr>
      <w:t>First Revision of Sheet No. 53.2</w:t>
    </w:r>
  </w:p>
  <w:p w:rsidR="003960AD" w:rsidRDefault="003E0C77"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E13A5F">
      <w:rPr>
        <w:rFonts w:ascii="Arial" w:hAnsi="Arial" w:cs="Arial"/>
        <w:sz w:val="20"/>
      </w:rPr>
      <w:t xml:space="preserve"> No. 53</w:t>
    </w:r>
    <w:r w:rsidR="00CF6CEE">
      <w:rPr>
        <w:rFonts w:ascii="Arial" w:hAnsi="Arial" w:cs="Arial"/>
        <w:sz w:val="20"/>
      </w:rPr>
      <w:t>.2</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7A" w:rsidRDefault="005A1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2F66245D"/>
    <w:multiLevelType w:val="hybridMultilevel"/>
    <w:tmpl w:val="FD926F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50B2"/>
    <w:rsid w:val="000C75B6"/>
    <w:rsid w:val="000E3B96"/>
    <w:rsid w:val="00113567"/>
    <w:rsid w:val="00135716"/>
    <w:rsid w:val="001370A7"/>
    <w:rsid w:val="001522E7"/>
    <w:rsid w:val="001620F1"/>
    <w:rsid w:val="00172D01"/>
    <w:rsid w:val="001C0F5B"/>
    <w:rsid w:val="001D4F15"/>
    <w:rsid w:val="001F19AC"/>
    <w:rsid w:val="001F372F"/>
    <w:rsid w:val="00204381"/>
    <w:rsid w:val="00205735"/>
    <w:rsid w:val="002204EC"/>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E0C77"/>
    <w:rsid w:val="003F72C1"/>
    <w:rsid w:val="004043D5"/>
    <w:rsid w:val="00404709"/>
    <w:rsid w:val="00457B71"/>
    <w:rsid w:val="00490AF3"/>
    <w:rsid w:val="004A30F3"/>
    <w:rsid w:val="004A52F7"/>
    <w:rsid w:val="004B1617"/>
    <w:rsid w:val="004C5FE8"/>
    <w:rsid w:val="004D6610"/>
    <w:rsid w:val="004E5DE8"/>
    <w:rsid w:val="00532FE6"/>
    <w:rsid w:val="00534D32"/>
    <w:rsid w:val="00546A05"/>
    <w:rsid w:val="00555712"/>
    <w:rsid w:val="00564506"/>
    <w:rsid w:val="00577682"/>
    <w:rsid w:val="00580EC3"/>
    <w:rsid w:val="00583749"/>
    <w:rsid w:val="005A1156"/>
    <w:rsid w:val="005A1A7A"/>
    <w:rsid w:val="005C2758"/>
    <w:rsid w:val="005C397C"/>
    <w:rsid w:val="005E008E"/>
    <w:rsid w:val="005E29DE"/>
    <w:rsid w:val="005F64B9"/>
    <w:rsid w:val="005F7880"/>
    <w:rsid w:val="006068A2"/>
    <w:rsid w:val="006638F3"/>
    <w:rsid w:val="00683DDC"/>
    <w:rsid w:val="0068713C"/>
    <w:rsid w:val="006A266F"/>
    <w:rsid w:val="006E1287"/>
    <w:rsid w:val="006E424F"/>
    <w:rsid w:val="00710518"/>
    <w:rsid w:val="0072316D"/>
    <w:rsid w:val="007504BF"/>
    <w:rsid w:val="0077488B"/>
    <w:rsid w:val="007854E0"/>
    <w:rsid w:val="00790CE2"/>
    <w:rsid w:val="007B7A3F"/>
    <w:rsid w:val="007E0BC7"/>
    <w:rsid w:val="007F06C3"/>
    <w:rsid w:val="007F6029"/>
    <w:rsid w:val="008119C5"/>
    <w:rsid w:val="00813698"/>
    <w:rsid w:val="00823ACF"/>
    <w:rsid w:val="008474F2"/>
    <w:rsid w:val="008766A2"/>
    <w:rsid w:val="00876B56"/>
    <w:rsid w:val="00882A37"/>
    <w:rsid w:val="00886645"/>
    <w:rsid w:val="008A77C7"/>
    <w:rsid w:val="008B2FE9"/>
    <w:rsid w:val="008E7364"/>
    <w:rsid w:val="00920A5D"/>
    <w:rsid w:val="009421D3"/>
    <w:rsid w:val="009520EF"/>
    <w:rsid w:val="009969BA"/>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25633"/>
    <w:rsid w:val="00B43CBE"/>
    <w:rsid w:val="00B54432"/>
    <w:rsid w:val="00B62CA7"/>
    <w:rsid w:val="00B86CD1"/>
    <w:rsid w:val="00BA088F"/>
    <w:rsid w:val="00C0493E"/>
    <w:rsid w:val="00C210FD"/>
    <w:rsid w:val="00C2619E"/>
    <w:rsid w:val="00C31B67"/>
    <w:rsid w:val="00C41C7D"/>
    <w:rsid w:val="00C60F7D"/>
    <w:rsid w:val="00C91131"/>
    <w:rsid w:val="00CD01ED"/>
    <w:rsid w:val="00CE6692"/>
    <w:rsid w:val="00CF64E6"/>
    <w:rsid w:val="00CF6CEE"/>
    <w:rsid w:val="00D23AB3"/>
    <w:rsid w:val="00D313E0"/>
    <w:rsid w:val="00D402C2"/>
    <w:rsid w:val="00D45A57"/>
    <w:rsid w:val="00D60206"/>
    <w:rsid w:val="00D932B5"/>
    <w:rsid w:val="00DB4D8D"/>
    <w:rsid w:val="00E13A5F"/>
    <w:rsid w:val="00E338F0"/>
    <w:rsid w:val="00E52C0F"/>
    <w:rsid w:val="00E53EC5"/>
    <w:rsid w:val="00E84454"/>
    <w:rsid w:val="00E86C83"/>
    <w:rsid w:val="00EB011A"/>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CF6CEE"/>
    <w:pPr>
      <w:ind w:left="720"/>
      <w:contextualSpacing/>
    </w:pPr>
  </w:style>
  <w:style w:type="table" w:styleId="TableGrid">
    <w:name w:val="Table Grid"/>
    <w:basedOn w:val="TableNormal"/>
    <w:uiPriority w:val="59"/>
    <w:rsid w:val="00CF6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6C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CF6CEE"/>
    <w:pPr>
      <w:ind w:left="720"/>
      <w:contextualSpacing/>
    </w:pPr>
  </w:style>
  <w:style w:type="table" w:styleId="TableGrid">
    <w:name w:val="Table Grid"/>
    <w:basedOn w:val="TableNormal"/>
    <w:uiPriority w:val="59"/>
    <w:rsid w:val="00CF6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6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6029">
      <w:bodyDiv w:val="1"/>
      <w:marLeft w:val="0"/>
      <w:marRight w:val="0"/>
      <w:marTop w:val="0"/>
      <w:marBottom w:val="0"/>
      <w:divBdr>
        <w:top w:val="none" w:sz="0" w:space="0" w:color="auto"/>
        <w:left w:val="none" w:sz="0" w:space="0" w:color="auto"/>
        <w:bottom w:val="none" w:sz="0" w:space="0" w:color="auto"/>
        <w:right w:val="none" w:sz="0" w:space="0" w:color="auto"/>
      </w:divBdr>
    </w:div>
    <w:div w:id="17667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E48C9D-A028-4AA9-B06A-E79E05E383A4}"/>
</file>

<file path=customXml/itemProps2.xml><?xml version="1.0" encoding="utf-8"?>
<ds:datastoreItem xmlns:ds="http://schemas.openxmlformats.org/officeDocument/2006/customXml" ds:itemID="{1B8F4977-C2B1-4C12-9B7E-8D7FD8BF5496}"/>
</file>

<file path=customXml/itemProps3.xml><?xml version="1.0" encoding="utf-8"?>
<ds:datastoreItem xmlns:ds="http://schemas.openxmlformats.org/officeDocument/2006/customXml" ds:itemID="{5FB20C84-33F0-49BF-8FE3-60C1E54345E2}"/>
</file>

<file path=customXml/itemProps4.xml><?xml version="1.0" encoding="utf-8"?>
<ds:datastoreItem xmlns:ds="http://schemas.openxmlformats.org/officeDocument/2006/customXml" ds:itemID="{5AD9A446-AE53-49E0-876F-D4B83455F413}"/>
</file>

<file path=customXml/itemProps5.xml><?xml version="1.0" encoding="utf-8"?>
<ds:datastoreItem xmlns:ds="http://schemas.openxmlformats.org/officeDocument/2006/customXml" ds:itemID="{3983A844-A93C-4628-BA4D-7A729B4D72B7}"/>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2014-01-08T23:47:00Z</dcterms:created>
  <dcterms:modified xsi:type="dcterms:W3CDTF">2014-01-08T23:47:00Z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