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DC2E6" w14:textId="77777777" w:rsidR="000A1236" w:rsidRPr="00C923D6" w:rsidRDefault="000A1236">
      <w:pPr>
        <w:pStyle w:val="BodyText"/>
        <w:rPr>
          <w:b/>
          <w:bCs/>
        </w:rPr>
      </w:pPr>
      <w:bookmarkStart w:id="0" w:name="_GoBack"/>
      <w:bookmarkEnd w:id="0"/>
      <w:r w:rsidRPr="00C923D6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C923D6">
            <w:rPr>
              <w:b/>
              <w:bCs/>
            </w:rPr>
            <w:t>WASHINGTON</w:t>
          </w:r>
        </w:smartTag>
        <w:r w:rsidRPr="00C923D6">
          <w:rPr>
            <w:b/>
            <w:bCs/>
          </w:rPr>
          <w:t xml:space="preserve"> </w:t>
        </w:r>
        <w:smartTag w:uri="urn:schemas-microsoft-com:office:smarttags" w:element="PlaceType">
          <w:r w:rsidRPr="00C923D6">
            <w:rPr>
              <w:b/>
              <w:bCs/>
            </w:rPr>
            <w:t>STATE</w:t>
          </w:r>
        </w:smartTag>
      </w:smartTag>
    </w:p>
    <w:p w14:paraId="098DC2E7" w14:textId="77777777" w:rsidR="000A1236" w:rsidRPr="00C923D6" w:rsidRDefault="000A1236">
      <w:pPr>
        <w:pStyle w:val="BodyText"/>
        <w:rPr>
          <w:b/>
          <w:bCs/>
        </w:rPr>
      </w:pPr>
      <w:r w:rsidRPr="00C923D6">
        <w:rPr>
          <w:b/>
          <w:bCs/>
        </w:rPr>
        <w:t>UTILITIES AND TRANSPORTATION COMMISSION</w:t>
      </w:r>
    </w:p>
    <w:p w14:paraId="098DC2E8" w14:textId="77777777" w:rsidR="000A1236" w:rsidRPr="00C923D6" w:rsidRDefault="000A1236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480"/>
        <w:gridCol w:w="4188"/>
      </w:tblGrid>
      <w:tr w:rsidR="000A1236" w:rsidRPr="00C923D6" w14:paraId="098DC2FB" w14:textId="77777777">
        <w:tc>
          <w:tcPr>
            <w:tcW w:w="4188" w:type="dxa"/>
          </w:tcPr>
          <w:p w14:paraId="098DC2E9" w14:textId="77777777" w:rsidR="000A1236" w:rsidRPr="00C923D6" w:rsidRDefault="000A1236">
            <w:pPr>
              <w:pStyle w:val="Header"/>
              <w:tabs>
                <w:tab w:val="clear" w:pos="4320"/>
                <w:tab w:val="clear" w:pos="8640"/>
              </w:tabs>
            </w:pPr>
            <w:r w:rsidRPr="00C923D6">
              <w:t xml:space="preserve">In the Matter of the Petition of </w:t>
            </w:r>
          </w:p>
          <w:p w14:paraId="098DC2EA" w14:textId="77777777" w:rsidR="000A1236" w:rsidRPr="00C923D6" w:rsidRDefault="000A1236"/>
          <w:p w14:paraId="098DC2EB" w14:textId="77777777" w:rsidR="000A1236" w:rsidRPr="001C2934" w:rsidRDefault="000F646A">
            <w:r w:rsidRPr="001C2934">
              <w:t xml:space="preserve">AVISTA CORPORATION </w:t>
            </w:r>
          </w:p>
          <w:p w14:paraId="098DC2EC" w14:textId="77777777" w:rsidR="000A1236" w:rsidRPr="00C923D6" w:rsidRDefault="000A1236"/>
          <w:p w14:paraId="098DC2ED" w14:textId="77777777" w:rsidR="000A1236" w:rsidRPr="00C923D6" w:rsidRDefault="000A1236">
            <w:r w:rsidRPr="00C923D6">
              <w:t xml:space="preserve">                 Petitioner, </w:t>
            </w:r>
          </w:p>
          <w:p w14:paraId="098DC2EE" w14:textId="77777777" w:rsidR="000A1236" w:rsidRPr="00C923D6" w:rsidRDefault="000A1236"/>
          <w:p w14:paraId="098DC2EF" w14:textId="77777777" w:rsidR="000A1236" w:rsidRPr="00C923D6" w:rsidRDefault="000A1236">
            <w:r w:rsidRPr="00C923D6">
              <w:t xml:space="preserve">For An Accounting Order </w:t>
            </w:r>
            <w:r w:rsidR="00264286">
              <w:t>to</w:t>
            </w:r>
            <w:r w:rsidR="009842A4">
              <w:t xml:space="preserve"> Defer Costs Related to</w:t>
            </w:r>
            <w:r w:rsidR="00264286">
              <w:t xml:space="preserve"> I</w:t>
            </w:r>
            <w:r w:rsidR="000F646A" w:rsidRPr="000F646A">
              <w:t xml:space="preserve">mproving </w:t>
            </w:r>
            <w:r w:rsidR="00264286">
              <w:t>Dissolved Oxygen Levels i</w:t>
            </w:r>
            <w:r w:rsidR="00264286" w:rsidRPr="000F646A">
              <w:t xml:space="preserve">n </w:t>
            </w:r>
            <w:r w:rsidR="000F646A" w:rsidRPr="000F646A">
              <w:t>Lake Spokane</w:t>
            </w:r>
            <w:r w:rsidR="00264286" w:rsidRPr="000F646A">
              <w:t>.</w:t>
            </w:r>
          </w:p>
          <w:p w14:paraId="098DC2F0" w14:textId="77777777" w:rsidR="000A1236" w:rsidRPr="00C923D6" w:rsidRDefault="000A1236">
            <w:r w:rsidRPr="00C923D6">
              <w:t xml:space="preserve">. . . . . . . . . . . . . . . . . . . . . . . . . . . . . . . . . </w:t>
            </w:r>
          </w:p>
        </w:tc>
        <w:tc>
          <w:tcPr>
            <w:tcW w:w="480" w:type="dxa"/>
          </w:tcPr>
          <w:p w14:paraId="098DC2F1" w14:textId="77777777" w:rsidR="000A1236" w:rsidRPr="00C923D6" w:rsidRDefault="000A1236">
            <w:pPr>
              <w:jc w:val="center"/>
            </w:pPr>
            <w:r w:rsidRPr="00C923D6">
              <w:t>)</w:t>
            </w:r>
          </w:p>
          <w:p w14:paraId="098DC2F2" w14:textId="77777777" w:rsidR="000A1236" w:rsidRPr="00C923D6" w:rsidRDefault="000A1236">
            <w:pPr>
              <w:jc w:val="center"/>
            </w:pPr>
            <w:r w:rsidRPr="00C923D6"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</w:p>
          <w:p w14:paraId="5935D4A0" w14:textId="77777777" w:rsidR="00D948FB" w:rsidRDefault="000A1236">
            <w:pPr>
              <w:jc w:val="center"/>
            </w:pPr>
            <w:r w:rsidRPr="00C923D6">
              <w:t>)</w:t>
            </w:r>
            <w:r w:rsidRPr="00C923D6">
              <w:br/>
            </w:r>
            <w:r w:rsidR="00D948FB">
              <w:t>)</w:t>
            </w:r>
          </w:p>
          <w:p w14:paraId="098DC2F3" w14:textId="77777777" w:rsidR="000A1236" w:rsidRPr="00C923D6" w:rsidRDefault="000A1236">
            <w:pPr>
              <w:jc w:val="center"/>
            </w:pPr>
            <w:r w:rsidRPr="00C923D6">
              <w:t>)</w:t>
            </w:r>
          </w:p>
        </w:tc>
        <w:tc>
          <w:tcPr>
            <w:tcW w:w="4188" w:type="dxa"/>
          </w:tcPr>
          <w:p w14:paraId="098DC2F4" w14:textId="77777777" w:rsidR="000A1236" w:rsidRPr="00C923D6" w:rsidRDefault="00491C72">
            <w:r>
              <w:t>DOCKET</w:t>
            </w:r>
            <w:r w:rsidR="001C45E0">
              <w:t xml:space="preserve"> UE-131576</w:t>
            </w:r>
          </w:p>
          <w:p w14:paraId="098DC2F5" w14:textId="77777777" w:rsidR="000A1236" w:rsidRPr="00C923D6" w:rsidRDefault="000A1236"/>
          <w:p w14:paraId="098DC2F6" w14:textId="77777777" w:rsidR="000A1236" w:rsidRPr="00C923D6" w:rsidRDefault="00491C72">
            <w:r>
              <w:t>ORDER</w:t>
            </w:r>
            <w:r w:rsidR="000A1236" w:rsidRPr="00C923D6">
              <w:t xml:space="preserve"> </w:t>
            </w:r>
            <w:r w:rsidR="001C2934">
              <w:t>01</w:t>
            </w:r>
          </w:p>
          <w:p w14:paraId="098DC2F7" w14:textId="77777777" w:rsidR="000A1236" w:rsidRPr="00C923D6" w:rsidRDefault="000A1236">
            <w:pPr>
              <w:rPr>
                <w:b/>
                <w:bCs/>
              </w:rPr>
            </w:pPr>
          </w:p>
          <w:p w14:paraId="098DC2F8" w14:textId="77777777" w:rsidR="000A1236" w:rsidRPr="00C923D6" w:rsidRDefault="000A1236">
            <w:pPr>
              <w:rPr>
                <w:b/>
                <w:bCs/>
              </w:rPr>
            </w:pPr>
          </w:p>
          <w:p w14:paraId="098DC2F9" w14:textId="77777777" w:rsidR="000A1236" w:rsidRPr="00C923D6" w:rsidRDefault="000A1236">
            <w:pPr>
              <w:rPr>
                <w:b/>
                <w:bCs/>
              </w:rPr>
            </w:pPr>
          </w:p>
          <w:p w14:paraId="6771C4F2" w14:textId="77777777" w:rsidR="00D948FB" w:rsidRDefault="00D948FB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098DC2FA" w14:textId="77777777" w:rsidR="000A1236" w:rsidRPr="00C923D6" w:rsidRDefault="000A1236">
            <w:pPr>
              <w:pStyle w:val="Header"/>
              <w:tabs>
                <w:tab w:val="clear" w:pos="4320"/>
                <w:tab w:val="clear" w:pos="8640"/>
              </w:tabs>
            </w:pPr>
            <w:r w:rsidRPr="00C923D6">
              <w:t xml:space="preserve">ORDER APPROVING ACCOUNTING PETITION  </w:t>
            </w:r>
          </w:p>
        </w:tc>
      </w:tr>
    </w:tbl>
    <w:p w14:paraId="098DC2FC" w14:textId="012AF125" w:rsidR="000A1236" w:rsidRPr="00C923D6" w:rsidRDefault="000A1236">
      <w:pPr>
        <w:jc w:val="center"/>
      </w:pPr>
    </w:p>
    <w:p w14:paraId="098DC2FD" w14:textId="77777777" w:rsidR="000A1236" w:rsidRPr="00C923D6" w:rsidRDefault="000A1236">
      <w:pPr>
        <w:pStyle w:val="Heading1"/>
        <w:spacing w:line="288" w:lineRule="auto"/>
      </w:pPr>
      <w:r w:rsidRPr="00C923D6">
        <w:t>BACKGROUND</w:t>
      </w:r>
    </w:p>
    <w:p w14:paraId="098DC2FE" w14:textId="77777777" w:rsidR="000A1236" w:rsidRPr="00C923D6" w:rsidRDefault="000A1236">
      <w:pPr>
        <w:spacing w:line="288" w:lineRule="auto"/>
        <w:jc w:val="center"/>
      </w:pPr>
    </w:p>
    <w:p w14:paraId="098DC2FF" w14:textId="77777777" w:rsidR="00FF5EE1" w:rsidRDefault="000A1236" w:rsidP="00FF5EE1">
      <w:pPr>
        <w:numPr>
          <w:ilvl w:val="0"/>
          <w:numId w:val="1"/>
        </w:numPr>
        <w:spacing w:after="240" w:line="288" w:lineRule="auto"/>
      </w:pPr>
      <w:r w:rsidRPr="00C923D6">
        <w:t xml:space="preserve">On </w:t>
      </w:r>
      <w:r w:rsidR="00264286">
        <w:t>August 28, 2013</w:t>
      </w:r>
      <w:r w:rsidRPr="00C923D6">
        <w:t>,</w:t>
      </w:r>
      <w:r w:rsidRPr="00C923D6">
        <w:rPr>
          <w:b/>
          <w:bCs/>
        </w:rPr>
        <w:t xml:space="preserve"> </w:t>
      </w:r>
      <w:r w:rsidR="00264286">
        <w:t xml:space="preserve">Avista Corporation </w:t>
      </w:r>
      <w:r w:rsidR="00264286" w:rsidRPr="00264286">
        <w:t>(</w:t>
      </w:r>
      <w:r w:rsidR="00264286">
        <w:t>Avista</w:t>
      </w:r>
      <w:r w:rsidR="00264286" w:rsidRPr="00264286">
        <w:t xml:space="preserve"> or Company), </w:t>
      </w:r>
      <w:r w:rsidR="003C2270">
        <w:t xml:space="preserve">filed a petition seeking </w:t>
      </w:r>
      <w:r w:rsidRPr="00C923D6">
        <w:t xml:space="preserve">an Accounting Order under WAC 480-07-370(b)(i) </w:t>
      </w:r>
      <w:r w:rsidR="00264286" w:rsidRPr="00264286">
        <w:t>to defer costs related to the improvement of dissolved oxygen levels in Lake Spokane</w:t>
      </w:r>
      <w:r w:rsidR="00FF5EE1">
        <w:t xml:space="preserve"> (the Lake)</w:t>
      </w:r>
      <w:r w:rsidR="00264286">
        <w:t xml:space="preserve">.  </w:t>
      </w:r>
      <w:r w:rsidRPr="00C923D6">
        <w:t xml:space="preserve"> </w:t>
      </w:r>
    </w:p>
    <w:p w14:paraId="098DC300" w14:textId="4CF10B4F" w:rsidR="00CE45E5" w:rsidRDefault="00FF5EE1" w:rsidP="00FF5EE1">
      <w:pPr>
        <w:numPr>
          <w:ilvl w:val="0"/>
          <w:numId w:val="1"/>
        </w:numPr>
        <w:spacing w:after="240" w:line="288" w:lineRule="auto"/>
      </w:pPr>
      <w:r w:rsidRPr="002D5A23">
        <w:t xml:space="preserve">The Company </w:t>
      </w:r>
      <w:r>
        <w:t xml:space="preserve">received </w:t>
      </w:r>
      <w:r w:rsidR="00F40B86">
        <w:t>a</w:t>
      </w:r>
      <w:r w:rsidRPr="002D5A23">
        <w:t xml:space="preserve"> FERC Project License</w:t>
      </w:r>
      <w:r w:rsidR="00F40B86">
        <w:t xml:space="preserve"> numbered 2545</w:t>
      </w:r>
      <w:r w:rsidRPr="002D5A23">
        <w:t xml:space="preserve"> for the Spok</w:t>
      </w:r>
      <w:r w:rsidR="000917B8">
        <w:t>ane River Project (License</w:t>
      </w:r>
      <w:r w:rsidRPr="002D5A23">
        <w:t>)</w:t>
      </w:r>
      <w:r w:rsidR="00F40B86">
        <w:t xml:space="preserve"> on June 18, 2009.  The License </w:t>
      </w:r>
      <w:r>
        <w:t>included a</w:t>
      </w:r>
      <w:r w:rsidRPr="00FF5EE1">
        <w:t>s condition 5.6C</w:t>
      </w:r>
      <w:r w:rsidR="00F40B86">
        <w:t xml:space="preserve"> a requirement</w:t>
      </w:r>
      <w:r w:rsidRPr="00FF5EE1">
        <w:t xml:space="preserve"> to develop a Water Quality Attainment Plan</w:t>
      </w:r>
      <w:r w:rsidR="000917B8">
        <w:t xml:space="preserve"> (Attainment Plan)</w:t>
      </w:r>
      <w:r w:rsidRPr="00FF5EE1">
        <w:t xml:space="preserve"> to improve th</w:t>
      </w:r>
      <w:r>
        <w:t>e oxygen levels of Lake Spokane</w:t>
      </w:r>
      <w:r w:rsidRPr="002D5A23">
        <w:t xml:space="preserve">.  </w:t>
      </w:r>
      <w:r w:rsidR="00F40B86">
        <w:t>During the same time the Company was renewing the License, the W</w:t>
      </w:r>
      <w:r w:rsidR="00D370E9">
        <w:t>ashington Department of Ecology</w:t>
      </w:r>
      <w:r w:rsidR="000917B8">
        <w:t xml:space="preserve"> (Ecology)</w:t>
      </w:r>
      <w:r w:rsidR="00D370E9">
        <w:t xml:space="preserve"> began a</w:t>
      </w:r>
      <w:r w:rsidRPr="005D1F52">
        <w:t xml:space="preserve"> Dissolved O</w:t>
      </w:r>
      <w:r>
        <w:t>xygen Total Maximum Daily Load S</w:t>
      </w:r>
      <w:r w:rsidRPr="005D1F52">
        <w:t>tudy</w:t>
      </w:r>
      <w:r w:rsidR="000917B8">
        <w:t xml:space="preserve"> (</w:t>
      </w:r>
      <w:r>
        <w:t>TMDL)</w:t>
      </w:r>
      <w:r w:rsidRPr="005D1F52">
        <w:t>.</w:t>
      </w:r>
      <w:r w:rsidR="00D370E9">
        <w:t xml:space="preserve">  The TMDL was still ongoing at</w:t>
      </w:r>
      <w:r w:rsidR="00B36023">
        <w:t xml:space="preserve"> </w:t>
      </w:r>
      <w:r w:rsidR="00CE45E5">
        <w:t xml:space="preserve">the issuance of the License.  </w:t>
      </w:r>
    </w:p>
    <w:p w14:paraId="098DC301" w14:textId="77777777" w:rsidR="00FF5EE1" w:rsidRDefault="00B36023" w:rsidP="00FF5EE1">
      <w:pPr>
        <w:numPr>
          <w:ilvl w:val="0"/>
          <w:numId w:val="1"/>
        </w:numPr>
        <w:spacing w:after="240" w:line="288" w:lineRule="auto"/>
      </w:pPr>
      <w:r>
        <w:t xml:space="preserve">The TMDL was completed in 2012 and the License was amended to reflect </w:t>
      </w:r>
      <w:r w:rsidR="001C2934">
        <w:t>the TMDL</w:t>
      </w:r>
      <w:r>
        <w:t xml:space="preserve"> recommendations.  </w:t>
      </w:r>
      <w:r w:rsidR="00FF5EE1">
        <w:t xml:space="preserve">The TMDL did not address the method Avista was required to use </w:t>
      </w:r>
      <w:r w:rsidR="000917B8">
        <w:t xml:space="preserve">to address the low oxygen </w:t>
      </w:r>
      <w:r w:rsidR="00B30C89">
        <w:t>issue</w:t>
      </w:r>
      <w:r w:rsidR="00CE45E5">
        <w:t xml:space="preserve"> in its Attainment Plan</w:t>
      </w:r>
      <w:r w:rsidR="00B30C89">
        <w:t>.  One proposal made during the TMDL</w:t>
      </w:r>
      <w:r w:rsidR="001C2934">
        <w:t xml:space="preserve"> discussions</w:t>
      </w:r>
      <w:r w:rsidR="00B30C89">
        <w:t xml:space="preserve"> was to aerate the lake with an oxygenation facility</w:t>
      </w:r>
      <w:r w:rsidR="00FD64D2">
        <w:t xml:space="preserve"> (Facility)</w:t>
      </w:r>
      <w:r w:rsidR="00B30C89">
        <w:t>.  Avista calculated the facility would have an approximate cost of $8.0 million to build and $200-300 thousand per year in continuing operations and maintenance costs</w:t>
      </w:r>
      <w:r w:rsidR="00CE45E5">
        <w:t xml:space="preserve">.  As an alternative to this </w:t>
      </w:r>
      <w:r w:rsidR="00CF59AD">
        <w:t>facility</w:t>
      </w:r>
      <w:r w:rsidR="00CE45E5">
        <w:t>, Avista proposed an Attainment Plan that include</w:t>
      </w:r>
      <w:r w:rsidR="00CF59AD">
        <w:t>d</w:t>
      </w:r>
      <w:r w:rsidR="00CE45E5">
        <w:t xml:space="preserve"> vegetation management</w:t>
      </w:r>
      <w:r w:rsidR="007D434D">
        <w:t xml:space="preserve"> and education programs.  Avista estimates the cost of this second plan as approximately $100 – 150 thousand per year in ongoing operation and maintenance costs.  </w:t>
      </w:r>
      <w:r w:rsidR="00CF59AD">
        <w:t xml:space="preserve">The second alternative was ultimately </w:t>
      </w:r>
      <w:r w:rsidR="000843BB">
        <w:t xml:space="preserve">approved by Ecology and the FERC in October 2012.  </w:t>
      </w:r>
    </w:p>
    <w:p w14:paraId="098DC302" w14:textId="77777777" w:rsidR="000A1236" w:rsidRDefault="008A2580" w:rsidP="00342647">
      <w:pPr>
        <w:numPr>
          <w:ilvl w:val="0"/>
          <w:numId w:val="1"/>
        </w:numPr>
        <w:spacing w:after="240" w:line="288" w:lineRule="auto"/>
      </w:pPr>
      <w:r>
        <w:t>Avista</w:t>
      </w:r>
      <w:r w:rsidR="00342647">
        <w:t xml:space="preserve"> submits that it</w:t>
      </w:r>
      <w:r>
        <w:t xml:space="preserve"> </w:t>
      </w:r>
      <w:r w:rsidR="0022777C">
        <w:t>incurred costs during the development of the Attainment Plan</w:t>
      </w:r>
      <w:r w:rsidR="00342647">
        <w:t xml:space="preserve"> </w:t>
      </w:r>
      <w:r w:rsidR="00342647" w:rsidRPr="00342647">
        <w:t>as a legitimate cost of operating as a public utility in the st</w:t>
      </w:r>
      <w:r w:rsidR="00741EAE">
        <w:t>ate of Washington and</w:t>
      </w:r>
      <w:r w:rsidR="00342647">
        <w:t xml:space="preserve"> </w:t>
      </w:r>
      <w:r w:rsidR="00342647" w:rsidRPr="00342647">
        <w:t>to fulfill obligations imposed by state and federal environmental</w:t>
      </w:r>
      <w:r w:rsidR="00741EAE">
        <w:t xml:space="preserve"> and regulatory</w:t>
      </w:r>
      <w:r w:rsidR="00342647" w:rsidRPr="00342647">
        <w:t xml:space="preserve"> agencies</w:t>
      </w:r>
      <w:r w:rsidR="00342647">
        <w:t xml:space="preserve">.  </w:t>
      </w:r>
      <w:r w:rsidR="007D434D">
        <w:t xml:space="preserve">These </w:t>
      </w:r>
      <w:r w:rsidR="007D434D">
        <w:lastRenderedPageBreak/>
        <w:t>costs</w:t>
      </w:r>
      <w:r w:rsidR="0022777C">
        <w:t xml:space="preserve"> </w:t>
      </w:r>
      <w:r w:rsidR="007D434D">
        <w:t>include</w:t>
      </w:r>
      <w:r w:rsidR="0022777C">
        <w:t xml:space="preserve"> data gather</w:t>
      </w:r>
      <w:r w:rsidR="00AB0C6F">
        <w:t>ing</w:t>
      </w:r>
      <w:r w:rsidR="0022777C">
        <w:t>, estimates of Avista’s responsibility</w:t>
      </w:r>
      <w:r w:rsidR="00342647">
        <w:t xml:space="preserve"> for the Lake</w:t>
      </w:r>
      <w:r w:rsidR="0022777C">
        <w:t xml:space="preserve">, technical and legal analysis, and the development of alternatives to an oxygenation facility.  Avista </w:t>
      </w:r>
      <w:r>
        <w:t xml:space="preserve">recorded costs of $1.34 </w:t>
      </w:r>
      <w:r w:rsidRPr="005C37FC">
        <w:t>million in</w:t>
      </w:r>
      <w:r w:rsidR="0022777C" w:rsidRPr="005C37FC">
        <w:t xml:space="preserve"> FERC </w:t>
      </w:r>
      <w:r w:rsidR="0062420A" w:rsidRPr="005C37FC">
        <w:t>account</w:t>
      </w:r>
      <w:r w:rsidR="005C37FC">
        <w:t xml:space="preserve"> 107.0</w:t>
      </w:r>
      <w:r w:rsidR="0062420A">
        <w:t xml:space="preserve"> “</w:t>
      </w:r>
      <w:r>
        <w:t>Con</w:t>
      </w:r>
      <w:r w:rsidR="0022777C">
        <w:t xml:space="preserve">struction Work in Progress” in anticipation of </w:t>
      </w:r>
      <w:r w:rsidR="00FD64D2">
        <w:t>a requirement to build the Facility</w:t>
      </w:r>
      <w:r w:rsidR="00775DEC">
        <w:t>.  Avista intended to capitalize these costs after the construction of the Facility</w:t>
      </w:r>
      <w:r w:rsidR="007D434D">
        <w:t>.</w:t>
      </w:r>
      <w:r w:rsidR="00B31202">
        <w:t xml:space="preserve">  </w:t>
      </w:r>
      <w:r w:rsidR="007D434D">
        <w:t xml:space="preserve">The Washington allocated share of these costs is $871,184. </w:t>
      </w:r>
    </w:p>
    <w:p w14:paraId="098DC303" w14:textId="77777777" w:rsidR="007D434D" w:rsidRDefault="007D434D" w:rsidP="008F53D3">
      <w:pPr>
        <w:numPr>
          <w:ilvl w:val="0"/>
          <w:numId w:val="1"/>
        </w:numPr>
        <w:spacing w:after="240" w:line="288" w:lineRule="auto"/>
      </w:pPr>
      <w:r>
        <w:t xml:space="preserve">Avista requests </w:t>
      </w:r>
      <w:r w:rsidR="00741EAE">
        <w:t xml:space="preserve">that the Commission issue </w:t>
      </w:r>
      <w:r>
        <w:t xml:space="preserve">an accounting order that authorizes the deferral </w:t>
      </w:r>
      <w:r w:rsidR="005C37FC">
        <w:t>and transfer of the Washington share of</w:t>
      </w:r>
      <w:r w:rsidR="002E2FF1">
        <w:t xml:space="preserve"> these costs to FERC account 182.3.  </w:t>
      </w:r>
      <w:r w:rsidR="00641181">
        <w:t xml:space="preserve">Avista proposes to </w:t>
      </w:r>
      <w:r w:rsidR="008F53D3" w:rsidRPr="008F53D3">
        <w:t xml:space="preserve">seek a determination of the eligibility for recovery of any costs </w:t>
      </w:r>
      <w:r w:rsidR="00641181">
        <w:t>and</w:t>
      </w:r>
      <w:r w:rsidR="008F53D3" w:rsidRPr="008F53D3">
        <w:t xml:space="preserve"> a de</w:t>
      </w:r>
      <w:r w:rsidR="00641181">
        <w:t xml:space="preserve">termination of their prudence in their next general rate case or in a separate filing.  </w:t>
      </w:r>
      <w:r w:rsidR="008F53D3" w:rsidRPr="008F53D3">
        <w:t xml:space="preserve">Furthermore, </w:t>
      </w:r>
      <w:r w:rsidR="008F53D3">
        <w:t>Avista</w:t>
      </w:r>
      <w:r w:rsidR="008F53D3" w:rsidRPr="008F53D3">
        <w:t xml:space="preserve"> does not seek to accrue interest on the Wash</w:t>
      </w:r>
      <w:r w:rsidR="0095598D">
        <w:t>ington share of the deferrals.</w:t>
      </w:r>
      <w:r w:rsidR="008F53D3" w:rsidRPr="008F53D3">
        <w:t xml:space="preserve"> </w:t>
      </w:r>
    </w:p>
    <w:p w14:paraId="098DC304" w14:textId="77777777" w:rsidR="000A1236" w:rsidRPr="00C923D6" w:rsidRDefault="000A1236">
      <w:pPr>
        <w:pStyle w:val="Heading1"/>
        <w:spacing w:line="288" w:lineRule="auto"/>
      </w:pPr>
      <w:r w:rsidRPr="00C923D6">
        <w:t>FINDINGS AND CONCLUSIONS</w:t>
      </w:r>
    </w:p>
    <w:p w14:paraId="098DC305" w14:textId="77777777" w:rsidR="000A1236" w:rsidRPr="00C923D6" w:rsidRDefault="000A1236">
      <w:pPr>
        <w:spacing w:line="288" w:lineRule="auto"/>
        <w:ind w:left="-1080"/>
      </w:pPr>
    </w:p>
    <w:p w14:paraId="098DC306" w14:textId="77777777"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  <w:rPr>
          <w:i/>
          <w:iCs/>
        </w:rPr>
      </w:pPr>
      <w:r w:rsidRPr="00C923D6">
        <w:t>(1)</w:t>
      </w:r>
      <w:r w:rsidRPr="00C923D6">
        <w:tab/>
        <w:t xml:space="preserve">The Washington Utilities and Transportation Commission </w:t>
      </w:r>
      <w:r w:rsidR="00D938E7">
        <w:t xml:space="preserve">(Commission) </w:t>
      </w:r>
      <w:r w:rsidRPr="00C923D6">
        <w:t xml:space="preserve">is an agency of the State of Washington vested by statute with the authority to regulate rates, rules, regulations, practices, accounts, securities, and transfers of public service companies, including </w:t>
      </w:r>
      <w:r w:rsidR="00AB0C6F">
        <w:t>electric</w:t>
      </w:r>
      <w:r w:rsidRPr="00C923D6">
        <w:rPr>
          <w:b/>
          <w:bCs/>
        </w:rPr>
        <w:t xml:space="preserve"> </w:t>
      </w:r>
      <w:r w:rsidRPr="00C923D6">
        <w:t xml:space="preserve">companies.  </w:t>
      </w:r>
      <w:r w:rsidRPr="001E4CBD">
        <w:rPr>
          <w:iCs/>
        </w:rPr>
        <w:t>RCW 80.01.040</w:t>
      </w:r>
      <w:r w:rsidR="000B2415" w:rsidRPr="001E4CBD">
        <w:rPr>
          <w:iCs/>
        </w:rPr>
        <w:t>,</w:t>
      </w:r>
      <w:r w:rsidRPr="001E4CBD">
        <w:rPr>
          <w:iCs/>
        </w:rPr>
        <w:t xml:space="preserve"> </w:t>
      </w:r>
      <w:r w:rsidR="005579E7" w:rsidRPr="001E4CBD">
        <w:rPr>
          <w:iCs/>
        </w:rPr>
        <w:t xml:space="preserve">RCW </w:t>
      </w:r>
      <w:r w:rsidRPr="001E4CBD">
        <w:rPr>
          <w:iCs/>
        </w:rPr>
        <w:t>80.04</w:t>
      </w:r>
      <w:r w:rsidR="000B2415" w:rsidRPr="001E4CBD">
        <w:rPr>
          <w:iCs/>
        </w:rPr>
        <w:t>,</w:t>
      </w:r>
      <w:r w:rsidR="005579E7" w:rsidRPr="001E4CBD">
        <w:rPr>
          <w:iCs/>
        </w:rPr>
        <w:t xml:space="preserve"> RCW </w:t>
      </w:r>
      <w:r w:rsidR="000B2415" w:rsidRPr="001E4CBD">
        <w:rPr>
          <w:iCs/>
        </w:rPr>
        <w:t xml:space="preserve">80.28, </w:t>
      </w:r>
      <w:r w:rsidR="005579E7" w:rsidRPr="001E4CBD">
        <w:rPr>
          <w:iCs/>
        </w:rPr>
        <w:t>RCW</w:t>
      </w:r>
      <w:r w:rsidR="000B2415" w:rsidRPr="001E4CBD">
        <w:rPr>
          <w:iCs/>
        </w:rPr>
        <w:t xml:space="preserve"> 80.08</w:t>
      </w:r>
      <w:r w:rsidR="005579E7" w:rsidRPr="001E4CBD">
        <w:rPr>
          <w:iCs/>
        </w:rPr>
        <w:t xml:space="preserve"> and RCW </w:t>
      </w:r>
      <w:r w:rsidR="000B2415" w:rsidRPr="001E4CBD">
        <w:rPr>
          <w:iCs/>
        </w:rPr>
        <w:t>80.12</w:t>
      </w:r>
      <w:r w:rsidR="005579E7" w:rsidRPr="001E4CBD">
        <w:rPr>
          <w:iCs/>
        </w:rPr>
        <w:t>.</w:t>
      </w:r>
    </w:p>
    <w:p w14:paraId="098DC307" w14:textId="77777777" w:rsidR="000A1236" w:rsidRPr="00C923D6" w:rsidRDefault="000A1236">
      <w:pPr>
        <w:spacing w:line="288" w:lineRule="auto"/>
      </w:pPr>
    </w:p>
    <w:p w14:paraId="098DC308" w14:textId="77777777" w:rsidR="000A1236" w:rsidRPr="00C923D6" w:rsidRDefault="00AB0C6F">
      <w:pPr>
        <w:numPr>
          <w:ilvl w:val="0"/>
          <w:numId w:val="1"/>
        </w:numPr>
        <w:spacing w:line="288" w:lineRule="auto"/>
        <w:ind w:left="720" w:hanging="1440"/>
      </w:pPr>
      <w:r>
        <w:t>(2)</w:t>
      </w:r>
      <w:r>
        <w:tab/>
        <w:t xml:space="preserve">Avista </w:t>
      </w:r>
      <w:r w:rsidR="000A1236" w:rsidRPr="00C923D6">
        <w:t xml:space="preserve">is </w:t>
      </w:r>
      <w:r>
        <w:t>an electric</w:t>
      </w:r>
      <w:r w:rsidR="000A1236" w:rsidRPr="00C923D6">
        <w:t xml:space="preserve"> company and is a public service company subject to the jurisdiction of the Commission.</w:t>
      </w:r>
    </w:p>
    <w:p w14:paraId="098DC309" w14:textId="77777777" w:rsidR="000A1236" w:rsidRPr="00C923D6" w:rsidRDefault="000A1236">
      <w:pPr>
        <w:spacing w:line="288" w:lineRule="auto"/>
      </w:pPr>
    </w:p>
    <w:p w14:paraId="098DC30A" w14:textId="77777777"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(3)</w:t>
      </w:r>
      <w:r w:rsidRPr="00C923D6">
        <w:tab/>
        <w:t>WAC 480-07-370(b)(i), allows companies to file a petiti</w:t>
      </w:r>
      <w:r w:rsidR="008405AC">
        <w:t xml:space="preserve">on including that for which Avista </w:t>
      </w:r>
      <w:r w:rsidRPr="00C923D6">
        <w:t>seeks approval.</w:t>
      </w:r>
    </w:p>
    <w:p w14:paraId="098DC30B" w14:textId="77777777" w:rsidR="000A1236" w:rsidRPr="00C923D6" w:rsidRDefault="000A1236">
      <w:pPr>
        <w:spacing w:line="288" w:lineRule="auto"/>
      </w:pPr>
    </w:p>
    <w:p w14:paraId="098DC30C" w14:textId="77777777"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(4)</w:t>
      </w:r>
      <w:r w:rsidRPr="00C923D6">
        <w:tab/>
        <w:t>Staff has r</w:t>
      </w:r>
      <w:r w:rsidR="008405AC">
        <w:t xml:space="preserve">eviewed the petition in Docket UE-131576 </w:t>
      </w:r>
      <w:r w:rsidRPr="00C923D6">
        <w:t>including related workpapers.  Staff believes the proposed ac</w:t>
      </w:r>
      <w:r w:rsidR="008405AC">
        <w:t xml:space="preserve">counting petition requested by Avista </w:t>
      </w:r>
      <w:r w:rsidRPr="00C923D6">
        <w:t xml:space="preserve">is reasonable and should be </w:t>
      </w:r>
      <w:r w:rsidR="008405AC">
        <w:t xml:space="preserve">approved.  </w:t>
      </w:r>
    </w:p>
    <w:p w14:paraId="098DC30D" w14:textId="77777777" w:rsidR="000A1236" w:rsidRPr="00C923D6" w:rsidRDefault="000A1236">
      <w:pPr>
        <w:spacing w:line="288" w:lineRule="auto"/>
      </w:pPr>
    </w:p>
    <w:p w14:paraId="098DC30E" w14:textId="77777777"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(5)</w:t>
      </w:r>
      <w:r w:rsidRPr="00C923D6">
        <w:tab/>
        <w:t xml:space="preserve">This matter was brought before the Commission at its </w:t>
      </w:r>
      <w:r w:rsidR="008405AC">
        <w:t xml:space="preserve">regularly scheduled meeting on September 26, 2013.  </w:t>
      </w:r>
    </w:p>
    <w:p w14:paraId="098DC30F" w14:textId="77777777" w:rsidR="000A1236" w:rsidRPr="00C923D6" w:rsidRDefault="000A1236">
      <w:pPr>
        <w:spacing w:line="288" w:lineRule="auto"/>
      </w:pPr>
    </w:p>
    <w:p w14:paraId="098DC310" w14:textId="304CCB4A"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(6)</w:t>
      </w:r>
      <w:r w:rsidRPr="00C923D6">
        <w:tab/>
        <w:t>After examination of the petition filed in Docket</w:t>
      </w:r>
      <w:r w:rsidR="00236B60">
        <w:t xml:space="preserve"> UE-131576 by Avista on </w:t>
      </w:r>
      <w:r w:rsidR="00D948FB">
        <w:t xml:space="preserve"> </w:t>
      </w:r>
      <w:r w:rsidR="00236B60">
        <w:t>August 28, 2013</w:t>
      </w:r>
      <w:r w:rsidR="00CD23A5">
        <w:t>,</w:t>
      </w:r>
      <w:r w:rsidR="00F51D31">
        <w:t xml:space="preserve"> </w:t>
      </w:r>
      <w:r w:rsidRPr="00C923D6">
        <w:t xml:space="preserve">and giving due consideration to all relevant matters and for </w:t>
      </w:r>
      <w:r w:rsidRPr="00C923D6">
        <w:lastRenderedPageBreak/>
        <w:t>good cause shown, the Commission finds that the Petition filed should be approved.</w:t>
      </w:r>
    </w:p>
    <w:p w14:paraId="098DC311" w14:textId="77777777" w:rsidR="000A1236" w:rsidRPr="00C923D6" w:rsidRDefault="000A1236">
      <w:pPr>
        <w:pStyle w:val="Heading1"/>
        <w:spacing w:line="288" w:lineRule="auto"/>
      </w:pPr>
    </w:p>
    <w:p w14:paraId="098DC312" w14:textId="77777777" w:rsidR="000A1236" w:rsidRPr="00C923D6" w:rsidRDefault="000A1236">
      <w:pPr>
        <w:pStyle w:val="Heading1"/>
        <w:spacing w:line="288" w:lineRule="auto"/>
      </w:pPr>
      <w:r w:rsidRPr="00C923D6">
        <w:t>O</w:t>
      </w:r>
      <w:r w:rsidR="000B2415">
        <w:t xml:space="preserve"> </w:t>
      </w:r>
      <w:r w:rsidRPr="00C923D6">
        <w:t>R</w:t>
      </w:r>
      <w:r w:rsidR="000B2415">
        <w:t xml:space="preserve"> </w:t>
      </w:r>
      <w:r w:rsidRPr="00C923D6">
        <w:t>D</w:t>
      </w:r>
      <w:r w:rsidR="000B2415">
        <w:t xml:space="preserve"> </w:t>
      </w:r>
      <w:r w:rsidRPr="00C923D6">
        <w:t>E</w:t>
      </w:r>
      <w:r w:rsidR="000B2415">
        <w:t xml:space="preserve"> </w:t>
      </w:r>
      <w:r w:rsidRPr="00C923D6">
        <w:t>R</w:t>
      </w:r>
    </w:p>
    <w:p w14:paraId="098DC313" w14:textId="77777777" w:rsidR="000A1236" w:rsidRPr="00C923D6" w:rsidRDefault="000A1236"/>
    <w:p w14:paraId="098DC314" w14:textId="77777777" w:rsidR="000A1236" w:rsidRPr="00C923D6" w:rsidRDefault="000A1236">
      <w:pPr>
        <w:spacing w:line="288" w:lineRule="auto"/>
      </w:pPr>
      <w:r w:rsidRPr="00C923D6">
        <w:t>THE COMMISSION ORDERS:</w:t>
      </w:r>
    </w:p>
    <w:p w14:paraId="098DC315" w14:textId="77777777" w:rsidR="000A1236" w:rsidRPr="00C923D6" w:rsidRDefault="000A1236">
      <w:pPr>
        <w:spacing w:line="288" w:lineRule="auto"/>
      </w:pPr>
    </w:p>
    <w:p w14:paraId="098DC316" w14:textId="77777777" w:rsidR="000A1236" w:rsidRPr="00C923D6" w:rsidRDefault="000A1236" w:rsidP="009842A4">
      <w:pPr>
        <w:numPr>
          <w:ilvl w:val="0"/>
          <w:numId w:val="1"/>
        </w:numPr>
        <w:spacing w:line="288" w:lineRule="auto"/>
        <w:ind w:left="720" w:hanging="1440"/>
      </w:pPr>
      <w:r w:rsidRPr="00C923D6">
        <w:t>(1)</w:t>
      </w:r>
      <w:r w:rsidRPr="00C923D6">
        <w:tab/>
      </w:r>
      <w:r w:rsidR="009842A4">
        <w:t>Avista Corporation’</w:t>
      </w:r>
      <w:r w:rsidR="009842A4" w:rsidRPr="00C923D6">
        <w:t>s</w:t>
      </w:r>
      <w:r w:rsidRPr="00C923D6">
        <w:t xml:space="preserve"> request to </w:t>
      </w:r>
      <w:r w:rsidR="009842A4" w:rsidRPr="009842A4">
        <w:t>defer costs related to improving dissolved oxygen levels in Lake Spokane</w:t>
      </w:r>
      <w:r w:rsidR="009842A4">
        <w:t xml:space="preserve"> </w:t>
      </w:r>
      <w:r w:rsidRPr="00C923D6">
        <w:t>is approved.</w:t>
      </w:r>
    </w:p>
    <w:p w14:paraId="098DC317" w14:textId="77777777" w:rsidR="000A1236" w:rsidRPr="00C923D6" w:rsidRDefault="000A1236">
      <w:pPr>
        <w:spacing w:line="288" w:lineRule="auto"/>
      </w:pPr>
    </w:p>
    <w:p w14:paraId="098DC318" w14:textId="77777777" w:rsidR="00A02A71" w:rsidRDefault="003C2270" w:rsidP="00A02A71">
      <w:pPr>
        <w:numPr>
          <w:ilvl w:val="0"/>
          <w:numId w:val="1"/>
        </w:numPr>
        <w:spacing w:line="288" w:lineRule="auto"/>
        <w:ind w:left="720" w:hanging="1440"/>
      </w:pPr>
      <w:r>
        <w:t>(</w:t>
      </w:r>
      <w:r w:rsidR="009842A4">
        <w:t>2</w:t>
      </w:r>
      <w:r>
        <w:t>)</w:t>
      </w:r>
      <w:r>
        <w:tab/>
      </w:r>
      <w:r w:rsidR="00A02A71" w:rsidRPr="00A02A71">
        <w:t xml:space="preserve">The deferral will end on the earlier of </w:t>
      </w:r>
      <w:r w:rsidR="00711537">
        <w:t>August</w:t>
      </w:r>
      <w:r w:rsidR="004554E2">
        <w:t xml:space="preserve"> </w:t>
      </w:r>
      <w:r w:rsidR="00711537">
        <w:t>28</w:t>
      </w:r>
      <w:r w:rsidR="00A02A71" w:rsidRPr="00A02A71">
        <w:t>, 201</w:t>
      </w:r>
      <w:r w:rsidR="00A02A71">
        <w:t>5</w:t>
      </w:r>
      <w:r w:rsidR="00A02A71" w:rsidRPr="00A02A71">
        <w:t xml:space="preserve">, or on the effective date of the final decision by the Commission in any general rate case </w:t>
      </w:r>
      <w:r w:rsidR="00A02A71">
        <w:t xml:space="preserve">or appropriate proceeding </w:t>
      </w:r>
      <w:r w:rsidR="00A02A71" w:rsidRPr="00A02A71">
        <w:t>filed</w:t>
      </w:r>
      <w:r w:rsidR="00FF64C6">
        <w:t xml:space="preserve"> prior to </w:t>
      </w:r>
      <w:r w:rsidR="00711537">
        <w:t>August</w:t>
      </w:r>
      <w:r w:rsidR="00A02A71" w:rsidRPr="00A02A71">
        <w:t xml:space="preserve"> </w:t>
      </w:r>
      <w:r w:rsidR="00711537">
        <w:t>28</w:t>
      </w:r>
      <w:r w:rsidR="00A02A71" w:rsidRPr="00A02A71">
        <w:t>, 201</w:t>
      </w:r>
      <w:r w:rsidR="00A02A71">
        <w:t>5</w:t>
      </w:r>
      <w:r w:rsidR="00A02A71" w:rsidRPr="00A02A71">
        <w:t>.</w:t>
      </w:r>
    </w:p>
    <w:p w14:paraId="098DC319" w14:textId="77777777" w:rsidR="00A02A71" w:rsidRDefault="00A02A71" w:rsidP="00A02A71">
      <w:pPr>
        <w:spacing w:line="288" w:lineRule="auto"/>
        <w:ind w:left="-720"/>
      </w:pPr>
    </w:p>
    <w:p w14:paraId="098DC31A" w14:textId="77777777" w:rsidR="000A1236" w:rsidRDefault="00A02A71">
      <w:pPr>
        <w:numPr>
          <w:ilvl w:val="0"/>
          <w:numId w:val="1"/>
        </w:numPr>
        <w:spacing w:line="288" w:lineRule="auto"/>
        <w:ind w:left="720" w:hanging="1440"/>
      </w:pPr>
      <w:r>
        <w:t>(3)</w:t>
      </w:r>
      <w:r>
        <w:tab/>
      </w:r>
      <w:r w:rsidR="003C2270">
        <w:t>This Order shall not</w:t>
      </w:r>
      <w:r w:rsidR="000A1236" w:rsidRPr="00C923D6">
        <w:t xml:space="preserve"> affect the </w:t>
      </w:r>
      <w:r w:rsidR="003C2270">
        <w:t xml:space="preserve">Commission’s </w:t>
      </w:r>
      <w:r w:rsidR="000A1236" w:rsidRPr="00C923D6">
        <w:t>authority over rates, services, accounts, evaluations, estima</w:t>
      </w:r>
      <w:r w:rsidR="003C2270">
        <w:t xml:space="preserve">tes, or determination of costs in any matters </w:t>
      </w:r>
      <w:r w:rsidR="000A1236" w:rsidRPr="00C923D6">
        <w:t xml:space="preserve">that may come before it, nor be construed as an </w:t>
      </w:r>
      <w:r w:rsidR="00406237">
        <w:t>agreement</w:t>
      </w:r>
      <w:r w:rsidR="000A1236" w:rsidRPr="00C923D6">
        <w:t xml:space="preserve"> </w:t>
      </w:r>
      <w:r w:rsidR="00406237">
        <w:t>to</w:t>
      </w:r>
      <w:r w:rsidR="000A1236" w:rsidRPr="00C923D6">
        <w:t xml:space="preserve"> any est</w:t>
      </w:r>
      <w:r w:rsidR="00E86F12">
        <w:t xml:space="preserve">imate or determination of costs, or any valuation of property </w:t>
      </w:r>
      <w:r w:rsidR="000A1236" w:rsidRPr="00C923D6">
        <w:t>claimed or asserted.</w:t>
      </w:r>
    </w:p>
    <w:p w14:paraId="098DC31B" w14:textId="77777777" w:rsidR="00491C72" w:rsidRDefault="00491C72" w:rsidP="00491C72">
      <w:pPr>
        <w:spacing w:line="288" w:lineRule="auto"/>
      </w:pPr>
    </w:p>
    <w:p w14:paraId="098DC31C" w14:textId="77777777"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</w:t>
      </w:r>
      <w:r w:rsidR="00A02A71">
        <w:t>4</w:t>
      </w:r>
      <w:r w:rsidRPr="00C923D6">
        <w:t>)</w:t>
      </w:r>
      <w:r w:rsidRPr="00C923D6">
        <w:tab/>
        <w:t>The Commission retains jurisdicti</w:t>
      </w:r>
      <w:r w:rsidR="005E123D">
        <w:t xml:space="preserve">on over the subject matter and Avista Corporation </w:t>
      </w:r>
      <w:r w:rsidRPr="00C923D6">
        <w:t>to effectuate the provisions of this Order.</w:t>
      </w:r>
    </w:p>
    <w:p w14:paraId="098DC31D" w14:textId="77777777" w:rsidR="000A1236" w:rsidRPr="00C923D6" w:rsidRDefault="000A1236">
      <w:pPr>
        <w:spacing w:line="288" w:lineRule="auto"/>
      </w:pPr>
    </w:p>
    <w:p w14:paraId="098DC31E" w14:textId="77777777" w:rsidR="003C2270" w:rsidRDefault="000A1236">
      <w:pPr>
        <w:spacing w:line="288" w:lineRule="auto"/>
      </w:pPr>
      <w:r w:rsidRPr="00C923D6">
        <w:t>The Commissioners, having determined this Order to be consistent with the public interest, directed the Secretary to enter this Order.</w:t>
      </w:r>
      <w:r w:rsidR="003C2270">
        <w:t xml:space="preserve"> </w:t>
      </w:r>
    </w:p>
    <w:p w14:paraId="098DC31F" w14:textId="77777777" w:rsidR="000A1236" w:rsidRPr="00C923D6" w:rsidRDefault="000A1236">
      <w:pPr>
        <w:spacing w:line="288" w:lineRule="auto"/>
      </w:pPr>
    </w:p>
    <w:p w14:paraId="098DC320" w14:textId="77777777" w:rsidR="000A1236" w:rsidRPr="00C923D6" w:rsidRDefault="000A1236">
      <w:pPr>
        <w:spacing w:line="288" w:lineRule="auto"/>
      </w:pPr>
      <w:r w:rsidRPr="00C923D6">
        <w:t xml:space="preserve">DATED at Olympia, Washington, and effective </w:t>
      </w:r>
      <w:r w:rsidR="00F33B49">
        <w:t>September 26, 2013.</w:t>
      </w:r>
    </w:p>
    <w:p w14:paraId="098DC321" w14:textId="77777777" w:rsidR="000A1236" w:rsidRPr="00C923D6" w:rsidRDefault="000A1236">
      <w:pPr>
        <w:spacing w:line="288" w:lineRule="auto"/>
      </w:pPr>
    </w:p>
    <w:p w14:paraId="098DC322" w14:textId="77777777" w:rsidR="000A1236" w:rsidRPr="00C923D6" w:rsidRDefault="000A1236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C923D6">
            <w:t>WASHINGTON</w:t>
          </w:r>
        </w:smartTag>
      </w:smartTag>
      <w:r w:rsidRPr="00C923D6">
        <w:t xml:space="preserve"> UTILITIES AND TRANSPORTATION COMMISSION</w:t>
      </w:r>
    </w:p>
    <w:p w14:paraId="098DC323" w14:textId="77777777" w:rsidR="000A1236" w:rsidRPr="00C923D6" w:rsidRDefault="000A1236">
      <w:pPr>
        <w:spacing w:line="288" w:lineRule="auto"/>
      </w:pPr>
    </w:p>
    <w:p w14:paraId="098DC324" w14:textId="77777777" w:rsidR="000A1236" w:rsidRPr="00C923D6" w:rsidRDefault="000A1236">
      <w:pPr>
        <w:spacing w:line="288" w:lineRule="auto"/>
      </w:pPr>
    </w:p>
    <w:p w14:paraId="098DC325" w14:textId="77777777" w:rsidR="000A1236" w:rsidRPr="00C923D6" w:rsidRDefault="000A1236">
      <w:pPr>
        <w:spacing w:line="288" w:lineRule="auto"/>
      </w:pPr>
    </w:p>
    <w:p w14:paraId="098DC326" w14:textId="77777777" w:rsidR="000A1236" w:rsidRPr="00046496" w:rsidRDefault="00046496" w:rsidP="003C2270">
      <w:pPr>
        <w:spacing w:line="288" w:lineRule="auto"/>
        <w:ind w:left="2880"/>
      </w:pPr>
      <w:r w:rsidRPr="00046496">
        <w:t>STEVEN V. KING, Executive Director and Secretary</w:t>
      </w:r>
    </w:p>
    <w:p w14:paraId="098DC327" w14:textId="77777777" w:rsidR="003C2270" w:rsidRPr="003C2270" w:rsidRDefault="003C2270">
      <w:pPr>
        <w:spacing w:line="288" w:lineRule="auto"/>
        <w:rPr>
          <w:i/>
        </w:rPr>
      </w:pPr>
      <w:r w:rsidRPr="003C2270">
        <w:rPr>
          <w:i/>
        </w:rPr>
        <w:tab/>
      </w:r>
      <w:r w:rsidRPr="003C2270">
        <w:rPr>
          <w:i/>
        </w:rPr>
        <w:tab/>
      </w:r>
    </w:p>
    <w:p w14:paraId="098DC328" w14:textId="77777777" w:rsidR="003C2270" w:rsidRDefault="003C2270">
      <w:pPr>
        <w:spacing w:line="288" w:lineRule="auto"/>
      </w:pPr>
    </w:p>
    <w:p w14:paraId="098DC329" w14:textId="77777777" w:rsidR="003C2270" w:rsidRPr="00C923D6" w:rsidRDefault="003C2270" w:rsidP="00046496">
      <w:pPr>
        <w:spacing w:line="288" w:lineRule="auto"/>
      </w:pPr>
      <w:r>
        <w:tab/>
      </w:r>
      <w:r>
        <w:tab/>
      </w:r>
      <w:r>
        <w:tab/>
      </w:r>
      <w:r>
        <w:tab/>
      </w:r>
    </w:p>
    <w:sectPr w:rsidR="003C2270" w:rsidRPr="00C923D6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DC32C" w14:textId="77777777" w:rsidR="001E4CBD" w:rsidRDefault="001E4CBD">
      <w:r>
        <w:separator/>
      </w:r>
    </w:p>
  </w:endnote>
  <w:endnote w:type="continuationSeparator" w:id="0">
    <w:p w14:paraId="098DC32D" w14:textId="77777777" w:rsidR="001E4CBD" w:rsidRDefault="001E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DC32A" w14:textId="77777777" w:rsidR="001E4CBD" w:rsidRDefault="001E4CBD">
      <w:r>
        <w:separator/>
      </w:r>
    </w:p>
  </w:footnote>
  <w:footnote w:type="continuationSeparator" w:id="0">
    <w:p w14:paraId="098DC32B" w14:textId="77777777" w:rsidR="001E4CBD" w:rsidRDefault="001E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DC32E" w14:textId="779B1666" w:rsidR="001E4CBD" w:rsidRPr="00DD589F" w:rsidRDefault="001E4CBD">
    <w:pPr>
      <w:pStyle w:val="Header"/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1E4CBD">
      <w:rPr>
        <w:b/>
        <w:sz w:val="20"/>
      </w:rPr>
      <w:t>UE-131576</w:t>
    </w:r>
    <w:r>
      <w:rPr>
        <w:b/>
        <w:sz w:val="20"/>
      </w:rPr>
      <w:ptab w:relativeTo="margin" w:alignment="right" w:leader="none"/>
    </w:r>
    <w:r w:rsidRPr="00DD589F">
      <w:rPr>
        <w:b/>
        <w:sz w:val="20"/>
      </w:rPr>
      <w:t xml:space="preserve">Page </w:t>
    </w:r>
    <w:r w:rsidRPr="00DD589F">
      <w:rPr>
        <w:rStyle w:val="PageNumber"/>
        <w:b/>
        <w:sz w:val="20"/>
      </w:rPr>
      <w:fldChar w:fldCharType="begin"/>
    </w:r>
    <w:r w:rsidRPr="00DD589F">
      <w:rPr>
        <w:rStyle w:val="PageNumber"/>
        <w:b/>
        <w:sz w:val="20"/>
      </w:rPr>
      <w:instrText xml:space="preserve"> PAGE </w:instrText>
    </w:r>
    <w:r w:rsidRPr="00DD589F">
      <w:rPr>
        <w:rStyle w:val="PageNumber"/>
        <w:b/>
        <w:sz w:val="20"/>
      </w:rPr>
      <w:fldChar w:fldCharType="separate"/>
    </w:r>
    <w:r w:rsidR="001F1BA1">
      <w:rPr>
        <w:rStyle w:val="PageNumber"/>
        <w:b/>
        <w:noProof/>
        <w:sz w:val="20"/>
      </w:rPr>
      <w:t>3</w:t>
    </w:r>
    <w:r w:rsidRPr="00DD589F">
      <w:rPr>
        <w:rStyle w:val="PageNumber"/>
        <w:b/>
        <w:sz w:val="20"/>
      </w:rPr>
      <w:fldChar w:fldCharType="end"/>
    </w:r>
  </w:p>
  <w:p w14:paraId="098DC32F" w14:textId="0F8D7E40" w:rsidR="001E4CBD" w:rsidRPr="00C923D6" w:rsidRDefault="001E4CBD">
    <w:pPr>
      <w:pStyle w:val="Header"/>
      <w:rPr>
        <w:rStyle w:val="PageNumber"/>
        <w:b/>
        <w:bCs/>
        <w:sz w:val="20"/>
      </w:rPr>
    </w:pPr>
    <w:r>
      <w:rPr>
        <w:rStyle w:val="PageNumber"/>
        <w:b/>
        <w:sz w:val="20"/>
      </w:rPr>
      <w:t>ORDER</w:t>
    </w:r>
    <w:r w:rsidRPr="00DD589F">
      <w:rPr>
        <w:rStyle w:val="PageNumber"/>
        <w:b/>
        <w:sz w:val="20"/>
      </w:rPr>
      <w:t xml:space="preserve"> </w:t>
    </w:r>
    <w:r>
      <w:rPr>
        <w:rStyle w:val="PageNumber"/>
        <w:b/>
        <w:bCs/>
        <w:sz w:val="20"/>
      </w:rPr>
      <w:t>01</w:t>
    </w:r>
  </w:p>
  <w:p w14:paraId="098DC330" w14:textId="77777777" w:rsidR="001E4CBD" w:rsidRPr="00C923D6" w:rsidRDefault="001E4CBD">
    <w:pPr>
      <w:pStyle w:val="Header"/>
      <w:rPr>
        <w:rStyle w:val="PageNumber"/>
        <w:sz w:val="20"/>
      </w:rPr>
    </w:pPr>
  </w:p>
  <w:p w14:paraId="098DC331" w14:textId="77777777" w:rsidR="001E4CBD" w:rsidRPr="00C923D6" w:rsidRDefault="001E4CBD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02E9C"/>
    <w:multiLevelType w:val="hybridMultilevel"/>
    <w:tmpl w:val="AD74CB60"/>
    <w:lvl w:ilvl="0" w:tplc="65ACE1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361CF9"/>
    <w:multiLevelType w:val="hybridMultilevel"/>
    <w:tmpl w:val="954E6EEE"/>
    <w:lvl w:ilvl="0" w:tplc="5194F5D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D6978"/>
    <w:multiLevelType w:val="hybridMultilevel"/>
    <w:tmpl w:val="D0F036C4"/>
    <w:lvl w:ilvl="0" w:tplc="111EE73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9E7708"/>
    <w:multiLevelType w:val="hybridMultilevel"/>
    <w:tmpl w:val="6CD80A7C"/>
    <w:lvl w:ilvl="0" w:tplc="AC70D5B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36"/>
    <w:rsid w:val="00046496"/>
    <w:rsid w:val="000843BB"/>
    <w:rsid w:val="000917B8"/>
    <w:rsid w:val="000A1236"/>
    <w:rsid w:val="000A2E3C"/>
    <w:rsid w:val="000B2415"/>
    <w:rsid w:val="000F646A"/>
    <w:rsid w:val="0018159B"/>
    <w:rsid w:val="001C2934"/>
    <w:rsid w:val="001C45E0"/>
    <w:rsid w:val="001E4CBD"/>
    <w:rsid w:val="001F1BA1"/>
    <w:rsid w:val="00217507"/>
    <w:rsid w:val="0022777C"/>
    <w:rsid w:val="00236B60"/>
    <w:rsid w:val="00264286"/>
    <w:rsid w:val="002A391C"/>
    <w:rsid w:val="002B4507"/>
    <w:rsid w:val="002E2FF1"/>
    <w:rsid w:val="00342647"/>
    <w:rsid w:val="00363164"/>
    <w:rsid w:val="003C2270"/>
    <w:rsid w:val="00406237"/>
    <w:rsid w:val="00424847"/>
    <w:rsid w:val="0043185D"/>
    <w:rsid w:val="004554E2"/>
    <w:rsid w:val="00491C72"/>
    <w:rsid w:val="005270F1"/>
    <w:rsid w:val="005579E7"/>
    <w:rsid w:val="005A1E76"/>
    <w:rsid w:val="005C37FC"/>
    <w:rsid w:val="005E123D"/>
    <w:rsid w:val="0062420A"/>
    <w:rsid w:val="00641181"/>
    <w:rsid w:val="00711537"/>
    <w:rsid w:val="007133EB"/>
    <w:rsid w:val="00741EAE"/>
    <w:rsid w:val="00775DEC"/>
    <w:rsid w:val="0078622A"/>
    <w:rsid w:val="007B4447"/>
    <w:rsid w:val="007D434D"/>
    <w:rsid w:val="008405AC"/>
    <w:rsid w:val="008A2580"/>
    <w:rsid w:val="008F53D3"/>
    <w:rsid w:val="00922662"/>
    <w:rsid w:val="009450C5"/>
    <w:rsid w:val="0095598D"/>
    <w:rsid w:val="009842A4"/>
    <w:rsid w:val="009D5E0A"/>
    <w:rsid w:val="009F4160"/>
    <w:rsid w:val="00A02A71"/>
    <w:rsid w:val="00A32948"/>
    <w:rsid w:val="00A34118"/>
    <w:rsid w:val="00A3565C"/>
    <w:rsid w:val="00AB0C6F"/>
    <w:rsid w:val="00B30C89"/>
    <w:rsid w:val="00B31202"/>
    <w:rsid w:val="00B36023"/>
    <w:rsid w:val="00C204AA"/>
    <w:rsid w:val="00C7586C"/>
    <w:rsid w:val="00C923D6"/>
    <w:rsid w:val="00CA6EF3"/>
    <w:rsid w:val="00CD23A5"/>
    <w:rsid w:val="00CE45E5"/>
    <w:rsid w:val="00CF59AD"/>
    <w:rsid w:val="00D370E9"/>
    <w:rsid w:val="00D8358F"/>
    <w:rsid w:val="00D938E7"/>
    <w:rsid w:val="00D948FB"/>
    <w:rsid w:val="00DD589F"/>
    <w:rsid w:val="00E86F12"/>
    <w:rsid w:val="00F33B49"/>
    <w:rsid w:val="00F40B86"/>
    <w:rsid w:val="00F51D31"/>
    <w:rsid w:val="00FD64D2"/>
    <w:rsid w:val="00FF5EE1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98DC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">
    <w:name w:val="Findings"/>
    <w:basedOn w:val="Normal"/>
  </w:style>
  <w:style w:type="paragraph" w:styleId="FootnoteText">
    <w:name w:val="footnote text"/>
    <w:basedOn w:val="Normal"/>
    <w:link w:val="FootnoteTextChar"/>
    <w:rsid w:val="00FF5EE1"/>
    <w:rPr>
      <w:rFonts w:ascii="Palatino Linotype" w:hAnsi="Palatino Linotyp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F5EE1"/>
    <w:rPr>
      <w:rFonts w:ascii="Palatino Linotype" w:hAnsi="Palatino Linotype"/>
    </w:rPr>
  </w:style>
  <w:style w:type="character" w:styleId="FootnoteReference">
    <w:name w:val="footnote reference"/>
    <w:basedOn w:val="DefaultParagraphFont"/>
    <w:rsid w:val="00FF5EE1"/>
    <w:rPr>
      <w:vertAlign w:val="superscript"/>
    </w:rPr>
  </w:style>
  <w:style w:type="paragraph" w:styleId="ListParagraph">
    <w:name w:val="List Paragraph"/>
    <w:basedOn w:val="Normal"/>
    <w:uiPriority w:val="34"/>
    <w:qFormat/>
    <w:rsid w:val="00A02A71"/>
    <w:pPr>
      <w:ind w:left="720"/>
      <w:contextualSpacing/>
    </w:pPr>
  </w:style>
  <w:style w:type="character" w:styleId="CommentReference">
    <w:name w:val="annotation reference"/>
    <w:basedOn w:val="DefaultParagraphFont"/>
    <w:rsid w:val="001C29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29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2934"/>
  </w:style>
  <w:style w:type="paragraph" w:styleId="CommentSubject">
    <w:name w:val="annotation subject"/>
    <w:basedOn w:val="CommentText"/>
    <w:next w:val="CommentText"/>
    <w:link w:val="CommentSubjectChar"/>
    <w:rsid w:val="001C2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2934"/>
    <w:rPr>
      <w:b/>
      <w:bCs/>
    </w:rPr>
  </w:style>
  <w:style w:type="paragraph" w:styleId="BalloonText">
    <w:name w:val="Balloon Text"/>
    <w:basedOn w:val="Normal"/>
    <w:link w:val="BalloonTextChar"/>
    <w:rsid w:val="001C2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2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">
    <w:name w:val="Findings"/>
    <w:basedOn w:val="Normal"/>
  </w:style>
  <w:style w:type="paragraph" w:styleId="FootnoteText">
    <w:name w:val="footnote text"/>
    <w:basedOn w:val="Normal"/>
    <w:link w:val="FootnoteTextChar"/>
    <w:rsid w:val="00FF5EE1"/>
    <w:rPr>
      <w:rFonts w:ascii="Palatino Linotype" w:hAnsi="Palatino Linotyp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F5EE1"/>
    <w:rPr>
      <w:rFonts w:ascii="Palatino Linotype" w:hAnsi="Palatino Linotype"/>
    </w:rPr>
  </w:style>
  <w:style w:type="character" w:styleId="FootnoteReference">
    <w:name w:val="footnote reference"/>
    <w:basedOn w:val="DefaultParagraphFont"/>
    <w:rsid w:val="00FF5EE1"/>
    <w:rPr>
      <w:vertAlign w:val="superscript"/>
    </w:rPr>
  </w:style>
  <w:style w:type="paragraph" w:styleId="ListParagraph">
    <w:name w:val="List Paragraph"/>
    <w:basedOn w:val="Normal"/>
    <w:uiPriority w:val="34"/>
    <w:qFormat/>
    <w:rsid w:val="00A02A71"/>
    <w:pPr>
      <w:ind w:left="720"/>
      <w:contextualSpacing/>
    </w:pPr>
  </w:style>
  <w:style w:type="character" w:styleId="CommentReference">
    <w:name w:val="annotation reference"/>
    <w:basedOn w:val="DefaultParagraphFont"/>
    <w:rsid w:val="001C29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29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2934"/>
  </w:style>
  <w:style w:type="paragraph" w:styleId="CommentSubject">
    <w:name w:val="annotation subject"/>
    <w:basedOn w:val="CommentText"/>
    <w:next w:val="CommentText"/>
    <w:link w:val="CommentSubjectChar"/>
    <w:rsid w:val="001C2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2934"/>
    <w:rPr>
      <w:b/>
      <w:bCs/>
    </w:rPr>
  </w:style>
  <w:style w:type="paragraph" w:styleId="BalloonText">
    <w:name w:val="Balloon Text"/>
    <w:basedOn w:val="Normal"/>
    <w:link w:val="BalloonTextChar"/>
    <w:rsid w:val="001C2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2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00BE7B18B2514D8BB4AEE59E7404FC" ma:contentTypeVersion="135" ma:contentTypeDescription="" ma:contentTypeScope="" ma:versionID="134b2e046cc241dee551ab8417f88ac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2013-08-27T07:00:00+00:00</OpenedDate>
    <Date1 xmlns="dc463f71-b30c-4ab2-9473-d307f9d35888">2013-09-26T07:00:00+00:00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Avista Corporation</CaseCompanyNames>
    <DocketNumber xmlns="dc463f71-b30c-4ab2-9473-d307f9d35888">131576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3AEF7E4-1EEF-4D87-BBC6-28FEFB366112}"/>
</file>

<file path=customXml/itemProps2.xml><?xml version="1.0" encoding="utf-8"?>
<ds:datastoreItem xmlns:ds="http://schemas.openxmlformats.org/officeDocument/2006/customXml" ds:itemID="{17E77ED7-50D3-4CCD-B5D1-CD8EC97E5A4B}"/>
</file>

<file path=customXml/itemProps3.xml><?xml version="1.0" encoding="utf-8"?>
<ds:datastoreItem xmlns:ds="http://schemas.openxmlformats.org/officeDocument/2006/customXml" ds:itemID="{F7671900-6C13-404D-812D-6FDE3544356B}"/>
</file>

<file path=customXml/itemProps4.xml><?xml version="1.0" encoding="utf-8"?>
<ds:datastoreItem xmlns:ds="http://schemas.openxmlformats.org/officeDocument/2006/customXml" ds:itemID="{3516AF53-B2C2-44DF-9739-9E428C8EC8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Company Name</dc:creator>
  <cp:lastModifiedBy>Kern, Cathy (UTC)</cp:lastModifiedBy>
  <cp:revision>2</cp:revision>
  <cp:lastPrinted>2007-07-25T15:46:00Z</cp:lastPrinted>
  <dcterms:created xsi:type="dcterms:W3CDTF">2013-09-25T23:44:00Z</dcterms:created>
  <dcterms:modified xsi:type="dcterms:W3CDTF">2013-09-25T23:44:00Z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0x0101006E56B4D1795A2E4DB2F0B01679ED314A009600BE7B18B2514D8BB4AEE59E7404FC</vt:lpwstr>
  </property>
  <property fmtid="{D5CDD505-2E9C-101B-9397-08002B2CF9AE}" pid="3" name="_docset_NoMedatataSyncRequired">
    <vt:lpwstr>False</vt:lpwstr>
  </property>
</Properties>
</file>