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A055" w14:textId="77777777"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>BEFORE THE WASHINGTON</w:t>
      </w:r>
    </w:p>
    <w:p w14:paraId="1BBDA056" w14:textId="77777777"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>UTILITIES AND TRANSPORTATION COMMISSION</w:t>
      </w:r>
    </w:p>
    <w:p w14:paraId="1BBDA057" w14:textId="77777777" w:rsidR="00446162" w:rsidRPr="005E5651" w:rsidRDefault="00446162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446162" w:rsidRPr="005E5651" w14:paraId="1BBDA068" w14:textId="77777777">
        <w:tc>
          <w:tcPr>
            <w:tcW w:w="4008" w:type="dxa"/>
          </w:tcPr>
          <w:p w14:paraId="1BBDA058" w14:textId="77777777" w:rsidR="00446162" w:rsidRPr="005E5651" w:rsidRDefault="00446162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1BBDA059" w14:textId="77777777" w:rsidR="00446162" w:rsidRPr="005E5651" w:rsidRDefault="00446162"/>
          <w:p w14:paraId="1BBDA05A" w14:textId="2122B1A5" w:rsidR="00446162" w:rsidRDefault="00276B2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420E21">
              <w:t>Puget Sound Energy, Inc.</w:t>
            </w:r>
            <w:bookmarkEnd w:id="0"/>
            <w:r>
              <w:fldChar w:fldCharType="end"/>
            </w:r>
            <w:r w:rsidR="00500FCB">
              <w:fldChar w:fldCharType="begin"/>
            </w:r>
            <w:r w:rsidR="00500FCB">
              <w:instrText xml:space="preserve"> REF company1_name \* UPPER \* MERGEFORMAT </w:instrText>
            </w:r>
            <w:r w:rsidR="00500FCB">
              <w:fldChar w:fldCharType="separate"/>
            </w:r>
            <w:r w:rsidR="00500FCB">
              <w:t>PUGET SOUND ENERGY, INC.</w:t>
            </w:r>
            <w:r w:rsidR="00500FCB">
              <w:fldChar w:fldCharType="end"/>
            </w:r>
            <w:r w:rsidR="00851024">
              <w:t>,</w:t>
            </w: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420E21">
              <w:t>PSE</w:t>
            </w:r>
            <w:bookmarkEnd w:id="1"/>
            <w:r>
              <w:fldChar w:fldCharType="end"/>
            </w:r>
            <w:r w:rsidR="00446162" w:rsidRPr="005E5651">
              <w:t xml:space="preserve">         </w:t>
            </w:r>
          </w:p>
          <w:p w14:paraId="1BBDA05B" w14:textId="77777777" w:rsidR="00641825" w:rsidRPr="005E5651" w:rsidRDefault="00641825"/>
          <w:p w14:paraId="1BBDA05C" w14:textId="77777777" w:rsidR="00446162" w:rsidRPr="005E5651" w:rsidRDefault="00446162">
            <w:r w:rsidRPr="005E5651">
              <w:t xml:space="preserve">                      Petitioner, </w:t>
            </w:r>
          </w:p>
          <w:p w14:paraId="1BBDA05D" w14:textId="77777777" w:rsidR="00446162" w:rsidRPr="005E5651" w:rsidRDefault="00446162"/>
          <w:p w14:paraId="1BBDA05E" w14:textId="658B6364" w:rsidR="00446162" w:rsidRPr="005E5651" w:rsidRDefault="00446162">
            <w:r w:rsidRPr="005E5651">
              <w:t xml:space="preserve">Seeking Exemption from the Provisions of </w:t>
            </w:r>
            <w:r w:rsidR="00276B28">
              <w:fldChar w:fldCharType="begin"/>
            </w:r>
            <w:r w:rsidR="00276B28">
              <w:instrText xml:space="preserve"> ASK WAC_no "Enter the WAC cite for the rule that exemption is being requested."</w:instrText>
            </w:r>
            <w:r w:rsidR="00276B28">
              <w:fldChar w:fldCharType="separate"/>
            </w:r>
            <w:bookmarkStart w:id="2" w:name="WAC_no"/>
            <w:r w:rsidR="00420E21">
              <w:t>WAC 480-100-194</w:t>
            </w:r>
            <w:bookmarkEnd w:id="2"/>
            <w:r w:rsidR="00276B28">
              <w:fldChar w:fldCharType="end"/>
            </w:r>
            <w:r w:rsidR="00500FCB">
              <w:fldChar w:fldCharType="begin"/>
            </w:r>
            <w:r w:rsidR="00500FCB">
              <w:instrText xml:space="preserve"> R</w:instrText>
            </w:r>
            <w:r w:rsidR="00500FCB">
              <w:instrText>EF WAC_no \* MERGEFORMAT</w:instrText>
            </w:r>
            <w:r w:rsidR="00500FCB">
              <w:fldChar w:fldCharType="separate"/>
            </w:r>
            <w:r w:rsidR="00500FCB">
              <w:t>WAC 480-100-194</w:t>
            </w:r>
            <w:r w:rsidR="00500FCB">
              <w:fldChar w:fldCharType="end"/>
            </w:r>
            <w:r w:rsidRPr="005E5651">
              <w:t xml:space="preserve"> Relating to</w:t>
            </w:r>
            <w:r w:rsidR="00420E21">
              <w:t xml:space="preserve"> Publication of Proposed Tariff Changes</w:t>
            </w:r>
          </w:p>
          <w:p w14:paraId="1BBDA05F" w14:textId="77777777" w:rsidR="00446162" w:rsidRPr="005E5651" w:rsidRDefault="00446162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0D8DC4ED" w14:textId="77777777" w:rsidR="00CF0AF1" w:rsidRDefault="00446162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CF0AF1">
              <w:t>)</w:t>
            </w:r>
          </w:p>
          <w:p w14:paraId="1BBDA060" w14:textId="77777777" w:rsidR="00446162" w:rsidRPr="005E5651" w:rsidRDefault="00446162">
            <w:pPr>
              <w:jc w:val="center"/>
            </w:pPr>
            <w:r w:rsidRPr="005E5651">
              <w:t>)</w:t>
            </w:r>
          </w:p>
        </w:tc>
        <w:tc>
          <w:tcPr>
            <w:tcW w:w="3800" w:type="dxa"/>
          </w:tcPr>
          <w:p w14:paraId="1BBDA061" w14:textId="77777777" w:rsidR="00446162" w:rsidRPr="005E5651" w:rsidRDefault="008C66E3">
            <w:r>
              <w:t xml:space="preserve">DOCKET </w:t>
            </w:r>
            <w:r w:rsidR="00276B28">
              <w:fldChar w:fldCharType="begin"/>
            </w:r>
            <w:r w:rsidR="00276B28">
              <w:instrText xml:space="preserve"> ASK docket_no "Enter Docket Number using XX=XXXXXX Format</w:instrText>
            </w:r>
            <w:r w:rsidR="00276B28">
              <w:fldChar w:fldCharType="separate"/>
            </w:r>
            <w:bookmarkStart w:id="3" w:name="docket_no"/>
            <w:r w:rsidR="00420E21">
              <w:t>UE-121897</w:t>
            </w:r>
            <w:bookmarkEnd w:id="3"/>
            <w:r w:rsidR="00276B28">
              <w:fldChar w:fldCharType="end"/>
            </w:r>
            <w:r w:rsidR="00500FCB">
              <w:fldChar w:fldCharType="begin"/>
            </w:r>
            <w:r w:rsidR="00500FCB">
              <w:instrText xml:space="preserve"> REF docket_no \* MERGEFORMAT</w:instrText>
            </w:r>
            <w:r w:rsidR="00500FCB">
              <w:fldChar w:fldCharType="separate"/>
            </w:r>
            <w:r w:rsidR="00500FCB">
              <w:t>UE-121897</w:t>
            </w:r>
            <w:r w:rsidR="00500FCB">
              <w:fldChar w:fldCharType="end"/>
            </w:r>
          </w:p>
          <w:p w14:paraId="1BBDA062" w14:textId="77777777" w:rsidR="00446162" w:rsidRPr="005E5651" w:rsidRDefault="00446162">
            <w:pPr>
              <w:ind w:left="720"/>
            </w:pPr>
          </w:p>
          <w:p w14:paraId="1BBDA063" w14:textId="77777777" w:rsidR="00446162" w:rsidRPr="005E5651" w:rsidRDefault="008C66E3">
            <w:r>
              <w:t xml:space="preserve">ORDER </w:t>
            </w:r>
            <w:r w:rsidR="00276B28">
              <w:fldChar w:fldCharType="begin"/>
            </w:r>
            <w:r w:rsidR="00276B28">
              <w:instrText xml:space="preserve"> ASK order_no "Enter Order Number"</w:instrText>
            </w:r>
            <w:r w:rsidR="00276B28">
              <w:fldChar w:fldCharType="separate"/>
            </w:r>
            <w:bookmarkStart w:id="4" w:name="order_no"/>
            <w:r w:rsidR="00420E21">
              <w:t>01</w:t>
            </w:r>
            <w:bookmarkEnd w:id="4"/>
            <w:r w:rsidR="00276B28">
              <w:fldChar w:fldCharType="end"/>
            </w:r>
            <w:r w:rsidR="00500FCB">
              <w:fldChar w:fldCharType="begin"/>
            </w:r>
            <w:r w:rsidR="00500FCB">
              <w:instrText xml:space="preserve"> REF order_no \* MERGEFORMAT</w:instrText>
            </w:r>
            <w:r w:rsidR="00500FCB">
              <w:fldChar w:fldCharType="separate"/>
            </w:r>
            <w:r w:rsidR="00500FCB">
              <w:t>01</w:t>
            </w:r>
            <w:r w:rsidR="00500FCB">
              <w:fldChar w:fldCharType="end"/>
            </w:r>
          </w:p>
          <w:p w14:paraId="1BBDA064" w14:textId="77777777" w:rsidR="00446162" w:rsidRPr="005E5651" w:rsidRDefault="00446162">
            <w:pPr>
              <w:ind w:left="720"/>
            </w:pPr>
          </w:p>
          <w:p w14:paraId="1BBDA065" w14:textId="77777777" w:rsidR="00446162" w:rsidRPr="005E5651" w:rsidRDefault="00446162">
            <w:pPr>
              <w:ind w:left="720"/>
            </w:pPr>
          </w:p>
          <w:p w14:paraId="1BBDA066" w14:textId="77777777" w:rsidR="00446162" w:rsidRPr="005E5651" w:rsidRDefault="00446162">
            <w:r w:rsidRPr="005E5651">
              <w:t xml:space="preserve">ORDER GRANTING </w:t>
            </w:r>
          </w:p>
          <w:p w14:paraId="1BBDA067" w14:textId="77777777" w:rsidR="00446162" w:rsidRPr="005E5651" w:rsidRDefault="00446162">
            <w:r w:rsidRPr="005E5651">
              <w:t>EXEMPTION FROM RULE</w:t>
            </w:r>
            <w:r w:rsidR="00420E21">
              <w:t xml:space="preserve"> AND ALLOWING TARIFF REVISIONS TO BECOME EFFECTIVE BY OPERATION OF LAW</w:t>
            </w:r>
          </w:p>
        </w:tc>
      </w:tr>
    </w:tbl>
    <w:p w14:paraId="1BBDA069" w14:textId="12C879BD" w:rsidR="00446162" w:rsidRDefault="00446162"/>
    <w:p w14:paraId="1BBDA06A" w14:textId="77777777" w:rsidR="00BA3BE9" w:rsidRPr="005E5651" w:rsidRDefault="00BA3BE9"/>
    <w:p w14:paraId="1BBDA06B" w14:textId="77777777" w:rsidR="00446162" w:rsidRPr="005E5651" w:rsidRDefault="00446162" w:rsidP="00D478E7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14:paraId="1BBDA06C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BBDA06D" w14:textId="4A821CC6" w:rsidR="00C1328A" w:rsidRDefault="00446162" w:rsidP="00D478E7">
      <w:pPr>
        <w:pStyle w:val="Findings"/>
        <w:spacing w:line="320" w:lineRule="exact"/>
      </w:pPr>
      <w:r w:rsidRPr="005E5651">
        <w:t>On</w:t>
      </w:r>
      <w:r w:rsidR="00276B28">
        <w:t xml:space="preserve"> </w:t>
      </w:r>
      <w:r w:rsidR="00276B28">
        <w:fldChar w:fldCharType="begin"/>
      </w:r>
      <w:r w:rsidR="00276B28">
        <w:instrText xml:space="preserve"> ask filing_date "Enter Filing Date" </w:instrText>
      </w:r>
      <w:r w:rsidR="00276B28">
        <w:fldChar w:fldCharType="separate"/>
      </w:r>
      <w:bookmarkStart w:id="5" w:name="filing_date"/>
      <w:r w:rsidR="00420E21">
        <w:t>November 30, 2012</w:t>
      </w:r>
      <w:bookmarkEnd w:id="5"/>
      <w:r w:rsidR="00276B28">
        <w:fldChar w:fldCharType="end"/>
      </w:r>
      <w:r w:rsidR="00500FCB">
        <w:fldChar w:fldCharType="begin"/>
      </w:r>
      <w:r w:rsidR="00500FCB">
        <w:instrText xml:space="preserve"> ref filing_date \* MERGEFORMAT</w:instrText>
      </w:r>
      <w:r w:rsidR="00500FCB">
        <w:fldChar w:fldCharType="separate"/>
      </w:r>
      <w:r w:rsidR="00500FCB">
        <w:t>November 30, 2012</w:t>
      </w:r>
      <w:r w:rsidR="00500FCB">
        <w:fldChar w:fldCharType="end"/>
      </w:r>
      <w:r w:rsidRPr="005E5651">
        <w:t xml:space="preserve">, </w:t>
      </w:r>
      <w:r w:rsidR="00500FCB">
        <w:fldChar w:fldCharType="begin"/>
      </w:r>
      <w:r w:rsidR="00500FCB">
        <w:instrText xml:space="preserve"> REF company1_name \* MERGEFORMAT</w:instrText>
      </w:r>
      <w:r w:rsidR="00500FCB">
        <w:fldChar w:fldCharType="separate"/>
      </w:r>
      <w:r w:rsidR="00500FCB">
        <w:t>Puget Sound Energy, Inc.</w:t>
      </w:r>
      <w:r w:rsidR="00500FCB">
        <w:fldChar w:fldCharType="end"/>
      </w:r>
      <w:r w:rsidRPr="005E5651">
        <w:t xml:space="preserve"> (</w:t>
      </w:r>
      <w:r w:rsidR="00500FCB">
        <w:fldChar w:fldCharType="begin"/>
      </w:r>
      <w:r w:rsidR="00500FCB">
        <w:instrText xml:space="preserve"> REF acronym1 \* MERGEFORMAT</w:instrText>
      </w:r>
      <w:r w:rsidR="00500FCB">
        <w:fldChar w:fldCharType="separate"/>
      </w:r>
      <w:r w:rsidR="00500FCB">
        <w:t>PSE</w:t>
      </w:r>
      <w:r w:rsidR="00500FCB">
        <w:fldChar w:fldCharType="end"/>
      </w:r>
      <w:r w:rsidR="00157A63">
        <w:t xml:space="preserve"> or Company</w:t>
      </w:r>
      <w:r w:rsidRPr="005E5651">
        <w:t xml:space="preserve">) filed </w:t>
      </w:r>
      <w:r w:rsidR="001500D0">
        <w:t xml:space="preserve">with the Washington Utilities and Transportation Commission (Commission) </w:t>
      </w:r>
      <w:r w:rsidR="00DE2EEB">
        <w:t>Renewable Energy Credit (REC) Tracker rates</w:t>
      </w:r>
      <w:r w:rsidR="00AC24F9">
        <w:t xml:space="preserve"> under Schedule 137</w:t>
      </w:r>
      <w:r w:rsidR="00624AC5">
        <w:t xml:space="preserve"> with no change</w:t>
      </w:r>
      <w:r w:rsidR="00DE2EEB">
        <w:t>s</w:t>
      </w:r>
      <w:r w:rsidR="00624AC5">
        <w:t xml:space="preserve"> </w:t>
      </w:r>
      <w:r w:rsidR="00DE2EEB">
        <w:t xml:space="preserve">to </w:t>
      </w:r>
      <w:r w:rsidR="00624AC5">
        <w:t>rates and request</w:t>
      </w:r>
      <w:r w:rsidR="00D73ACF">
        <w:t>ed</w:t>
      </w:r>
      <w:r w:rsidR="00624AC5">
        <w:t xml:space="preserve"> </w:t>
      </w:r>
      <w:r w:rsidR="00D73ACF">
        <w:t>a</w:t>
      </w:r>
      <w:r w:rsidR="00624AC5">
        <w:t xml:space="preserve"> waiver </w:t>
      </w:r>
      <w:r w:rsidR="00D73ACF">
        <w:t xml:space="preserve">to </w:t>
      </w:r>
      <w:r w:rsidR="00624AC5">
        <w:t>the annual effective date cited in both the Settlement Stipulation and Order 08 in Dockets</w:t>
      </w:r>
      <w:r w:rsidR="00DE2EEB">
        <w:t xml:space="preserve"> UE-111048 and UG-111049</w:t>
      </w:r>
      <w:r w:rsidR="00624AC5">
        <w:t>.</w:t>
      </w:r>
    </w:p>
    <w:p w14:paraId="6D346282" w14:textId="2874D3BA" w:rsidR="00C03832" w:rsidRDefault="00C03832" w:rsidP="00101EC0">
      <w:pPr>
        <w:pStyle w:val="ListParagraph"/>
      </w:pPr>
    </w:p>
    <w:p w14:paraId="7147DE9F" w14:textId="09C665D5" w:rsidR="00C03832" w:rsidRDefault="00C03832" w:rsidP="00D478E7">
      <w:pPr>
        <w:pStyle w:val="Findings"/>
        <w:spacing w:line="320" w:lineRule="exact"/>
      </w:pPr>
      <w:r>
        <w:t>Staff asked PSE to file replacement pages reflecting the appropriate annual rate allocations and true-up in accordance with the Settlement Stipulation and Order 08 in Dockets UE-111048 and UG-111049.</w:t>
      </w:r>
    </w:p>
    <w:p w14:paraId="1BBDA070" w14:textId="77777777" w:rsidR="00C1328A" w:rsidRDefault="00C1328A" w:rsidP="00C1328A">
      <w:pPr>
        <w:pStyle w:val="Findings"/>
        <w:numPr>
          <w:ilvl w:val="0"/>
          <w:numId w:val="0"/>
        </w:numPr>
        <w:spacing w:line="320" w:lineRule="exact"/>
      </w:pPr>
    </w:p>
    <w:p w14:paraId="5CD58E81" w14:textId="7EBD159E" w:rsidR="00D73ACF" w:rsidRDefault="00C1328A" w:rsidP="00D73ACF">
      <w:pPr>
        <w:pStyle w:val="Findings"/>
        <w:spacing w:line="320" w:lineRule="exact"/>
      </w:pPr>
      <w:r>
        <w:t>On December 12, 2012,</w:t>
      </w:r>
      <w:r w:rsidR="00992230">
        <w:t xml:space="preserve"> </w:t>
      </w:r>
      <w:r>
        <w:t xml:space="preserve">PSE </w:t>
      </w:r>
      <w:r w:rsidR="00D73ACF">
        <w:t xml:space="preserve">filed replacement </w:t>
      </w:r>
      <w:r w:rsidR="006C1FB5">
        <w:t>tariff sheets</w:t>
      </w:r>
      <w:r w:rsidR="00DE2EEB">
        <w:t xml:space="preserve"> reflecting the annual rate allocations and true-up</w:t>
      </w:r>
      <w:r w:rsidR="006C1FB5">
        <w:t xml:space="preserve">, and </w:t>
      </w:r>
      <w:r w:rsidR="00D73ACF">
        <w:t xml:space="preserve">requested </w:t>
      </w:r>
      <w:r w:rsidR="00FB708E">
        <w:t xml:space="preserve">a petition for </w:t>
      </w:r>
      <w:r w:rsidR="00446162" w:rsidRPr="005E5651">
        <w:t xml:space="preserve">exemption from </w:t>
      </w:r>
      <w:r w:rsidR="00253B93">
        <w:t xml:space="preserve">minimum customer notice provisions found in </w:t>
      </w:r>
      <w:r w:rsidR="00500FCB">
        <w:fldChar w:fldCharType="begin"/>
      </w:r>
      <w:r w:rsidR="00500FCB">
        <w:instrText xml:space="preserve"> ref WAC_no </w:instrText>
      </w:r>
      <w:r w:rsidR="00500FCB">
        <w:fldChar w:fldCharType="separate"/>
      </w:r>
      <w:r w:rsidR="00500FCB">
        <w:t>WAC 480-100-194</w:t>
      </w:r>
      <w:r w:rsidR="00500FCB">
        <w:fldChar w:fldCharType="end"/>
      </w:r>
      <w:r>
        <w:t xml:space="preserve"> and</w:t>
      </w:r>
      <w:r w:rsidR="00D73ACF">
        <w:t xml:space="preserve"> instead</w:t>
      </w:r>
      <w:r>
        <w:t xml:space="preserve"> allow customers to be provided notice under the provisions of WAC 480-100-195</w:t>
      </w:r>
      <w:r w:rsidR="00253B93">
        <w:t xml:space="preserve"> through</w:t>
      </w:r>
      <w:r>
        <w:t xml:space="preserve"> a message on or with the first billing when the change becomes effective</w:t>
      </w:r>
      <w:r w:rsidR="00446162" w:rsidRPr="005E5651">
        <w:t>.</w:t>
      </w:r>
    </w:p>
    <w:p w14:paraId="0016A0E1" w14:textId="77777777" w:rsidR="00D73ACF" w:rsidRDefault="00D73ACF" w:rsidP="00101EC0">
      <w:pPr>
        <w:pStyle w:val="ListParagraph"/>
      </w:pPr>
    </w:p>
    <w:p w14:paraId="011C30F2" w14:textId="77777777" w:rsidR="0088395C" w:rsidRDefault="00DE2EEB" w:rsidP="0088395C">
      <w:pPr>
        <w:pStyle w:val="Findings"/>
        <w:spacing w:line="320" w:lineRule="exact"/>
      </w:pPr>
      <w:r>
        <w:t>The replacement tariff sheets result in a reduction in the credit rates under Schedule 137, which translates to an overall increase in bills for most customers.  For example, a typical residential customer using 1,000 kWh per month will see an increase of $0.23 per month.</w:t>
      </w:r>
    </w:p>
    <w:p w14:paraId="3CE252DE" w14:textId="77777777" w:rsidR="0088395C" w:rsidRDefault="0088395C" w:rsidP="0088395C">
      <w:pPr>
        <w:pStyle w:val="Findings"/>
        <w:numPr>
          <w:ilvl w:val="0"/>
          <w:numId w:val="0"/>
        </w:numPr>
        <w:spacing w:line="320" w:lineRule="exact"/>
      </w:pPr>
    </w:p>
    <w:p w14:paraId="1BBDA07A" w14:textId="318E5868" w:rsidR="00420E21" w:rsidRDefault="00586107" w:rsidP="0088395C">
      <w:pPr>
        <w:pStyle w:val="Findings"/>
        <w:spacing w:line="320" w:lineRule="exact"/>
      </w:pPr>
      <w:r>
        <w:t xml:space="preserve">The primary reason that the </w:t>
      </w:r>
      <w:r w:rsidR="00C03832">
        <w:t xml:space="preserve">REC </w:t>
      </w:r>
      <w:r>
        <w:t>rates are lower is that the total amount of the credit is being spread over projected loads for twelve months</w:t>
      </w:r>
      <w:r w:rsidR="00DF26CF">
        <w:t xml:space="preserve"> </w:t>
      </w:r>
      <w:r w:rsidR="00253B93">
        <w:t>rather than seven months,</w:t>
      </w:r>
      <w:r w:rsidR="00101EC0">
        <w:t xml:space="preserve"> </w:t>
      </w:r>
      <w:r>
        <w:t>May 2012 to December 2012</w:t>
      </w:r>
      <w:r w:rsidR="00253B93">
        <w:t>, as had been the case</w:t>
      </w:r>
      <w:r>
        <w:t xml:space="preserve">.  In addition, the rates reflect </w:t>
      </w:r>
      <w:r w:rsidR="00A61164">
        <w:t xml:space="preserve">additional changes </w:t>
      </w:r>
      <w:r w:rsidR="00122552">
        <w:t>, such as</w:t>
      </w:r>
      <w:r w:rsidR="00101EC0">
        <w:t xml:space="preserve"> </w:t>
      </w:r>
      <w:r w:rsidR="00A61164">
        <w:t>a true-up</w:t>
      </w:r>
      <w:r w:rsidR="00D73ACF">
        <w:t xml:space="preserve"> </w:t>
      </w:r>
      <w:r>
        <w:t xml:space="preserve">due to </w:t>
      </w:r>
      <w:r w:rsidR="00122552">
        <w:t xml:space="preserve">change in </w:t>
      </w:r>
      <w:r>
        <w:t xml:space="preserve">loads </w:t>
      </w:r>
      <w:r w:rsidR="00DF26CF">
        <w:t>relative to</w:t>
      </w:r>
      <w:r w:rsidR="00122552">
        <w:t xml:space="preserve"> </w:t>
      </w:r>
      <w:r>
        <w:t>project</w:t>
      </w:r>
      <w:r w:rsidR="00DF26CF">
        <w:t>ions</w:t>
      </w:r>
      <w:r w:rsidR="00122552">
        <w:t>,</w:t>
      </w:r>
      <w:r>
        <w:t xml:space="preserve"> a true-up of the actual to </w:t>
      </w:r>
      <w:r>
        <w:lastRenderedPageBreak/>
        <w:t>estimated REC dollars received</w:t>
      </w:r>
      <w:r w:rsidR="00122552">
        <w:t>,</w:t>
      </w:r>
      <w:r>
        <w:t xml:space="preserve"> and removal of the credits from the environmental attributes of natural gas acquired from the Cedar Hills project which will be addressed separately in the future.</w:t>
      </w:r>
    </w:p>
    <w:p w14:paraId="4D0C8EF4" w14:textId="77777777" w:rsidR="00101EC0" w:rsidRDefault="00101EC0" w:rsidP="00101EC0">
      <w:pPr>
        <w:pStyle w:val="Findings"/>
        <w:numPr>
          <w:ilvl w:val="0"/>
          <w:numId w:val="0"/>
        </w:numPr>
        <w:spacing w:line="320" w:lineRule="exact"/>
      </w:pPr>
    </w:p>
    <w:p w14:paraId="1BBDA07B" w14:textId="77777777" w:rsidR="00420E21" w:rsidRPr="00AC24F9" w:rsidRDefault="00500FCB" w:rsidP="00D478E7">
      <w:pPr>
        <w:pStyle w:val="Findings"/>
        <w:spacing w:line="320" w:lineRule="exact"/>
      </w:pPr>
      <w:hyperlink r:id="rId12" w:history="1">
        <w:r w:rsidR="00420E21" w:rsidRPr="005C7816">
          <w:rPr>
            <w:rStyle w:val="Hyperlink"/>
          </w:rPr>
          <w:t>WAC</w:t>
        </w:r>
        <w:r w:rsidR="00420E21">
          <w:rPr>
            <w:rStyle w:val="Hyperlink"/>
          </w:rPr>
          <w:t xml:space="preserve"> </w:t>
        </w:r>
        <w:r w:rsidR="00420E21" w:rsidRPr="005C7816">
          <w:rPr>
            <w:rStyle w:val="Hyperlink"/>
          </w:rPr>
          <w:t>480-07-110</w:t>
        </w:r>
      </w:hyperlink>
      <w:r w:rsidR="00420E21">
        <w:t xml:space="preserve"> allows the Commission to grant an exemption from or modify the application of its rules if </w:t>
      </w:r>
      <w:r w:rsidR="00420E21" w:rsidRPr="00AC24F9">
        <w:t>consistent with the public interest, the purposes underlying regulation, and applicable statutes.</w:t>
      </w:r>
    </w:p>
    <w:p w14:paraId="1BBDA07C" w14:textId="77777777" w:rsidR="00446162" w:rsidRPr="00AC24F9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1BBDA07D" w14:textId="471CA0BA" w:rsidR="007B7A48" w:rsidRPr="002E5A69" w:rsidRDefault="00446162" w:rsidP="00CF0AF1">
      <w:pPr>
        <w:pStyle w:val="Findings"/>
        <w:spacing w:line="320" w:lineRule="exact"/>
        <w:rPr>
          <w:color w:val="FF0000"/>
        </w:rPr>
      </w:pPr>
      <w:r w:rsidRPr="00AC24F9">
        <w:t xml:space="preserve">Commission Staff </w:t>
      </w:r>
      <w:r w:rsidR="00157A63" w:rsidRPr="00AC24F9">
        <w:t xml:space="preserve">reviewed the </w:t>
      </w:r>
      <w:r w:rsidR="00157A63">
        <w:t xml:space="preserve">tariff </w:t>
      </w:r>
      <w:r w:rsidR="00BC337E" w:rsidRPr="00D868C5">
        <w:t>r</w:t>
      </w:r>
      <w:r w:rsidR="00BC337E">
        <w:t xml:space="preserve">ate changes and the request to waive customer notice requirements in WAC 480-100-194 </w:t>
      </w:r>
      <w:bookmarkStart w:id="6" w:name="_GoBack"/>
      <w:bookmarkEnd w:id="6"/>
      <w:r w:rsidR="00157A63">
        <w:t>and recommend</w:t>
      </w:r>
      <w:r w:rsidR="00BC337E">
        <w:t>s</w:t>
      </w:r>
      <w:r w:rsidR="00157A63">
        <w:t xml:space="preserve"> </w:t>
      </w:r>
      <w:r w:rsidR="00101EC0">
        <w:t xml:space="preserve">that </w:t>
      </w:r>
      <w:r w:rsidR="00157A63">
        <w:t xml:space="preserve">the Commission allow the tariff to become effective by operation of law, and on its own motion, grant </w:t>
      </w:r>
      <w:r w:rsidR="00101EC0">
        <w:t xml:space="preserve">the requested waiver from WAC 480-100-194. </w:t>
      </w:r>
    </w:p>
    <w:p w14:paraId="1BBDA07E" w14:textId="77777777" w:rsidR="00157A63" w:rsidRPr="005E5651" w:rsidRDefault="00157A63" w:rsidP="00157A63">
      <w:pPr>
        <w:pStyle w:val="Findings"/>
        <w:numPr>
          <w:ilvl w:val="0"/>
          <w:numId w:val="0"/>
        </w:numPr>
        <w:spacing w:line="320" w:lineRule="exact"/>
        <w:ind w:left="600"/>
      </w:pPr>
    </w:p>
    <w:p w14:paraId="1BBDA07F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t>FINDINGS AND CONCLUSIONS</w:t>
      </w:r>
    </w:p>
    <w:p w14:paraId="1BBDA080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  <w:ind w:left="-720"/>
        <w:rPr>
          <w:b/>
          <w:bCs/>
        </w:rPr>
      </w:pPr>
    </w:p>
    <w:p w14:paraId="1BBDA081" w14:textId="77777777" w:rsidR="00446162" w:rsidRDefault="00446162" w:rsidP="00D478E7">
      <w:pPr>
        <w:pStyle w:val="Findings"/>
        <w:spacing w:line="320" w:lineRule="exact"/>
        <w:ind w:left="600" w:hanging="1320"/>
      </w:pPr>
      <w:r w:rsidRPr="005E5651">
        <w:t>(1)</w:t>
      </w:r>
      <w:r w:rsidRPr="005E5651">
        <w:tab/>
        <w:t xml:space="preserve">The Washington Utilities and Transportation Commission is an agency of the </w:t>
      </w:r>
      <w:r w:rsidR="00641825">
        <w:t>S</w:t>
      </w:r>
      <w:r w:rsidRPr="005E5651">
        <w:t xml:space="preserve">tate of Washington vested by statute with the authority to regulate </w:t>
      </w:r>
      <w:r w:rsidR="0077044F">
        <w:t xml:space="preserve">the </w:t>
      </w:r>
      <w:r w:rsidRPr="005E5651">
        <w:t xml:space="preserve">rates, rules, regulations, practices, accounts, </w:t>
      </w:r>
      <w:proofErr w:type="gramStart"/>
      <w:r w:rsidRPr="005E5651">
        <w:t>securities</w:t>
      </w:r>
      <w:proofErr w:type="gramEnd"/>
      <w:r w:rsidRPr="005E5651">
        <w:t xml:space="preserve">, transfers of </w:t>
      </w:r>
      <w:r w:rsidR="00B0694C">
        <w:t>property and affiliated interest</w:t>
      </w:r>
      <w:r w:rsidR="00064AA3">
        <w:t>s</w:t>
      </w:r>
      <w:r w:rsidR="00B0694C">
        <w:t xml:space="preserve"> of </w:t>
      </w:r>
      <w:r w:rsidRPr="005E5651">
        <w:t>public servi</w:t>
      </w:r>
      <w:r w:rsidR="008554E4">
        <w:t>ce companies, including electric</w:t>
      </w:r>
      <w:r w:rsidRPr="005E5651">
        <w:t xml:space="preserve"> companies. </w:t>
      </w:r>
      <w:r w:rsidR="00FB1D16">
        <w:t xml:space="preserve"> </w:t>
      </w:r>
      <w:r w:rsidR="00412D28" w:rsidRPr="00703D15">
        <w:t xml:space="preserve"> </w:t>
      </w:r>
      <w:hyperlink r:id="rId13" w:history="1">
        <w:r w:rsidR="00412D28" w:rsidRPr="00703D15">
          <w:rPr>
            <w:rStyle w:val="Hyperlink"/>
          </w:rPr>
          <w:t>RCW</w:t>
        </w:r>
        <w:r w:rsidR="00B119E6" w:rsidRPr="00703D15">
          <w:rPr>
            <w:rStyle w:val="Hyperlink"/>
          </w:rPr>
          <w:t> </w:t>
        </w:r>
        <w:r w:rsidR="00412D28" w:rsidRPr="00703D15">
          <w:rPr>
            <w:rStyle w:val="Hyperlink"/>
          </w:rPr>
          <w:t>80.01.040</w:t>
        </w:r>
      </w:hyperlink>
      <w:r w:rsidR="00412D28" w:rsidRPr="00703D15">
        <w:t xml:space="preserve">, </w:t>
      </w:r>
      <w:hyperlink r:id="rId14" w:history="1">
        <w:r w:rsidR="00412D28" w:rsidRPr="00703D15">
          <w:rPr>
            <w:rStyle w:val="Hyperlink"/>
          </w:rPr>
          <w:t>RCW 80.04</w:t>
        </w:r>
      </w:hyperlink>
      <w:r w:rsidR="00412D28" w:rsidRPr="00703D15">
        <w:t xml:space="preserve">, </w:t>
      </w:r>
      <w:hyperlink r:id="rId15" w:history="1">
        <w:r w:rsidR="00412D28" w:rsidRPr="00703D15">
          <w:rPr>
            <w:rStyle w:val="Hyperlink"/>
          </w:rPr>
          <w:t>RCW 80.08</w:t>
        </w:r>
      </w:hyperlink>
      <w:r w:rsidR="00412D28" w:rsidRPr="00703D15">
        <w:t xml:space="preserve">, </w:t>
      </w:r>
      <w:hyperlink r:id="rId16" w:history="1">
        <w:r w:rsidR="00412D28" w:rsidRPr="00703D15">
          <w:rPr>
            <w:rStyle w:val="Hyperlink"/>
          </w:rPr>
          <w:t>RCW 80.12</w:t>
        </w:r>
      </w:hyperlink>
      <w:r w:rsidR="00412D28" w:rsidRPr="00703D15">
        <w:t xml:space="preserve">, </w:t>
      </w:r>
      <w:hyperlink r:id="rId17" w:history="1">
        <w:r w:rsidR="00412D28" w:rsidRPr="00703D15">
          <w:rPr>
            <w:rStyle w:val="Hyperlink"/>
          </w:rPr>
          <w:t>RCW 80.16</w:t>
        </w:r>
      </w:hyperlink>
      <w:r w:rsidR="00412D28" w:rsidRPr="00703D15">
        <w:t xml:space="preserve"> and </w:t>
      </w:r>
      <w:hyperlink r:id="rId18" w:history="1">
        <w:r w:rsidR="00412D28" w:rsidRPr="00703D15">
          <w:rPr>
            <w:rStyle w:val="Hyperlink"/>
          </w:rPr>
          <w:t>RCW</w:t>
        </w:r>
        <w:r w:rsidR="00B119E6" w:rsidRPr="00703D15">
          <w:rPr>
            <w:rStyle w:val="Hyperlink"/>
          </w:rPr>
          <w:t> </w:t>
        </w:r>
        <w:r w:rsidR="00412D28" w:rsidRPr="00703D15">
          <w:rPr>
            <w:rStyle w:val="Hyperlink"/>
          </w:rPr>
          <w:t>80.28</w:t>
        </w:r>
      </w:hyperlink>
      <w:r w:rsidR="00412D28" w:rsidRPr="00703D15">
        <w:t>.</w:t>
      </w:r>
    </w:p>
    <w:p w14:paraId="1BBDA082" w14:textId="77777777" w:rsidR="008C66E3" w:rsidRPr="005E5651" w:rsidRDefault="008C66E3" w:rsidP="00D478E7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1BBDA083" w14:textId="77777777" w:rsidR="00446162" w:rsidRPr="005E5651" w:rsidRDefault="00446162" w:rsidP="00D478E7">
      <w:pPr>
        <w:pStyle w:val="Findings"/>
        <w:spacing w:line="320" w:lineRule="exact"/>
        <w:ind w:left="600" w:hanging="1320"/>
      </w:pPr>
      <w:r w:rsidRPr="005E5651">
        <w:t>(2)</w:t>
      </w:r>
      <w:r w:rsidRPr="005E5651">
        <w:tab/>
      </w:r>
      <w:r w:rsidR="00500FCB">
        <w:fldChar w:fldCharType="begin"/>
      </w:r>
      <w:r w:rsidR="00500FCB">
        <w:instrText xml:space="preserve"> REF acronym1 \* MERGEFORMAT</w:instrText>
      </w:r>
      <w:r w:rsidR="00500FCB">
        <w:fldChar w:fldCharType="separate"/>
      </w:r>
      <w:r w:rsidR="00500FCB">
        <w:t>PSE</w:t>
      </w:r>
      <w:r w:rsidR="00500FCB">
        <w:fldChar w:fldCharType="end"/>
      </w:r>
      <w:r w:rsidR="00E03D66">
        <w:t xml:space="preserve"> </w:t>
      </w:r>
      <w:r w:rsidRPr="005E5651">
        <w:t xml:space="preserve">is engaged in the business of providing electric services within the state of Washington and is a public service company subject to </w:t>
      </w:r>
      <w:r w:rsidR="00714497">
        <w:t xml:space="preserve">Commission </w:t>
      </w:r>
      <w:r w:rsidRPr="005E5651">
        <w:t>jurisdiction.</w:t>
      </w:r>
    </w:p>
    <w:p w14:paraId="1BBDA084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1BBDA085" w14:textId="77777777" w:rsidR="00446162" w:rsidRPr="005E5651" w:rsidRDefault="00446162" w:rsidP="00D478E7">
      <w:pPr>
        <w:pStyle w:val="Findings"/>
        <w:spacing w:line="320" w:lineRule="exact"/>
        <w:ind w:left="600" w:hanging="1320"/>
      </w:pPr>
      <w:r w:rsidRPr="005E5651">
        <w:t>(3)</w:t>
      </w:r>
      <w:r w:rsidRPr="005E5651">
        <w:tab/>
      </w:r>
      <w:r w:rsidR="00500FCB">
        <w:fldChar w:fldCharType="begin"/>
      </w:r>
      <w:r w:rsidR="00500FCB">
        <w:instrText xml:space="preserve"> REF acronym1 </w:instrText>
      </w:r>
      <w:r w:rsidR="00500FCB">
        <w:instrText>\* MERGEFORMAT</w:instrText>
      </w:r>
      <w:r w:rsidR="00500FCB">
        <w:fldChar w:fldCharType="separate"/>
      </w:r>
      <w:r w:rsidR="00500FCB">
        <w:t>PSE</w:t>
      </w:r>
      <w:r w:rsidR="00500FCB">
        <w:fldChar w:fldCharType="end"/>
      </w:r>
      <w:r w:rsidR="00E03D66">
        <w:t xml:space="preserve"> </w:t>
      </w:r>
      <w:r w:rsidRPr="005E5651">
        <w:t xml:space="preserve">is </w:t>
      </w:r>
      <w:r w:rsidR="00157A63" w:rsidRPr="00D868C5">
        <w:t xml:space="preserve">subject to </w:t>
      </w:r>
      <w:r w:rsidR="00157A63">
        <w:t>the filing requirements of</w:t>
      </w:r>
      <w:r w:rsidR="00DF72E3">
        <w:t xml:space="preserve"> </w:t>
      </w:r>
      <w:r w:rsidR="00500FCB">
        <w:fldChar w:fldCharType="begin"/>
      </w:r>
      <w:r w:rsidR="00500FCB">
        <w:instrText xml:space="preserve"> ref wac_no </w:instrText>
      </w:r>
      <w:r w:rsidR="00500FCB">
        <w:fldChar w:fldCharType="separate"/>
      </w:r>
      <w:r w:rsidR="00500FCB">
        <w:t>WAC 480-100-194</w:t>
      </w:r>
      <w:r w:rsidR="00500FCB">
        <w:fldChar w:fldCharType="end"/>
      </w:r>
      <w:r w:rsidRPr="005E5651">
        <w:t xml:space="preserve">, </w:t>
      </w:r>
      <w:r w:rsidR="00157A63">
        <w:t>for publication notices</w:t>
      </w:r>
      <w:r w:rsidRPr="005E5651">
        <w:t>.</w:t>
      </w:r>
    </w:p>
    <w:p w14:paraId="1BBDA086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1BBDA087" w14:textId="77777777" w:rsidR="00446162" w:rsidRPr="005E5651" w:rsidRDefault="00446162" w:rsidP="00D478E7">
      <w:pPr>
        <w:pStyle w:val="Findings"/>
        <w:spacing w:line="320" w:lineRule="exact"/>
        <w:ind w:left="600" w:hanging="1320"/>
      </w:pPr>
      <w:r w:rsidRPr="005E5651">
        <w:t>(4)</w:t>
      </w:r>
      <w:r w:rsidRPr="005E5651">
        <w:tab/>
      </w:r>
      <w:r w:rsidR="00714497">
        <w:t xml:space="preserve">Under </w:t>
      </w:r>
      <w:hyperlink r:id="rId19" w:history="1">
        <w:r w:rsidRPr="00412D28">
          <w:rPr>
            <w:rStyle w:val="Hyperlink"/>
          </w:rPr>
          <w:t>WAC 480-100-008</w:t>
        </w:r>
      </w:hyperlink>
      <w:r w:rsidR="00714497">
        <w:t xml:space="preserve">, </w:t>
      </w:r>
      <w:r w:rsidRPr="005E5651">
        <w:t xml:space="preserve">the Commission may grant an exemption from the provisions of any rule in </w:t>
      </w:r>
      <w:hyperlink r:id="rId20" w:history="1">
        <w:r w:rsidR="008554E4" w:rsidRPr="00412D28">
          <w:rPr>
            <w:rStyle w:val="Hyperlink"/>
          </w:rPr>
          <w:t xml:space="preserve">WAC </w:t>
        </w:r>
        <w:r w:rsidRPr="00412D28">
          <w:rPr>
            <w:rStyle w:val="Hyperlink"/>
          </w:rPr>
          <w:t>480-100</w:t>
        </w:r>
      </w:hyperlink>
      <w:r w:rsidRPr="005E5651">
        <w:t>, if consistent with the public interest, the purposes underlying regulation and applicable statutes.</w:t>
      </w:r>
      <w:r w:rsidR="00714497">
        <w:t xml:space="preserve">  </w:t>
      </w:r>
      <w:r w:rsidR="00714497" w:rsidRPr="00703D15">
        <w:t xml:space="preserve">See also </w:t>
      </w:r>
      <w:hyperlink r:id="rId21" w:history="1">
        <w:r w:rsidR="00714497" w:rsidRPr="00703D15">
          <w:rPr>
            <w:rStyle w:val="Hyperlink"/>
          </w:rPr>
          <w:t>WAC 480-07-110</w:t>
        </w:r>
      </w:hyperlink>
      <w:r w:rsidR="00714497" w:rsidRPr="00714497">
        <w:rPr>
          <w:i/>
        </w:rPr>
        <w:t>.</w:t>
      </w:r>
    </w:p>
    <w:p w14:paraId="1BBDA088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1BBDA089" w14:textId="77777777" w:rsidR="00446162" w:rsidRPr="005E5651" w:rsidRDefault="00446162" w:rsidP="00D478E7">
      <w:pPr>
        <w:pStyle w:val="Findings"/>
        <w:spacing w:line="320" w:lineRule="exact"/>
        <w:ind w:left="600" w:hanging="1320"/>
      </w:pPr>
      <w:r w:rsidRPr="005E5651">
        <w:t>(5)</w:t>
      </w:r>
      <w:r w:rsidRPr="005E5651">
        <w:tab/>
        <w:t xml:space="preserve">This matter </w:t>
      </w:r>
      <w:r w:rsidR="00B0694C">
        <w:t>came</w:t>
      </w:r>
      <w:r w:rsidRPr="005E5651">
        <w:t xml:space="preserve"> before the Commission at its regularly scheduled meeting on</w:t>
      </w:r>
      <w:r w:rsidR="00412D28">
        <w:t xml:space="preserve"> </w:t>
      </w:r>
      <w:r w:rsidR="00412D28">
        <w:fldChar w:fldCharType="begin"/>
      </w:r>
      <w:r w:rsidR="00412D28">
        <w:instrText xml:space="preserve"> ASK om_date "Enter Open Meeting Date "</w:instrText>
      </w:r>
      <w:r w:rsidR="00412D28">
        <w:fldChar w:fldCharType="separate"/>
      </w:r>
      <w:bookmarkStart w:id="7" w:name="om_date"/>
      <w:r w:rsidR="00420E21">
        <w:t>December 27, 2012</w:t>
      </w:r>
      <w:bookmarkEnd w:id="7"/>
      <w:r w:rsidR="00412D28">
        <w:fldChar w:fldCharType="end"/>
      </w:r>
      <w:r w:rsidR="00500FCB">
        <w:fldChar w:fldCharType="begin"/>
      </w:r>
      <w:r w:rsidR="00500FCB">
        <w:instrText xml:space="preserve"> REF om_date \* </w:instrText>
      </w:r>
      <w:r w:rsidR="00500FCB">
        <w:instrText>MERGEFORMAT</w:instrText>
      </w:r>
      <w:r w:rsidR="00500FCB">
        <w:fldChar w:fldCharType="separate"/>
      </w:r>
      <w:r w:rsidR="00500FCB">
        <w:t>December 27, 2012</w:t>
      </w:r>
      <w:r w:rsidR="00500FCB">
        <w:fldChar w:fldCharType="end"/>
      </w:r>
      <w:r w:rsidR="00412D28">
        <w:t>.</w:t>
      </w:r>
    </w:p>
    <w:p w14:paraId="1BBDA08A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1BBDA08B" w14:textId="77777777" w:rsidR="00C02A5B" w:rsidRDefault="007B4BE8" w:rsidP="00D478E7">
      <w:pPr>
        <w:pStyle w:val="Findings"/>
        <w:spacing w:line="320" w:lineRule="exact"/>
        <w:ind w:left="600" w:hanging="1320"/>
      </w:pPr>
      <w:r>
        <w:lastRenderedPageBreak/>
        <w:t>(6)</w:t>
      </w:r>
      <w:r>
        <w:tab/>
        <w:t xml:space="preserve">After review of the petition filed </w:t>
      </w:r>
      <w:r w:rsidRPr="005E5651">
        <w:t xml:space="preserve">in Docket </w:t>
      </w:r>
      <w:r w:rsidR="00500FCB">
        <w:fldChar w:fldCharType="begin"/>
      </w:r>
      <w:r w:rsidR="00500FCB">
        <w:instrText xml:space="preserve"> REF docket_no \* MERGEFORMAT</w:instrText>
      </w:r>
      <w:r w:rsidR="00500FCB">
        <w:fldChar w:fldCharType="separate"/>
      </w:r>
      <w:r w:rsidR="00500FCB">
        <w:t>UE-121897</w:t>
      </w:r>
      <w:r w:rsidR="00500FCB">
        <w:fldChar w:fldCharType="end"/>
      </w:r>
      <w:r w:rsidRPr="005E5651">
        <w:t xml:space="preserve"> </w:t>
      </w:r>
      <w:r>
        <w:t>by</w:t>
      </w:r>
      <w:r w:rsidR="00412D28">
        <w:t xml:space="preserve"> </w:t>
      </w:r>
      <w:r w:rsidR="00500FCB">
        <w:fldChar w:fldCharType="begin"/>
      </w:r>
      <w:r w:rsidR="00500FCB">
        <w:instrText xml:space="preserve"> REF acronym1 \* MERGEFORMAT</w:instrText>
      </w:r>
      <w:r w:rsidR="00500FCB">
        <w:fldChar w:fldCharType="separate"/>
      </w:r>
      <w:r w:rsidR="00500FCB">
        <w:t>PSE</w:t>
      </w:r>
      <w:r w:rsidR="00500FCB">
        <w:fldChar w:fldCharType="end"/>
      </w:r>
      <w:r w:rsidR="00446162" w:rsidRPr="005E5651">
        <w:t xml:space="preserve"> on</w:t>
      </w:r>
      <w:r w:rsidR="00C02A5B">
        <w:t xml:space="preserve"> December 12, 2012</w:t>
      </w:r>
      <w:r>
        <w:t>,</w:t>
      </w:r>
      <w:r w:rsidR="00446162" w:rsidRPr="005E5651">
        <w:t xml:space="preserve"> and giving due consideration, the Commiss</w:t>
      </w:r>
      <w:r>
        <w:t>ion finds</w:t>
      </w:r>
      <w:r w:rsidR="00C02A5B">
        <w:t>:</w:t>
      </w:r>
    </w:p>
    <w:p w14:paraId="1BBDA08C" w14:textId="77777777" w:rsidR="00C02A5B" w:rsidRDefault="00C02A5B" w:rsidP="00C02A5B">
      <w:pPr>
        <w:pStyle w:val="ListParagraph"/>
      </w:pPr>
    </w:p>
    <w:p w14:paraId="1BBDA08D" w14:textId="77777777" w:rsidR="00C02A5B" w:rsidRDefault="00C02A5B" w:rsidP="00C02A5B">
      <w:pPr>
        <w:pStyle w:val="ListParagraph"/>
        <w:numPr>
          <w:ilvl w:val="0"/>
          <w:numId w:val="15"/>
        </w:numPr>
        <w:spacing w:line="288" w:lineRule="auto"/>
        <w:ind w:left="1440" w:hanging="720"/>
      </w:pPr>
      <w:r>
        <w:t>An</w:t>
      </w:r>
      <w:r w:rsidRPr="00D868C5">
        <w:t xml:space="preserve"> exemption </w:t>
      </w:r>
      <w:r>
        <w:t xml:space="preserve">from the publication notice filing requirements set forth in </w:t>
      </w:r>
      <w:hyperlink r:id="rId22" w:history="1">
        <w:r w:rsidRPr="00671E5B">
          <w:rPr>
            <w:rStyle w:val="Hyperlink"/>
          </w:rPr>
          <w:t>WAC 480-</w:t>
        </w:r>
        <w:r>
          <w:rPr>
            <w:rStyle w:val="Hyperlink"/>
          </w:rPr>
          <w:t>10</w:t>
        </w:r>
        <w:r w:rsidRPr="00671E5B">
          <w:rPr>
            <w:rStyle w:val="Hyperlink"/>
          </w:rPr>
          <w:t>0-</w:t>
        </w:r>
        <w:r>
          <w:rPr>
            <w:rStyle w:val="Hyperlink"/>
          </w:rPr>
          <w:t>194</w:t>
        </w:r>
      </w:hyperlink>
      <w:r>
        <w:t xml:space="preserve"> </w:t>
      </w:r>
      <w:r w:rsidRPr="00D868C5">
        <w:t xml:space="preserve">is </w:t>
      </w:r>
      <w:r>
        <w:t xml:space="preserve">in the public interest and consistent with the purposes underlying regulation, and applicable statutes </w:t>
      </w:r>
      <w:r w:rsidRPr="00D868C5">
        <w:t>and should be granted</w:t>
      </w:r>
      <w:r>
        <w:t>; and</w:t>
      </w:r>
    </w:p>
    <w:p w14:paraId="1BBDA08E" w14:textId="77777777" w:rsidR="00C02A5B" w:rsidRDefault="00C02A5B" w:rsidP="00C02A5B">
      <w:pPr>
        <w:pStyle w:val="ListParagraph"/>
        <w:spacing w:line="288" w:lineRule="auto"/>
        <w:ind w:left="1440"/>
      </w:pPr>
    </w:p>
    <w:p w14:paraId="1BBDA08F" w14:textId="77777777" w:rsidR="00C02A5B" w:rsidRDefault="00C02A5B" w:rsidP="00C02A5B">
      <w:pPr>
        <w:pStyle w:val="ListParagraph"/>
        <w:numPr>
          <w:ilvl w:val="0"/>
          <w:numId w:val="15"/>
        </w:numPr>
        <w:spacing w:line="288" w:lineRule="auto"/>
        <w:ind w:left="1440" w:hanging="720"/>
      </w:pPr>
      <w:r>
        <w:t xml:space="preserve">It is in the public interest to </w:t>
      </w:r>
      <w:r w:rsidRPr="00BC55AD">
        <w:t>allow the tariff</w:t>
      </w:r>
      <w:r>
        <w:t xml:space="preserve"> revisions </w:t>
      </w:r>
      <w:r w:rsidRPr="00BC55AD">
        <w:t>to Tariff WN U-</w:t>
      </w:r>
      <w:r>
        <w:t xml:space="preserve">60 </w:t>
      </w:r>
      <w:r w:rsidRPr="00BC55AD">
        <w:t>to become effective on</w:t>
      </w:r>
      <w:r>
        <w:t xml:space="preserve"> January 1, 2013, by operation of law.</w:t>
      </w:r>
    </w:p>
    <w:p w14:paraId="1BBDA090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1BBDA091" w14:textId="77777777" w:rsidR="00446162" w:rsidRPr="005E5651" w:rsidRDefault="00446162" w:rsidP="00D478E7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t>O R D E R</w:t>
      </w:r>
    </w:p>
    <w:p w14:paraId="1BBDA092" w14:textId="77777777" w:rsidR="00446162" w:rsidRPr="005E5651" w:rsidRDefault="00446162" w:rsidP="00D478E7">
      <w:pPr>
        <w:spacing w:line="320" w:lineRule="exact"/>
        <w:rPr>
          <w:b/>
          <w:bCs/>
        </w:rPr>
      </w:pPr>
    </w:p>
    <w:p w14:paraId="1BBDA093" w14:textId="77777777" w:rsidR="00446162" w:rsidRPr="00714497" w:rsidRDefault="00446162" w:rsidP="00D478E7">
      <w:pPr>
        <w:spacing w:line="320" w:lineRule="exact"/>
        <w:ind w:left="-720" w:firstLine="720"/>
        <w:rPr>
          <w:b/>
        </w:rPr>
      </w:pPr>
      <w:r w:rsidRPr="00714497">
        <w:rPr>
          <w:b/>
        </w:rPr>
        <w:t>THE COMMISSION ORDERS:</w:t>
      </w:r>
    </w:p>
    <w:p w14:paraId="1BBDA094" w14:textId="77777777" w:rsidR="00446162" w:rsidRPr="005E5651" w:rsidRDefault="00446162" w:rsidP="00D478E7">
      <w:pPr>
        <w:spacing w:line="320" w:lineRule="exact"/>
        <w:ind w:left="-720"/>
      </w:pPr>
    </w:p>
    <w:p w14:paraId="1BBDA095" w14:textId="6AB1B746" w:rsidR="00446162" w:rsidRPr="005E5651" w:rsidRDefault="00446162" w:rsidP="00851024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 w:rsidRPr="005E5651">
        <w:t>(1)</w:t>
      </w:r>
      <w:r w:rsidRPr="005E5651">
        <w:tab/>
        <w:t xml:space="preserve">After the effective date of this Order, </w:t>
      </w:r>
      <w:r w:rsidR="00500FCB">
        <w:fldChar w:fldCharType="begin"/>
      </w:r>
      <w:r w:rsidR="00500FCB">
        <w:instrText xml:space="preserve"> REF comp</w:instrText>
      </w:r>
      <w:r w:rsidR="00500FCB">
        <w:instrText>any1_name \* MERGEFORMAT</w:instrText>
      </w:r>
      <w:r w:rsidR="00500FCB">
        <w:fldChar w:fldCharType="separate"/>
      </w:r>
      <w:r w:rsidR="00500FCB">
        <w:t>Puget Sound Energy, Inc.</w:t>
      </w:r>
      <w:r w:rsidR="00500FCB">
        <w:fldChar w:fldCharType="end"/>
      </w:r>
      <w:r w:rsidR="00BA3BE9">
        <w:t xml:space="preserve"> </w:t>
      </w:r>
      <w:r w:rsidRPr="005E5651">
        <w:t xml:space="preserve">is granted an exemption from </w:t>
      </w:r>
      <w:r w:rsidR="00500FCB">
        <w:fldChar w:fldCharType="begin"/>
      </w:r>
      <w:r w:rsidR="00500FCB">
        <w:instrText xml:space="preserve"> ref WAC_no </w:instrText>
      </w:r>
      <w:r w:rsidR="00500FCB">
        <w:fldChar w:fldCharType="separate"/>
      </w:r>
      <w:r w:rsidR="00500FCB">
        <w:t>WAC 480-100-194</w:t>
      </w:r>
      <w:r w:rsidR="00500FCB">
        <w:fldChar w:fldCharType="end"/>
      </w:r>
      <w:r w:rsidR="005E672C">
        <w:t xml:space="preserve"> and allow customers to be provided notice under the provisions of WAC 480-100-195</w:t>
      </w:r>
      <w:r w:rsidRPr="005E5651">
        <w:t>,</w:t>
      </w:r>
      <w:r w:rsidR="00C02A5B" w:rsidRPr="00C02A5B">
        <w:t xml:space="preserve"> </w:t>
      </w:r>
      <w:r w:rsidR="00C02A5B">
        <w:t>for purposes of the tariff filed in Docket UE-121897 on December 12, 2012</w:t>
      </w:r>
      <w:r w:rsidRPr="005E5651">
        <w:t>.</w:t>
      </w:r>
    </w:p>
    <w:p w14:paraId="1BBDA096" w14:textId="77777777" w:rsidR="00446162" w:rsidRPr="005E5651" w:rsidRDefault="00446162" w:rsidP="00D478E7">
      <w:pPr>
        <w:spacing w:line="320" w:lineRule="exact"/>
        <w:ind w:left="-720"/>
      </w:pPr>
    </w:p>
    <w:p w14:paraId="1BBDA097" w14:textId="004B6E17" w:rsidR="00446162" w:rsidRDefault="00446162" w:rsidP="00851024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hanging="1440"/>
      </w:pPr>
      <w:r w:rsidRPr="005E5651">
        <w:t>(2)</w:t>
      </w:r>
      <w:r w:rsidRPr="005E5651">
        <w:tab/>
      </w:r>
      <w:r w:rsidR="00C02A5B" w:rsidRPr="005E5651">
        <w:t xml:space="preserve">The Commission retains jurisdiction over the subject matter and </w:t>
      </w:r>
      <w:r w:rsidR="00500FCB">
        <w:fldChar w:fldCharType="begin"/>
      </w:r>
      <w:r w:rsidR="00500FCB">
        <w:instrText xml:space="preserve"> REF company1_name \* MERGEFORMAT</w:instrText>
      </w:r>
      <w:r w:rsidR="00500FCB">
        <w:fldChar w:fldCharType="separate"/>
      </w:r>
      <w:r w:rsidR="00500FCB">
        <w:t>Puget Sound Energy, Inc.</w:t>
      </w:r>
      <w:r w:rsidR="00500FCB">
        <w:fldChar w:fldCharType="end"/>
      </w:r>
      <w:r w:rsidR="00C02A5B" w:rsidRPr="005E5651">
        <w:t xml:space="preserve"> to effectuate the provisions of this Order.</w:t>
      </w:r>
    </w:p>
    <w:p w14:paraId="1BBDA098" w14:textId="77777777" w:rsidR="008C66E3" w:rsidRDefault="008C66E3" w:rsidP="00D478E7">
      <w:pPr>
        <w:spacing w:line="320" w:lineRule="exact"/>
      </w:pPr>
    </w:p>
    <w:p w14:paraId="1BBDA099" w14:textId="77777777" w:rsidR="00446162" w:rsidRPr="005E5651" w:rsidRDefault="00446162" w:rsidP="00851024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hanging="1440"/>
      </w:pPr>
      <w:r w:rsidRPr="005E5651">
        <w:t>(3)</w:t>
      </w:r>
      <w:r w:rsidRPr="005E5651">
        <w:tab/>
        <w:t xml:space="preserve">The Commission </w:t>
      </w:r>
      <w:r w:rsidR="00C02A5B">
        <w:t xml:space="preserve">takes no action on the tariff implementing the </w:t>
      </w:r>
      <w:r w:rsidR="005E672C">
        <w:t>temporary customer credit de</w:t>
      </w:r>
      <w:r w:rsidR="00C02A5B">
        <w:t>crease and allows it to become effective on January 1, 2013, by operation of law</w:t>
      </w:r>
      <w:r w:rsidRPr="005E5651">
        <w:t>.</w:t>
      </w:r>
    </w:p>
    <w:p w14:paraId="2E1D794F" w14:textId="77777777" w:rsidR="00BC337E" w:rsidRDefault="00BC337E" w:rsidP="00D478E7">
      <w:pPr>
        <w:pStyle w:val="Findings"/>
        <w:numPr>
          <w:ilvl w:val="0"/>
          <w:numId w:val="0"/>
        </w:numPr>
        <w:spacing w:line="320" w:lineRule="exact"/>
      </w:pPr>
    </w:p>
    <w:p w14:paraId="1BBDA09B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  <w:r w:rsidRPr="005E5651">
        <w:t>The Commissioners, having determined this Order to be consistent with th</w:t>
      </w:r>
      <w:r w:rsidR="005D63F4">
        <w:t>e public interest, directed the</w:t>
      </w:r>
      <w:r w:rsidR="00714497">
        <w:t xml:space="preserve"> </w:t>
      </w:r>
      <w:r w:rsidRPr="005E5651">
        <w:t>Secretary to enter this Order.</w:t>
      </w:r>
    </w:p>
    <w:p w14:paraId="1BBDA09C" w14:textId="77777777" w:rsidR="00446162" w:rsidRPr="005E5651" w:rsidRDefault="00446162" w:rsidP="00D478E7">
      <w:pPr>
        <w:spacing w:line="320" w:lineRule="exact"/>
      </w:pPr>
    </w:p>
    <w:p w14:paraId="1BBDA09D" w14:textId="77777777" w:rsidR="00446162" w:rsidRPr="005E5651" w:rsidRDefault="00446162" w:rsidP="00D478E7">
      <w:pPr>
        <w:spacing w:line="320" w:lineRule="exact"/>
        <w:ind w:firstLine="60"/>
      </w:pPr>
      <w:proofErr w:type="gramStart"/>
      <w:r w:rsidRPr="005E5651">
        <w:t xml:space="preserve">DATED at Olympia, Washington, and effective </w:t>
      </w:r>
      <w:r w:rsidR="00500FCB">
        <w:fldChar w:fldCharType="begin"/>
      </w:r>
      <w:r w:rsidR="00500FCB">
        <w:instrText xml:space="preserve"> REF om_date \* MERGEFORMAT </w:instrText>
      </w:r>
      <w:r w:rsidR="00500FCB">
        <w:fldChar w:fldCharType="separate"/>
      </w:r>
      <w:r w:rsidR="00500FCB" w:rsidRPr="00500FCB">
        <w:rPr>
          <w:bCs/>
        </w:rPr>
        <w:t>December 27, 2012</w:t>
      </w:r>
      <w:r w:rsidR="00500FCB">
        <w:rPr>
          <w:bCs/>
        </w:rPr>
        <w:fldChar w:fldCharType="end"/>
      </w:r>
      <w:r w:rsidRPr="005E5651">
        <w:t>.</w:t>
      </w:r>
      <w:proofErr w:type="gramEnd"/>
    </w:p>
    <w:p w14:paraId="1BBDA09E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BBDA09F" w14:textId="77777777" w:rsidR="00446162" w:rsidRPr="005E5651" w:rsidRDefault="00446162" w:rsidP="00D478E7">
      <w:pPr>
        <w:spacing w:line="320" w:lineRule="exact"/>
        <w:ind w:firstLine="720"/>
      </w:pPr>
      <w:smartTag w:uri="urn:schemas-microsoft-com:office:smarttags" w:element="PlaceType">
        <w:smartTag w:uri="urn:schemas-microsoft-com:office:smarttags" w:element="place">
          <w:r w:rsidRPr="005E5651">
            <w:t>WASHINGTON</w:t>
          </w:r>
        </w:smartTag>
      </w:smartTag>
      <w:r w:rsidRPr="005E5651">
        <w:t xml:space="preserve"> UTILITIES AND TRANSPORTATION COMMISSION</w:t>
      </w:r>
    </w:p>
    <w:p w14:paraId="1BBDA0A0" w14:textId="77777777" w:rsidR="00446162" w:rsidRPr="005E5651" w:rsidRDefault="00446162" w:rsidP="00D478E7">
      <w:pPr>
        <w:spacing w:line="320" w:lineRule="exact"/>
      </w:pPr>
    </w:p>
    <w:p w14:paraId="1BBDA0A1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BBDA0A2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BBDA0C2" w14:textId="6441F42F" w:rsidR="00535331" w:rsidRPr="005E5651" w:rsidRDefault="00180037" w:rsidP="0088395C">
      <w:pPr>
        <w:spacing w:line="320" w:lineRule="exact"/>
        <w:ind w:left="1440" w:firstLine="720"/>
      </w:pPr>
      <w:r>
        <w:t>DAVID W. DANNER, Executive Director</w:t>
      </w:r>
      <w:r w:rsidR="008B60F3">
        <w:t xml:space="preserve"> and Secretary</w:t>
      </w:r>
    </w:p>
    <w:sectPr w:rsidR="00535331" w:rsidRPr="005E5651">
      <w:headerReference w:type="default" r:id="rId23"/>
      <w:headerReference w:type="first" r:id="rId24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DA0C7" w14:textId="77777777" w:rsidR="00BC337E" w:rsidRDefault="00BC337E">
      <w:r>
        <w:separator/>
      </w:r>
    </w:p>
  </w:endnote>
  <w:endnote w:type="continuationSeparator" w:id="0">
    <w:p w14:paraId="1BBDA0C8" w14:textId="77777777" w:rsidR="00BC337E" w:rsidRDefault="00B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DA0C5" w14:textId="77777777" w:rsidR="00BC337E" w:rsidRDefault="00BC337E">
      <w:r>
        <w:separator/>
      </w:r>
    </w:p>
  </w:footnote>
  <w:footnote w:type="continuationSeparator" w:id="0">
    <w:p w14:paraId="1BBDA0C6" w14:textId="77777777" w:rsidR="00BC337E" w:rsidRDefault="00BC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DA0C9" w14:textId="77777777" w:rsidR="00BC337E" w:rsidRPr="00A748CC" w:rsidRDefault="00BC337E" w:rsidP="00412D2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500FCB" w:rsidRPr="00500FCB">
      <w:rPr>
        <w:b/>
        <w:sz w:val="20"/>
      </w:rPr>
      <w:t>UE-121897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00FCB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BBDA0CA" w14:textId="77777777" w:rsidR="00BC337E" w:rsidRPr="0050337D" w:rsidRDefault="00BC337E" w:rsidP="00412D2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</w:t>
    </w:r>
    <w:r>
      <w:rPr>
        <w:rStyle w:val="PageNumber"/>
        <w:b/>
        <w:sz w:val="20"/>
      </w:rPr>
      <w:t xml:space="preserve">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500FCB" w:rsidRPr="00500FCB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1BBDA0CB" w14:textId="77777777" w:rsidR="00BC337E" w:rsidRPr="008C66E3" w:rsidRDefault="00BC337E">
    <w:pPr>
      <w:pStyle w:val="Header"/>
      <w:tabs>
        <w:tab w:val="left" w:pos="7100"/>
      </w:tabs>
      <w:rPr>
        <w:rStyle w:val="PageNumber"/>
        <w:b/>
        <w:sz w:val="20"/>
      </w:rPr>
    </w:pPr>
  </w:p>
  <w:p w14:paraId="1BBDA0CC" w14:textId="77777777" w:rsidR="00BC337E" w:rsidRPr="005E5651" w:rsidRDefault="00BC337E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DA0CD" w14:textId="77777777" w:rsidR="00BC337E" w:rsidRDefault="00BC337E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B74294"/>
    <w:multiLevelType w:val="hybridMultilevel"/>
    <w:tmpl w:val="7CE839CE"/>
    <w:lvl w:ilvl="0" w:tplc="0898FE6A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21"/>
    <w:rsid w:val="0003017D"/>
    <w:rsid w:val="00035210"/>
    <w:rsid w:val="0006478E"/>
    <w:rsid w:val="00064AA3"/>
    <w:rsid w:val="000E78EC"/>
    <w:rsid w:val="00101EC0"/>
    <w:rsid w:val="001024CB"/>
    <w:rsid w:val="001215A2"/>
    <w:rsid w:val="00122552"/>
    <w:rsid w:val="001427D0"/>
    <w:rsid w:val="001452D7"/>
    <w:rsid w:val="001500D0"/>
    <w:rsid w:val="00157A63"/>
    <w:rsid w:val="0016450E"/>
    <w:rsid w:val="00180037"/>
    <w:rsid w:val="00186297"/>
    <w:rsid w:val="001D34AD"/>
    <w:rsid w:val="001E6A3E"/>
    <w:rsid w:val="0021326E"/>
    <w:rsid w:val="002278FD"/>
    <w:rsid w:val="00253B93"/>
    <w:rsid w:val="00276B28"/>
    <w:rsid w:val="002817B9"/>
    <w:rsid w:val="002E5A69"/>
    <w:rsid w:val="002F168B"/>
    <w:rsid w:val="003279A5"/>
    <w:rsid w:val="00340A85"/>
    <w:rsid w:val="00364A03"/>
    <w:rsid w:val="00370F0E"/>
    <w:rsid w:val="0039437D"/>
    <w:rsid w:val="003B4464"/>
    <w:rsid w:val="003F20CF"/>
    <w:rsid w:val="00412D28"/>
    <w:rsid w:val="004170B3"/>
    <w:rsid w:val="00420E21"/>
    <w:rsid w:val="00425CA3"/>
    <w:rsid w:val="0043576D"/>
    <w:rsid w:val="00446162"/>
    <w:rsid w:val="004D6FE0"/>
    <w:rsid w:val="00500FCB"/>
    <w:rsid w:val="005063DC"/>
    <w:rsid w:val="00535331"/>
    <w:rsid w:val="00586107"/>
    <w:rsid w:val="00593373"/>
    <w:rsid w:val="00595D8E"/>
    <w:rsid w:val="005D63F4"/>
    <w:rsid w:val="005E5651"/>
    <w:rsid w:val="005E672C"/>
    <w:rsid w:val="00624AC5"/>
    <w:rsid w:val="00641825"/>
    <w:rsid w:val="006917A7"/>
    <w:rsid w:val="006C1FB5"/>
    <w:rsid w:val="006D4235"/>
    <w:rsid w:val="00703D15"/>
    <w:rsid w:val="00714497"/>
    <w:rsid w:val="007245EB"/>
    <w:rsid w:val="0077044F"/>
    <w:rsid w:val="007721DF"/>
    <w:rsid w:val="007B4BE8"/>
    <w:rsid w:val="007B71E3"/>
    <w:rsid w:val="007B7A48"/>
    <w:rsid w:val="008308C6"/>
    <w:rsid w:val="00832A48"/>
    <w:rsid w:val="00851024"/>
    <w:rsid w:val="00853909"/>
    <w:rsid w:val="008554E4"/>
    <w:rsid w:val="0088395C"/>
    <w:rsid w:val="008B60F3"/>
    <w:rsid w:val="008C66E3"/>
    <w:rsid w:val="008E3228"/>
    <w:rsid w:val="0091018D"/>
    <w:rsid w:val="00917F07"/>
    <w:rsid w:val="009504D1"/>
    <w:rsid w:val="009663B6"/>
    <w:rsid w:val="00992230"/>
    <w:rsid w:val="00A61164"/>
    <w:rsid w:val="00A92223"/>
    <w:rsid w:val="00AC24F9"/>
    <w:rsid w:val="00AC4BAA"/>
    <w:rsid w:val="00AD1C76"/>
    <w:rsid w:val="00AE7555"/>
    <w:rsid w:val="00B0694C"/>
    <w:rsid w:val="00B119E6"/>
    <w:rsid w:val="00B2449D"/>
    <w:rsid w:val="00B32513"/>
    <w:rsid w:val="00B83251"/>
    <w:rsid w:val="00B943D4"/>
    <w:rsid w:val="00BA3BE9"/>
    <w:rsid w:val="00BC190E"/>
    <w:rsid w:val="00BC337E"/>
    <w:rsid w:val="00BC49FE"/>
    <w:rsid w:val="00C02A5B"/>
    <w:rsid w:val="00C03832"/>
    <w:rsid w:val="00C0688E"/>
    <w:rsid w:val="00C1328A"/>
    <w:rsid w:val="00C17FEC"/>
    <w:rsid w:val="00C83493"/>
    <w:rsid w:val="00CF0AF1"/>
    <w:rsid w:val="00D25DB1"/>
    <w:rsid w:val="00D478E7"/>
    <w:rsid w:val="00D73ACF"/>
    <w:rsid w:val="00D80F28"/>
    <w:rsid w:val="00DA5894"/>
    <w:rsid w:val="00DC6AD4"/>
    <w:rsid w:val="00DE2EEB"/>
    <w:rsid w:val="00DE69C9"/>
    <w:rsid w:val="00DF26CF"/>
    <w:rsid w:val="00DF72E3"/>
    <w:rsid w:val="00E03D66"/>
    <w:rsid w:val="00EA0B5B"/>
    <w:rsid w:val="00ED5971"/>
    <w:rsid w:val="00EE2F7B"/>
    <w:rsid w:val="00EF39D9"/>
    <w:rsid w:val="00F66488"/>
    <w:rsid w:val="00F7347A"/>
    <w:rsid w:val="00F74898"/>
    <w:rsid w:val="00F82DA0"/>
    <w:rsid w:val="00F839DA"/>
    <w:rsid w:val="00FB1D16"/>
    <w:rsid w:val="00FB708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BDA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  <w:tabs>
        <w:tab w:val="clear" w:pos="720"/>
        <w:tab w:val="num" w:pos="0"/>
      </w:tabs>
      <w:ind w:left="0"/>
    </w:pPr>
  </w:style>
  <w:style w:type="character" w:styleId="Hyperlink">
    <w:name w:val="Hyperlink"/>
    <w:uiPriority w:val="99"/>
    <w:rsid w:val="00412D28"/>
    <w:rPr>
      <w:color w:val="0000FF"/>
      <w:u w:val="none"/>
    </w:rPr>
  </w:style>
  <w:style w:type="character" w:styleId="FollowedHyperlink">
    <w:name w:val="FollowedHyperlink"/>
    <w:rsid w:val="00412D2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20E21"/>
    <w:pPr>
      <w:ind w:left="720"/>
    </w:pPr>
  </w:style>
  <w:style w:type="paragraph" w:styleId="CommentText">
    <w:name w:val="annotation text"/>
    <w:basedOn w:val="Normal"/>
    <w:link w:val="CommentTextChar"/>
    <w:rsid w:val="00C02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A5B"/>
  </w:style>
  <w:style w:type="character" w:styleId="CommentReference">
    <w:name w:val="annotation reference"/>
    <w:basedOn w:val="DefaultParagraphFont"/>
    <w:rsid w:val="00425C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  <w:tabs>
        <w:tab w:val="clear" w:pos="720"/>
        <w:tab w:val="num" w:pos="0"/>
      </w:tabs>
      <w:ind w:left="0"/>
    </w:pPr>
  </w:style>
  <w:style w:type="character" w:styleId="Hyperlink">
    <w:name w:val="Hyperlink"/>
    <w:uiPriority w:val="99"/>
    <w:rsid w:val="00412D28"/>
    <w:rPr>
      <w:color w:val="0000FF"/>
      <w:u w:val="none"/>
    </w:rPr>
  </w:style>
  <w:style w:type="character" w:styleId="FollowedHyperlink">
    <w:name w:val="FollowedHyperlink"/>
    <w:rsid w:val="00412D2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20E21"/>
    <w:pPr>
      <w:ind w:left="720"/>
    </w:pPr>
  </w:style>
  <w:style w:type="paragraph" w:styleId="CommentText">
    <w:name w:val="annotation text"/>
    <w:basedOn w:val="Normal"/>
    <w:link w:val="CommentTextChar"/>
    <w:rsid w:val="00C02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A5B"/>
  </w:style>
  <w:style w:type="character" w:styleId="CommentReference">
    <w:name w:val="annotation reference"/>
    <w:basedOn w:val="DefaultParagraphFont"/>
    <w:rsid w:val="00425C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1.040" TargetMode="External"/><Relationship Id="rId18" Type="http://schemas.openxmlformats.org/officeDocument/2006/relationships/hyperlink" Target="http://apps.leg.wa.gov/RCW/default.aspx?cite=80.2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apps.leg.wa.gov/WAC/default.aspx?cite=480-07-110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apps.leg.wa.gov/WAC/default.aspx?cite=480-07-110" TargetMode="External"/><Relationship Id="rId17" Type="http://schemas.openxmlformats.org/officeDocument/2006/relationships/hyperlink" Target="http://apps.leg.wa.gov/RCW/default.aspx?cite=80.1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2" TargetMode="External"/><Relationship Id="rId20" Type="http://schemas.openxmlformats.org/officeDocument/2006/relationships/hyperlink" Target="http://apps.leg.wa.gov/WAC/default.aspx?cite=480-1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apps.leg.wa.gov/RCW/default.aspx?cite=80.08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apps.leg.wa.gov/WAC/default.aspx?cite=480-100-00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4" TargetMode="External"/><Relationship Id="rId22" Type="http://schemas.openxmlformats.org/officeDocument/2006/relationships/hyperlink" Target="http://apps.leg.wa.gov/WAC/default.aspx?cite=480-07-520" TargetMode="External"/><Relationship Id="rId27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Exemption%20from%20Rule%20%20(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2012-11-30T08:00:00+00:00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121897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0AAC4E6F6792468EF56D477450D401" ma:contentTypeVersion="139" ma:contentTypeDescription="" ma:contentTypeScope="" ma:versionID="97939530798a1a462dff666373ad6a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C53F270-3ED9-466A-A571-93CF0AB8C7D9}"/>
</file>

<file path=customXml/itemProps2.xml><?xml version="1.0" encoding="utf-8"?>
<ds:datastoreItem xmlns:ds="http://schemas.openxmlformats.org/officeDocument/2006/customXml" ds:itemID="{0F70F429-48CC-4EC3-86EA-5F8E270E652E}"/>
</file>

<file path=customXml/itemProps3.xml><?xml version="1.0" encoding="utf-8"?>
<ds:datastoreItem xmlns:ds="http://schemas.openxmlformats.org/officeDocument/2006/customXml" ds:itemID="{E2CD447F-C804-4370-8A5C-37DB04FFD0A5}"/>
</file>

<file path=customXml/itemProps4.xml><?xml version="1.0" encoding="utf-8"?>
<ds:datastoreItem xmlns:ds="http://schemas.openxmlformats.org/officeDocument/2006/customXml" ds:itemID="{3C684AE8-4F21-4142-85CC-EA48EC0A5739}"/>
</file>

<file path=customXml/itemProps5.xml><?xml version="1.0" encoding="utf-8"?>
<ds:datastoreItem xmlns:ds="http://schemas.openxmlformats.org/officeDocument/2006/customXml" ds:itemID="{AAF9F023-387B-4EE0-A7CD-F08BA7AC13B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 (Electric)</Template>
  <TotalTime>2</TotalTime>
  <Pages>3</Pages>
  <Words>854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7007</CharactersWithSpaces>
  <SharedDoc>false</SharedDoc>
  <HLinks>
    <vt:vector size="60" baseType="variant">
      <vt:variant>
        <vt:i4>2490368</vt:i4>
      </vt:variant>
      <vt:variant>
        <vt:i4>157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2031636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</vt:lpwstr>
      </vt:variant>
      <vt:variant>
        <vt:lpwstr/>
      </vt:variant>
      <vt:variant>
        <vt:i4>1507337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http://apps.leg.wa.gov/WAC/default.aspx?cite=480-100-008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Mickelson, Christopher (UTC)</dc:creator>
  <cp:lastModifiedBy>Kern, Cathy (UTC)</cp:lastModifiedBy>
  <cp:revision>3</cp:revision>
  <cp:lastPrinted>2012-12-27T00:37:00Z</cp:lastPrinted>
  <dcterms:created xsi:type="dcterms:W3CDTF">2012-12-27T00:37:00Z</dcterms:created>
  <dcterms:modified xsi:type="dcterms:W3CDTF">2012-12-27T00:39:00Z</dcterms:modified>
  <cp:category>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0x0101006E56B4D1795A2E4DB2F0B01679ED314A000D0AAC4E6F6792468EF56D477450D401</vt:lpwstr>
  </property>
  <property fmtid="{D5CDD505-2E9C-101B-9397-08002B2CF9AE}" pid="3" name="_docset_NoMedatataSyncRequired">
    <vt:lpwstr>False</vt:lpwstr>
  </property>
</Properties>
</file>