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Default="00087C76" w:rsidP="00317D57">
      <w:pPr>
        <w:rPr>
          <w:sz w:val="24"/>
        </w:rPr>
      </w:pPr>
    </w:p>
    <w:p w:rsidR="008228D8" w:rsidRDefault="008228D8" w:rsidP="00317D57">
      <w:pPr>
        <w:rPr>
          <w:sz w:val="24"/>
        </w:rPr>
      </w:pPr>
    </w:p>
    <w:p w:rsidR="008228D8" w:rsidRPr="00AF0284" w:rsidRDefault="008228D8" w:rsidP="00317D57">
      <w:pPr>
        <w:rPr>
          <w:sz w:val="24"/>
        </w:rPr>
      </w:pPr>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bookmarkStart w:id="0" w:name="_GoBack"/>
    <w:bookmarkEnd w:id="0"/>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8228D8">
        <w:rPr>
          <w:noProof/>
          <w:sz w:val="24"/>
        </w:rPr>
        <w:t>September 28,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proofErr w:type="spellStart"/>
      <w:r w:rsidR="00A2275A">
        <w:rPr>
          <w:i/>
          <w:sz w:val="24"/>
        </w:rPr>
        <w:t>Telecare</w:t>
      </w:r>
      <w:proofErr w:type="spellEnd"/>
      <w:r w:rsidR="00A2275A">
        <w:rPr>
          <w:i/>
          <w:sz w:val="24"/>
        </w:rPr>
        <w:t>, Inc</w:t>
      </w:r>
      <w:r w:rsidR="00BE219D" w:rsidRPr="00BE219D">
        <w:rPr>
          <w:i/>
          <w:sz w:val="24"/>
        </w:rPr>
        <w:t>.</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A2275A">
            <w:rPr>
              <w:sz w:val="24"/>
            </w:rPr>
            <w:t>121011</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84676C">
            <w:rPr>
              <w:sz w:val="24"/>
            </w:rPr>
            <w:t xml:space="preserve">July </w:t>
          </w:r>
          <w:r w:rsidR="00BE219D">
            <w:rPr>
              <w:sz w:val="24"/>
            </w:rPr>
            <w:t>31</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A2275A">
        <w:rPr>
          <w:sz w:val="24"/>
        </w:rPr>
        <w:t>5</w:t>
      </w:r>
      <w:r w:rsidR="009D6248">
        <w:rPr>
          <w:sz w:val="24"/>
        </w:rPr>
        <w:t>00</w:t>
      </w:r>
      <w:r w:rsidR="008E1E18">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4C7A84">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A2275A">
            <w:rPr>
              <w:sz w:val="24"/>
            </w:rPr>
            <w:t>121011</w:t>
          </w:r>
        </w:sdtContent>
      </w:sdt>
      <w:r w:rsidRPr="00AF0284">
        <w:rPr>
          <w:sz w:val="24"/>
        </w:rPr>
        <w:t xml:space="preserve"> against</w:t>
      </w:r>
      <w:r w:rsidR="00BE219D">
        <w:rPr>
          <w:sz w:val="24"/>
        </w:rPr>
        <w:t xml:space="preserve"> </w:t>
      </w:r>
      <w:proofErr w:type="spellStart"/>
      <w:r w:rsidR="00A2275A">
        <w:rPr>
          <w:sz w:val="24"/>
        </w:rPr>
        <w:t>Telecare</w:t>
      </w:r>
      <w:proofErr w:type="spellEnd"/>
      <w:r w:rsidR="00A2275A">
        <w:rPr>
          <w:sz w:val="24"/>
        </w:rPr>
        <w:t>, Inc</w:t>
      </w:r>
      <w:r w:rsidR="00BE219D" w:rsidRPr="00BE219D">
        <w:rPr>
          <w:sz w:val="24"/>
        </w:rPr>
        <w:t>.</w:t>
      </w:r>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A2275A">
            <w:rPr>
              <w:sz w:val="24"/>
            </w:rPr>
            <w:t>10</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1" w:name="Text2"/>
      <w:r w:rsidR="008E1E18">
        <w:rPr>
          <w:sz w:val="24"/>
        </w:rPr>
        <w:fldChar w:fldCharType="begin">
          <w:ffData>
            <w:name w:val="Text2"/>
            <w:enabled/>
            <w:calcOnExit w:val="0"/>
            <w:textInput>
              <w:default w:val="competitively classified telecommunications companies"/>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competitively classified telecommunications companies</w:t>
      </w:r>
      <w:r w:rsidR="008E1E18">
        <w:rPr>
          <w:sz w:val="24"/>
        </w:rPr>
        <w:fldChar w:fldCharType="end"/>
      </w:r>
      <w:bookmarkEnd w:id="1"/>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A2275A">
            <w:rPr>
              <w:sz w:val="24"/>
            </w:rPr>
            <w:t>August 21</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proofErr w:type="spellStart"/>
      <w:r w:rsidR="00A2275A">
        <w:rPr>
          <w:sz w:val="24"/>
        </w:rPr>
        <w:t>Telecare</w:t>
      </w:r>
      <w:proofErr w:type="spellEnd"/>
      <w:r w:rsidR="00A2275A">
        <w:rPr>
          <w:sz w:val="24"/>
        </w:rPr>
        <w:t>, Inc</w:t>
      </w:r>
      <w:r w:rsidR="00A2275A" w:rsidRPr="00BE219D">
        <w:rPr>
          <w:sz w:val="24"/>
        </w:rPr>
        <w:t>.</w:t>
      </w:r>
      <w:r w:rsidR="0040277C" w:rsidRPr="0040277C">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its Mitigation Request,</w:t>
      </w:r>
      <w:r w:rsidR="009D6248" w:rsidRPr="009D6248">
        <w:rPr>
          <w:sz w:val="24"/>
        </w:rPr>
        <w:t xml:space="preserve"> </w:t>
      </w:r>
      <w:proofErr w:type="spellStart"/>
      <w:r w:rsidR="00A2275A">
        <w:rPr>
          <w:sz w:val="24"/>
        </w:rPr>
        <w:t>Telecare</w:t>
      </w:r>
      <w:proofErr w:type="spellEnd"/>
      <w:r w:rsidR="00A2275A">
        <w:rPr>
          <w:sz w:val="24"/>
        </w:rPr>
        <w:t>, Inc</w:t>
      </w:r>
      <w:r w:rsidR="00A2275A" w:rsidRPr="00BE219D">
        <w:rPr>
          <w:sz w:val="24"/>
        </w:rPr>
        <w:t>.</w:t>
      </w:r>
      <w:r w:rsidR="00BE219D">
        <w:rPr>
          <w:sz w:val="24"/>
        </w:rPr>
        <w:t xml:space="preserve"> does not</w:t>
      </w:r>
      <w:r w:rsidR="004D4418">
        <w:rPr>
          <w:sz w:val="24"/>
        </w:rPr>
        <w:t xml:space="preserve"> dispute that the violation occurred. The company states</w:t>
      </w:r>
      <w:r w:rsidR="000D60D3">
        <w:rPr>
          <w:sz w:val="24"/>
        </w:rPr>
        <w:t>,</w:t>
      </w:r>
      <w:r w:rsidR="004D4418">
        <w:rPr>
          <w:sz w:val="24"/>
        </w:rPr>
        <w:t xml:space="preserve"> “</w:t>
      </w:r>
      <w:r w:rsidR="00A2275A">
        <w:rPr>
          <w:sz w:val="24"/>
        </w:rPr>
        <w:t>Unfortunately we do not do much business in Washington. We can’t afford a $500 penalty</w:t>
      </w:r>
      <w:r w:rsidR="00BE219D">
        <w:rPr>
          <w:sz w:val="24"/>
        </w:rPr>
        <w:t>.</w:t>
      </w:r>
      <w:r w:rsidR="00A2275A">
        <w:rPr>
          <w:sz w:val="24"/>
        </w:rPr>
        <w:t xml:space="preserve"> Can we pay $</w:t>
      </w:r>
      <w:proofErr w:type="gramStart"/>
      <w:r w:rsidR="00A2275A">
        <w:rPr>
          <w:sz w:val="24"/>
        </w:rPr>
        <w:t>250.</w:t>
      </w:r>
      <w:proofErr w:type="gramEnd"/>
      <w:r w:rsidR="007D29A9">
        <w:rPr>
          <w:sz w:val="24"/>
        </w:rPr>
        <w:t>”</w:t>
      </w:r>
    </w:p>
    <w:p w:rsidR="00BE219D" w:rsidRDefault="00BE219D" w:rsidP="00127C04">
      <w:pPr>
        <w:rPr>
          <w:sz w:val="24"/>
        </w:rPr>
      </w:pPr>
    </w:p>
    <w:p w:rsidR="000D60D3" w:rsidRPr="00FD35FF" w:rsidRDefault="0083259D"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w:t>
          </w:r>
          <w:proofErr w:type="gramStart"/>
          <w:r w:rsidR="00407E1B">
            <w:rPr>
              <w:sz w:val="24"/>
            </w:rPr>
            <w:t>by</w:t>
          </w:r>
          <w:proofErr w:type="gramEnd"/>
          <w:r w:rsidR="00407E1B">
            <w:rPr>
              <w:sz w:val="24"/>
            </w:rPr>
            <w:t xml:space="preserve"> the May 1 deadline</w:t>
          </w:r>
          <w:r w:rsidR="00306D0F">
            <w:rPr>
              <w:sz w:val="24"/>
            </w:rPr>
            <w:t>.</w:t>
          </w:r>
        </w:sdtContent>
      </w:sdt>
      <w:r w:rsidR="00F52B2B">
        <w:rPr>
          <w:sz w:val="24"/>
        </w:rPr>
        <w:t xml:space="preserve"> </w:t>
      </w:r>
      <w:r w:rsidR="008718AE">
        <w:rPr>
          <w:sz w:val="24"/>
        </w:rPr>
        <w:t>On February 29, 2012</w:t>
      </w:r>
      <w:r w:rsidR="009036A2" w:rsidRPr="009036A2">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8228D8">
        <w:rPr>
          <w:noProof/>
          <w:sz w:val="24"/>
        </w:rPr>
        <w:t>competitively classified telecommunications companies</w:t>
      </w:r>
      <w:r w:rsidR="00C7612E">
        <w:rPr>
          <w:sz w:val="24"/>
        </w:rPr>
        <w:fldChar w:fldCharType="end"/>
      </w:r>
      <w:r w:rsidR="008718AE">
        <w:rPr>
          <w:sz w:val="24"/>
        </w:rPr>
        <w:t>.</w:t>
      </w:r>
      <w:r w:rsidR="009036A2" w:rsidRPr="009036A2">
        <w:rPr>
          <w:sz w:val="24"/>
        </w:rPr>
        <w:t xml:space="preserve"> </w:t>
      </w:r>
      <w:r w:rsidR="00685F64">
        <w:rPr>
          <w:sz w:val="24"/>
        </w:rPr>
        <w:t>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9036A2" w:rsidRPr="009036A2">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Default="000D60D3" w:rsidP="00127C04">
      <w:pPr>
        <w:rPr>
          <w:sz w:val="24"/>
        </w:rPr>
      </w:pPr>
    </w:p>
    <w:p w:rsidR="00E136D1" w:rsidRDefault="00E136D1" w:rsidP="00127C04">
      <w:pPr>
        <w:rPr>
          <w:sz w:val="24"/>
        </w:rPr>
      </w:pPr>
    </w:p>
    <w:p w:rsidR="00E136D1" w:rsidRPr="00FD35FF" w:rsidRDefault="00E136D1" w:rsidP="00127C04">
      <w:pPr>
        <w:rPr>
          <w:sz w:val="24"/>
        </w:rPr>
      </w:pPr>
    </w:p>
    <w:p w:rsidR="004F0122" w:rsidRDefault="00A2275A" w:rsidP="00127C04">
      <w:pPr>
        <w:rPr>
          <w:sz w:val="24"/>
        </w:rPr>
      </w:pPr>
      <w:proofErr w:type="spellStart"/>
      <w:r>
        <w:rPr>
          <w:sz w:val="24"/>
        </w:rPr>
        <w:t>Telecare</w:t>
      </w:r>
      <w:proofErr w:type="spellEnd"/>
      <w:r>
        <w:rPr>
          <w:sz w:val="24"/>
        </w:rPr>
        <w:t>, Inc</w:t>
      </w:r>
      <w:r w:rsidRPr="00BE219D">
        <w:rPr>
          <w:sz w:val="24"/>
        </w:rPr>
        <w:t>.</w:t>
      </w:r>
      <w:r w:rsidR="006D7A05">
        <w:rPr>
          <w:sz w:val="24"/>
        </w:rPr>
        <w:t xml:space="preserve"> </w:t>
      </w:r>
      <w:r w:rsidR="00AE4EDC">
        <w:rPr>
          <w:sz w:val="24"/>
        </w:rPr>
        <w:t>file</w:t>
      </w:r>
      <w:r>
        <w:rPr>
          <w:sz w:val="24"/>
        </w:rPr>
        <w:t>d</w:t>
      </w:r>
      <w:r w:rsidR="00AE4EDC">
        <w:rPr>
          <w:sz w:val="24"/>
        </w:rPr>
        <w:t xml:space="preserve"> its annual report </w:t>
      </w:r>
      <w:r>
        <w:rPr>
          <w:sz w:val="24"/>
        </w:rPr>
        <w:t>on</w:t>
      </w:r>
      <w:r w:rsidR="00AE4EDC">
        <w:rPr>
          <w:sz w:val="24"/>
        </w:rPr>
        <w:t xml:space="preserve"> May </w:t>
      </w:r>
      <w:r>
        <w:rPr>
          <w:sz w:val="24"/>
        </w:rPr>
        <w:t>15</w:t>
      </w:r>
      <w:r w:rsidR="00AE4EDC">
        <w:rPr>
          <w:sz w:val="24"/>
        </w:rPr>
        <w:t xml:space="preserve">, 2012, which is </w:t>
      </w:r>
      <w:r>
        <w:rPr>
          <w:sz w:val="24"/>
        </w:rPr>
        <w:t>10</w:t>
      </w:r>
      <w:r w:rsidR="00AE4EDC">
        <w:rPr>
          <w:sz w:val="24"/>
        </w:rPr>
        <w:t xml:space="preserve"> business days past the deadline of May 1, 2012. </w:t>
      </w:r>
      <w:r w:rsidR="003B33E4" w:rsidRPr="00FD35FF">
        <w:rPr>
          <w:sz w:val="24"/>
        </w:rPr>
        <w:t>The penalty</w:t>
      </w:r>
      <w:r>
        <w:rPr>
          <w:sz w:val="24"/>
        </w:rPr>
        <w:t xml:space="preserve"> was mitigated from </w:t>
      </w:r>
      <w:r w:rsidR="005856E5">
        <w:rPr>
          <w:sz w:val="24"/>
        </w:rPr>
        <w:t>$100 per day</w:t>
      </w:r>
      <w:r>
        <w:rPr>
          <w:sz w:val="24"/>
        </w:rPr>
        <w:t xml:space="preserve"> to $25 per day</w:t>
      </w:r>
      <w:r w:rsidR="008A15EC">
        <w:rPr>
          <w:sz w:val="24"/>
        </w:rPr>
        <w:t>, for a</w:t>
      </w:r>
      <w:r>
        <w:rPr>
          <w:sz w:val="24"/>
        </w:rPr>
        <w:t xml:space="preserve"> </w:t>
      </w:r>
      <w:r w:rsidR="00BE219D">
        <w:rPr>
          <w:sz w:val="24"/>
        </w:rPr>
        <w:t xml:space="preserve">penalty </w:t>
      </w:r>
      <w:r w:rsidR="005856E5">
        <w:rPr>
          <w:sz w:val="24"/>
        </w:rPr>
        <w:t>of $</w:t>
      </w:r>
      <w:r>
        <w:rPr>
          <w:sz w:val="24"/>
        </w:rPr>
        <w:t>250</w:t>
      </w:r>
      <w:r w:rsidR="004F0122">
        <w:rPr>
          <w:sz w:val="24"/>
        </w:rPr>
        <w:t>.</w:t>
      </w:r>
      <w:r w:rsidR="0011648D">
        <w:rPr>
          <w:sz w:val="24"/>
        </w:rPr>
        <w:t xml:space="preserve"> </w:t>
      </w:r>
      <w:proofErr w:type="spellStart"/>
      <w:r w:rsidR="0011648D">
        <w:rPr>
          <w:sz w:val="24"/>
        </w:rPr>
        <w:t>Telecare</w:t>
      </w:r>
      <w:proofErr w:type="spellEnd"/>
      <w:r w:rsidR="0011648D">
        <w:rPr>
          <w:sz w:val="24"/>
        </w:rPr>
        <w:t>, Inc. became regulated in January 1996 and received a penalty in 2010 for filing a delinquent annual report. The prior penalty increased th</w:t>
      </w:r>
      <w:r w:rsidR="00E566C1">
        <w:rPr>
          <w:sz w:val="24"/>
        </w:rPr>
        <w:t>e current penalty by</w:t>
      </w:r>
      <w:r w:rsidR="0011648D">
        <w:rPr>
          <w:sz w:val="24"/>
        </w:rPr>
        <w:t xml:space="preserve"> $25 per business</w:t>
      </w:r>
      <w:r w:rsidR="00E566C1">
        <w:rPr>
          <w:sz w:val="24"/>
        </w:rPr>
        <w:t xml:space="preserve"> day,</w:t>
      </w:r>
      <w:r w:rsidR="0011648D">
        <w:rPr>
          <w:sz w:val="24"/>
        </w:rPr>
        <w:t xml:space="preserve"> </w:t>
      </w:r>
      <w:r w:rsidR="00E566C1">
        <w:rPr>
          <w:sz w:val="24"/>
        </w:rPr>
        <w:t>resulting in</w:t>
      </w:r>
      <w:r w:rsidR="00C415C2">
        <w:rPr>
          <w:sz w:val="24"/>
        </w:rPr>
        <w:t xml:space="preserve"> an additional $250, for a total penalty of $500.</w:t>
      </w:r>
    </w:p>
    <w:p w:rsidR="004F0122" w:rsidRDefault="004F0122" w:rsidP="00127C04">
      <w:pPr>
        <w:rPr>
          <w:sz w:val="24"/>
        </w:rPr>
      </w:pPr>
    </w:p>
    <w:sdt>
      <w:sdtPr>
        <w:rPr>
          <w:sz w:val="24"/>
        </w:rPr>
        <w:id w:val="267673250"/>
        <w:placeholder>
          <w:docPart w:val="DefaultPlaceholder_1082065158"/>
        </w:placeholder>
      </w:sdtPr>
      <w:sdtEndPr/>
      <w:sdtContent>
        <w:p w:rsidR="00127C04" w:rsidRPr="00FD35FF" w:rsidRDefault="004F0122" w:rsidP="00127C04">
          <w:pPr>
            <w:rPr>
              <w:sz w:val="24"/>
            </w:rPr>
          </w:pPr>
          <w:r>
            <w:rPr>
              <w:sz w:val="24"/>
            </w:rPr>
            <w:t xml:space="preserve">Staff does not support mitigating the assessed penalty as </w:t>
          </w:r>
          <w:r w:rsidR="00E566C1">
            <w:rPr>
              <w:sz w:val="24"/>
            </w:rPr>
            <w:t>it was</w:t>
          </w:r>
          <w:r>
            <w:rPr>
              <w:sz w:val="24"/>
            </w:rPr>
            <w:t xml:space="preserve"> already reduced</w:t>
          </w:r>
          <w:r w:rsidR="00E56385">
            <w:rPr>
              <w:sz w:val="24"/>
            </w:rPr>
            <w:t xml:space="preserve"> and</w:t>
          </w:r>
          <w:r w:rsidR="000D0D1B">
            <w:rPr>
              <w:sz w:val="24"/>
            </w:rPr>
            <w:t xml:space="preserve"> because</w:t>
          </w:r>
          <w:r w:rsidR="00E566C1">
            <w:rPr>
              <w:sz w:val="24"/>
            </w:rPr>
            <w:t xml:space="preserve"> of</w:t>
          </w:r>
          <w:r w:rsidR="00E56385">
            <w:rPr>
              <w:sz w:val="24"/>
            </w:rPr>
            <w:t xml:space="preserve"> </w:t>
          </w:r>
          <w:proofErr w:type="spellStart"/>
          <w:r w:rsidR="00E56385">
            <w:rPr>
              <w:sz w:val="24"/>
            </w:rPr>
            <w:t>Telecare</w:t>
          </w:r>
          <w:proofErr w:type="spellEnd"/>
          <w:r w:rsidR="00E56385">
            <w:rPr>
              <w:sz w:val="24"/>
            </w:rPr>
            <w:t>, Inc</w:t>
          </w:r>
          <w:r w:rsidR="00E566C1">
            <w:rPr>
              <w:sz w:val="24"/>
            </w:rPr>
            <w:t>.</w:t>
          </w:r>
          <w:r w:rsidR="00E56385">
            <w:rPr>
              <w:sz w:val="24"/>
            </w:rPr>
            <w:t>’</w:t>
          </w:r>
          <w:r w:rsidR="003A5BA2">
            <w:rPr>
              <w:sz w:val="24"/>
            </w:rPr>
            <w:t>s</w:t>
          </w:r>
          <w:r w:rsidR="00E566C1">
            <w:rPr>
              <w:sz w:val="24"/>
            </w:rPr>
            <w:t>,</w:t>
          </w:r>
          <w:r w:rsidR="003A5BA2">
            <w:rPr>
              <w:sz w:val="24"/>
            </w:rPr>
            <w:t xml:space="preserve"> continued</w:t>
          </w:r>
          <w:r w:rsidR="00E56385">
            <w:rPr>
              <w:sz w:val="24"/>
            </w:rPr>
            <w:t xml:space="preserve"> violations of WAC 480-120-382</w:t>
          </w:r>
          <w:r>
            <w:rPr>
              <w:sz w:val="24"/>
            </w:rPr>
            <w:t>.</w:t>
          </w:r>
          <w:r w:rsidRPr="004F0122">
            <w:rPr>
              <w:sz w:val="24"/>
            </w:rPr>
            <w:t xml:space="preserve"> </w:t>
          </w:r>
          <w:proofErr w:type="spellStart"/>
          <w:r>
            <w:rPr>
              <w:sz w:val="24"/>
            </w:rPr>
            <w:t>Telecare</w:t>
          </w:r>
          <w:proofErr w:type="spellEnd"/>
          <w:r>
            <w:rPr>
              <w:sz w:val="24"/>
            </w:rPr>
            <w:t xml:space="preserve">, </w:t>
          </w:r>
          <w:proofErr w:type="spellStart"/>
          <w:r>
            <w:rPr>
              <w:sz w:val="24"/>
            </w:rPr>
            <w:t>Inc’s</w:t>
          </w:r>
          <w:proofErr w:type="spellEnd"/>
          <w:r>
            <w:rPr>
              <w:sz w:val="24"/>
            </w:rPr>
            <w:t xml:space="preserve"> annual report was 14 days past the deadline of May 1, 2012, making the company liable for a penalty of up to $1,400. The commission nevertheless exercised its discretion and assessed a penalty of $250 against </w:t>
          </w:r>
          <w:proofErr w:type="spellStart"/>
          <w:r>
            <w:rPr>
              <w:sz w:val="24"/>
            </w:rPr>
            <w:t>Telecare</w:t>
          </w:r>
          <w:proofErr w:type="spellEnd"/>
          <w:r>
            <w:rPr>
              <w:sz w:val="24"/>
            </w:rPr>
            <w:t>, Inc</w:t>
          </w:r>
          <w:r w:rsidRPr="00BE219D">
            <w:rPr>
              <w:sz w:val="24"/>
            </w:rPr>
            <w:t>.</w:t>
          </w:r>
          <w:r>
            <w:rPr>
              <w:sz w:val="24"/>
            </w:rPr>
            <w:t xml:space="preserve"> based on the number of business days the company’s filing was late, rather than on the basis of calendar days. The commission, as a courtesy mails each company an annual report form and r</w:t>
          </w:r>
          <w:r w:rsidR="00E566C1">
            <w:rPr>
              <w:sz w:val="24"/>
            </w:rPr>
            <w:t>egulatory fee sheet. Staff believes</w:t>
          </w:r>
          <w:r>
            <w:rPr>
              <w:sz w:val="24"/>
            </w:rPr>
            <w:t xml:space="preserve"> that the $500 penalty assessed is a reasonable punitive measure to impose for the company’s</w:t>
          </w:r>
          <w:r w:rsidR="002F5C17">
            <w:rPr>
              <w:sz w:val="24"/>
            </w:rPr>
            <w:t xml:space="preserve"> continued</w:t>
          </w:r>
          <w:r>
            <w:rPr>
              <w:sz w:val="24"/>
            </w:rPr>
            <w:t xml:space="preserve"> violation</w:t>
          </w:r>
          <w:r w:rsidR="002F5C17">
            <w:rPr>
              <w:sz w:val="24"/>
            </w:rPr>
            <w:t>s</w:t>
          </w:r>
          <w:r>
            <w:rPr>
              <w:sz w:val="24"/>
            </w:rPr>
            <w:t xml:space="preserve"> of WAC 480-15-480.</w:t>
          </w:r>
        </w:p>
      </w:sdtContent>
    </w:sdt>
    <w:p w:rsidR="00A12B95" w:rsidRPr="00FD35FF" w:rsidRDefault="00A12B95" w:rsidP="0085138F">
      <w:pPr>
        <w:widowControl/>
        <w:autoSpaceDE/>
        <w:autoSpaceDN/>
        <w:adjustRightInd/>
        <w:rPr>
          <w:sz w:val="24"/>
        </w:rPr>
      </w:pPr>
    </w:p>
    <w:p w:rsidR="00592856" w:rsidRPr="00FD35FF" w:rsidRDefault="000D2124" w:rsidP="0085138F">
      <w:pPr>
        <w:widowControl/>
        <w:autoSpaceDE/>
        <w:autoSpaceDN/>
        <w:adjustRightInd/>
        <w:rPr>
          <w:sz w:val="24"/>
        </w:rPr>
      </w:pPr>
      <w:r>
        <w:rPr>
          <w:sz w:val="24"/>
        </w:rPr>
        <w:t xml:space="preserve">If you have questions regarding this recommendation, please contact Mathew Perkinson, Compliance </w:t>
      </w:r>
      <w:r w:rsidR="00E136D1">
        <w:rPr>
          <w:sz w:val="24"/>
        </w:rPr>
        <w:t>Investigator, at (360) 664-1105</w:t>
      </w:r>
      <w:r>
        <w:rPr>
          <w:sz w:val="24"/>
        </w:rPr>
        <w:t xml:space="preserve"> or at </w:t>
      </w:r>
      <w:hyperlink r:id="rId9" w:history="1">
        <w:r>
          <w:rPr>
            <w:rStyle w:val="Hyperlink"/>
            <w:sz w:val="24"/>
          </w:rPr>
          <w:t>mperkinson@utc.wa.gov</w:t>
        </w:r>
      </w:hyperlink>
      <w:r>
        <w:rPr>
          <w:sz w:val="24"/>
        </w:rPr>
        <w:t xml:space="preserve">. </w:t>
      </w:r>
      <w:r w:rsidR="00697867" w:rsidRPr="00FD35FF">
        <w:rPr>
          <w:sz w:val="24"/>
        </w:rPr>
        <w:t xml:space="preserve"> </w:t>
      </w:r>
      <w:r w:rsidR="00592856" w:rsidRPr="00FD35FF">
        <w:rPr>
          <w:sz w:val="24"/>
        </w:rPr>
        <w:t xml:space="preserve"> </w:t>
      </w:r>
    </w:p>
    <w:p w:rsidR="002F3753" w:rsidRPr="00FD35FF" w:rsidRDefault="002F3753"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C7606D" w:rsidRDefault="00C7606D" w:rsidP="00C7606D">
      <w:pPr>
        <w:rPr>
          <w:sz w:val="24"/>
        </w:rPr>
      </w:pPr>
    </w:p>
    <w:p w:rsidR="009036A2" w:rsidRDefault="009036A2" w:rsidP="00C7606D">
      <w:pPr>
        <w:rPr>
          <w:sz w:val="24"/>
        </w:rPr>
      </w:pPr>
    </w:p>
    <w:p w:rsidR="009036A2" w:rsidRDefault="009036A2">
      <w:pPr>
        <w:widowControl/>
        <w:autoSpaceDE/>
        <w:autoSpaceDN/>
        <w:adjustRightInd/>
        <w:rPr>
          <w:sz w:val="24"/>
        </w:rPr>
      </w:pPr>
      <w:r>
        <w:rPr>
          <w:sz w:val="24"/>
        </w:rPr>
        <w:br w:type="page"/>
      </w:r>
    </w:p>
    <w:p w:rsidR="003F0E6A" w:rsidRDefault="009036A2" w:rsidP="009036A2">
      <w:pPr>
        <w:widowControl/>
        <w:autoSpaceDE/>
        <w:autoSpaceDN/>
        <w:adjustRightInd/>
        <w:jc w:val="center"/>
        <w:rPr>
          <w:b/>
          <w:sz w:val="24"/>
        </w:rPr>
      </w:pPr>
      <w:r w:rsidRPr="009036A2">
        <w:rPr>
          <w:b/>
          <w:sz w:val="24"/>
        </w:rPr>
        <w:lastRenderedPageBreak/>
        <w:t>Attachment A</w:t>
      </w:r>
    </w:p>
    <w:p w:rsidR="00C7606D" w:rsidRPr="00023E29" w:rsidRDefault="00E84E2E" w:rsidP="00023E29">
      <w:pPr>
        <w:widowControl/>
        <w:autoSpaceDE/>
        <w:autoSpaceDN/>
        <w:adjustRightInd/>
        <w:jc w:val="center"/>
        <w:rPr>
          <w:b/>
          <w:sz w:val="24"/>
        </w:rPr>
      </w:pPr>
      <w:r>
        <w:rPr>
          <w:b/>
          <w:noProof/>
          <w:sz w:val="24"/>
        </w:rPr>
        <w:drawing>
          <wp:inline distT="0" distB="0" distL="0" distR="0">
            <wp:extent cx="5867400" cy="76147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7614714"/>
                    </a:xfrm>
                    <a:prstGeom prst="rect">
                      <a:avLst/>
                    </a:prstGeom>
                    <a:noFill/>
                    <a:ln>
                      <a:noFill/>
                    </a:ln>
                  </pic:spPr>
                </pic:pic>
              </a:graphicData>
            </a:graphic>
          </wp:inline>
        </w:drawing>
      </w:r>
    </w:p>
    <w:p w:rsidR="009036A2" w:rsidRDefault="009036A2" w:rsidP="00591DC8">
      <w:pPr>
        <w:widowControl/>
        <w:autoSpaceDE/>
        <w:autoSpaceDN/>
        <w:adjustRightInd/>
        <w:jc w:val="center"/>
        <w:rPr>
          <w:b/>
          <w:sz w:val="24"/>
        </w:rPr>
      </w:pPr>
      <w:r>
        <w:rPr>
          <w:noProof/>
          <w:sz w:val="24"/>
        </w:rPr>
        <w:br w:type="page"/>
      </w:r>
      <w:r w:rsidR="00591DC8">
        <w:rPr>
          <w:b/>
          <w:noProof/>
          <w:sz w:val="24"/>
        </w:rPr>
        <w:lastRenderedPageBreak/>
        <w:drawing>
          <wp:anchor distT="0" distB="0" distL="114300" distR="114300" simplePos="0" relativeHeight="251661312" behindDoc="1" locked="0" layoutInCell="1" allowOverlap="1" wp14:anchorId="22E4A531" wp14:editId="38A1FDA0">
            <wp:simplePos x="0" y="0"/>
            <wp:positionH relativeFrom="column">
              <wp:posOffset>12700</wp:posOffset>
            </wp:positionH>
            <wp:positionV relativeFrom="paragraph">
              <wp:posOffset>259080</wp:posOffset>
            </wp:positionV>
            <wp:extent cx="6127750" cy="7877175"/>
            <wp:effectExtent l="0" t="0" r="6350" b="9525"/>
            <wp:wrapThrough wrapText="bothSides">
              <wp:wrapPolygon edited="0">
                <wp:start x="0" y="0"/>
                <wp:lineTo x="0" y="21574"/>
                <wp:lineTo x="21555" y="21574"/>
                <wp:lineTo x="215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0" cy="787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6A2">
        <w:rPr>
          <w:b/>
          <w:sz w:val="24"/>
        </w:rPr>
        <w:t>Attachment B</w:t>
      </w:r>
      <w:r>
        <w:rPr>
          <w:b/>
          <w:sz w:val="24"/>
        </w:rPr>
        <w:br w:type="page"/>
      </w:r>
    </w:p>
    <w:p w:rsidR="009036A2" w:rsidRDefault="009036A2" w:rsidP="009036A2">
      <w:pPr>
        <w:widowControl/>
        <w:autoSpaceDE/>
        <w:autoSpaceDN/>
        <w:adjustRightInd/>
        <w:jc w:val="center"/>
        <w:rPr>
          <w:b/>
          <w:sz w:val="24"/>
        </w:rPr>
      </w:pPr>
      <w:r>
        <w:rPr>
          <w:b/>
          <w:noProof/>
          <w:sz w:val="24"/>
        </w:rPr>
        <w:lastRenderedPageBreak/>
        <w:drawing>
          <wp:inline distT="0" distB="0" distL="0" distR="0" wp14:anchorId="5889B593" wp14:editId="3607BAD2">
            <wp:extent cx="6032500" cy="774260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0" cy="7742606"/>
                    </a:xfrm>
                    <a:prstGeom prst="rect">
                      <a:avLst/>
                    </a:prstGeom>
                    <a:noFill/>
                    <a:ln>
                      <a:noFill/>
                    </a:ln>
                  </pic:spPr>
                </pic:pic>
              </a:graphicData>
            </a:graphic>
          </wp:inline>
        </w:drawing>
      </w:r>
      <w:r>
        <w:rPr>
          <w:b/>
          <w:noProof/>
          <w:sz w:val="24"/>
        </w:rPr>
        <w:lastRenderedPageBreak/>
        <w:drawing>
          <wp:inline distT="0" distB="0" distL="0" distR="0" wp14:anchorId="6196CBC6" wp14:editId="711461B0">
            <wp:extent cx="6047595" cy="778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595" cy="7785100"/>
                    </a:xfrm>
                    <a:prstGeom prst="rect">
                      <a:avLst/>
                    </a:prstGeom>
                    <a:noFill/>
                    <a:ln>
                      <a:noFill/>
                    </a:ln>
                  </pic:spPr>
                </pic:pic>
              </a:graphicData>
            </a:graphic>
          </wp:inline>
        </w:drawing>
      </w:r>
    </w:p>
    <w:p w:rsidR="00394CD5" w:rsidRDefault="00394CD5" w:rsidP="009036A2">
      <w:pPr>
        <w:widowControl/>
        <w:autoSpaceDE/>
        <w:autoSpaceDN/>
        <w:adjustRightInd/>
        <w:jc w:val="center"/>
        <w:rPr>
          <w:b/>
          <w:sz w:val="24"/>
        </w:rPr>
      </w:pPr>
    </w:p>
    <w:p w:rsidR="00394CD5" w:rsidRDefault="00394CD5" w:rsidP="009036A2">
      <w:pPr>
        <w:widowControl/>
        <w:autoSpaceDE/>
        <w:autoSpaceDN/>
        <w:adjustRightInd/>
        <w:jc w:val="center"/>
        <w:rPr>
          <w:b/>
          <w:sz w:val="24"/>
        </w:rPr>
      </w:pPr>
    </w:p>
    <w:p w:rsidR="00394CD5" w:rsidRDefault="00394CD5" w:rsidP="009036A2">
      <w:pPr>
        <w:widowControl/>
        <w:autoSpaceDE/>
        <w:autoSpaceDN/>
        <w:adjustRightInd/>
        <w:jc w:val="center"/>
        <w:rPr>
          <w:b/>
          <w:sz w:val="24"/>
        </w:rPr>
      </w:pPr>
    </w:p>
    <w:p w:rsidR="00394CD5" w:rsidRDefault="00394CD5" w:rsidP="009036A2">
      <w:pPr>
        <w:widowControl/>
        <w:autoSpaceDE/>
        <w:autoSpaceDN/>
        <w:adjustRightInd/>
        <w:jc w:val="center"/>
        <w:rPr>
          <w:b/>
          <w:sz w:val="24"/>
        </w:rPr>
      </w:pPr>
    </w:p>
    <w:p w:rsidR="00023E29" w:rsidRDefault="009036A2" w:rsidP="009036A2">
      <w:pPr>
        <w:widowControl/>
        <w:autoSpaceDE/>
        <w:autoSpaceDN/>
        <w:adjustRightInd/>
        <w:jc w:val="center"/>
        <w:rPr>
          <w:b/>
          <w:sz w:val="24"/>
        </w:rPr>
      </w:pPr>
      <w:r>
        <w:rPr>
          <w:b/>
          <w:sz w:val="24"/>
        </w:rPr>
        <w:lastRenderedPageBreak/>
        <w:t>Attachment C</w:t>
      </w:r>
    </w:p>
    <w:p w:rsidR="009036A2" w:rsidRPr="009036A2" w:rsidRDefault="009036A2" w:rsidP="009036A2">
      <w:pPr>
        <w:widowControl/>
        <w:autoSpaceDE/>
        <w:autoSpaceDN/>
        <w:adjustRightInd/>
        <w:jc w:val="center"/>
        <w:rPr>
          <w:b/>
          <w:sz w:val="24"/>
        </w:rPr>
      </w:pPr>
      <w:r>
        <w:rPr>
          <w:b/>
          <w:noProof/>
          <w:sz w:val="24"/>
        </w:rPr>
        <w:drawing>
          <wp:inline distT="0" distB="0" distL="0" distR="0" wp14:anchorId="35F49952" wp14:editId="03AAA659">
            <wp:extent cx="6024862" cy="775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4862" cy="7759700"/>
                    </a:xfrm>
                    <a:prstGeom prst="rect">
                      <a:avLst/>
                    </a:prstGeom>
                    <a:noFill/>
                    <a:ln>
                      <a:noFill/>
                    </a:ln>
                  </pic:spPr>
                </pic:pic>
              </a:graphicData>
            </a:graphic>
          </wp:inline>
        </w:drawing>
      </w:r>
    </w:p>
    <w:sectPr w:rsidR="009036A2" w:rsidRPr="009036A2" w:rsidSect="006B0838">
      <w:headerReference w:type="default" r:id="rId15"/>
      <w:footerReference w:type="even" r:id="rId16"/>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9D" w:rsidRDefault="0083259D">
      <w:r>
        <w:separator/>
      </w:r>
    </w:p>
  </w:endnote>
  <w:endnote w:type="continuationSeparator" w:id="0">
    <w:p w:rsidR="0083259D" w:rsidRDefault="0083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9D" w:rsidRDefault="0083259D">
      <w:r>
        <w:separator/>
      </w:r>
    </w:p>
  </w:footnote>
  <w:footnote w:type="continuationSeparator" w:id="0">
    <w:p w:rsidR="0083259D" w:rsidRDefault="0083259D">
      <w:r>
        <w:continuationSeparator/>
      </w:r>
    </w:p>
  </w:footnote>
  <w:footnote w:id="1">
    <w:p w:rsidR="00537493" w:rsidRDefault="00537493">
      <w:pPr>
        <w:pStyle w:val="FootnoteText"/>
      </w:pPr>
      <w:r>
        <w:rPr>
          <w:rStyle w:val="FootnoteReference"/>
        </w:rPr>
        <w:footnoteRef/>
      </w:r>
      <w:r>
        <w:t xml:space="preserve"> See </w:t>
      </w:r>
      <w:r w:rsidRPr="00F663EC">
        <w:t>attachment</w:t>
      </w:r>
      <w:r w:rsidR="009036A2">
        <w:t xml:space="preserve"> A</w:t>
      </w:r>
      <w:r w:rsidRPr="00F663EC">
        <w:t xml:space="preserve"> </w:t>
      </w:r>
      <w:r w:rsidRPr="00A92F44">
        <w:t>for</w:t>
      </w:r>
      <w:r w:rsidR="009036A2">
        <w:t xml:space="preserve"> a </w:t>
      </w:r>
      <w:r w:rsidR="009036A2" w:rsidRPr="00B96F5C">
        <w:t>copy of</w:t>
      </w:r>
      <w:r w:rsidRPr="00B96F5C">
        <w:t xml:space="preserve"> </w:t>
      </w:r>
      <w:proofErr w:type="spellStart"/>
      <w:r w:rsidR="00A2275A" w:rsidRPr="00A2275A">
        <w:t>Telecare</w:t>
      </w:r>
      <w:proofErr w:type="spellEnd"/>
      <w:r w:rsidR="00A2275A" w:rsidRPr="00A2275A">
        <w:t>, Inc.</w:t>
      </w:r>
      <w:r w:rsidR="00164338">
        <w:t>’</w:t>
      </w:r>
      <w:r w:rsidR="009036A2" w:rsidRPr="00B96F5C">
        <w:t>s</w:t>
      </w:r>
      <w:r w:rsidR="008E1E18" w:rsidRPr="00B96F5C">
        <w:t xml:space="preserve"> </w:t>
      </w:r>
      <w:r w:rsidRPr="00B96F5C">
        <w:t>Mitigation</w:t>
      </w:r>
      <w:r w:rsidR="009F4302">
        <w:t xml:space="preserve"> Request</w:t>
      </w:r>
      <w:r w:rsidRPr="00F663EC">
        <w:t>.</w:t>
      </w:r>
    </w:p>
  </w:footnote>
  <w:footnote w:id="2">
    <w:p w:rsidR="009036A2" w:rsidRDefault="009036A2">
      <w:pPr>
        <w:pStyle w:val="FootnoteText"/>
      </w:pPr>
      <w:r>
        <w:rPr>
          <w:rStyle w:val="FootnoteReference"/>
        </w:rPr>
        <w:footnoteRef/>
      </w:r>
      <w:r>
        <w:t xml:space="preserve"> See attachment B for a copy of the letter sent to all regulated companies on February 29, 2012. </w:t>
      </w:r>
    </w:p>
  </w:footnote>
  <w:footnote w:id="3">
    <w:p w:rsidR="009036A2" w:rsidRDefault="009036A2">
      <w:pPr>
        <w:pStyle w:val="FootnoteText"/>
      </w:pPr>
      <w:r>
        <w:rPr>
          <w:rStyle w:val="FootnoteReference"/>
        </w:rPr>
        <w:footnoteRef/>
      </w:r>
      <w:r>
        <w:t xml:space="preserve"> See attachment C for a copy of the enforcement letter sent to the company on May 14,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FD" w:rsidRDefault="00A753FD" w:rsidP="00A753FD">
    <w:pPr>
      <w:pStyle w:val="Header"/>
    </w:pPr>
    <w:r>
      <w:t>U</w:t>
    </w:r>
    <w:r w:rsidR="00591DC8">
      <w:t>TC Annual Reports</w:t>
    </w:r>
  </w:p>
  <w:p w:rsidR="00A753FD" w:rsidRDefault="00A753FD" w:rsidP="00A753FD">
    <w:pPr>
      <w:pStyle w:val="Header"/>
    </w:pPr>
    <w:r>
      <w:fldChar w:fldCharType="begin"/>
    </w:r>
    <w:r>
      <w:instrText xml:space="preserve"> DATE \@ "MMMM d, yyyy" </w:instrText>
    </w:r>
    <w:r>
      <w:fldChar w:fldCharType="separate"/>
    </w:r>
    <w:r w:rsidR="008228D8">
      <w:rPr>
        <w:noProof/>
      </w:rPr>
      <w:t>September 28, 2012</w:t>
    </w:r>
    <w:r>
      <w:fldChar w:fldCharType="end"/>
    </w:r>
  </w:p>
  <w:p w:rsidR="00A753FD" w:rsidRDefault="00A753FD" w:rsidP="00A753FD">
    <w:pPr>
      <w:pStyle w:val="Header"/>
    </w:pPr>
    <w:r>
      <w:t xml:space="preserve">Page </w:t>
    </w:r>
    <w:r>
      <w:fldChar w:fldCharType="begin"/>
    </w:r>
    <w:r>
      <w:instrText xml:space="preserve"> PAGE   \* MERGEFORMAT </w:instrText>
    </w:r>
    <w:r>
      <w:fldChar w:fldCharType="separate"/>
    </w:r>
    <w:r w:rsidR="008228D8">
      <w:rPr>
        <w:noProof/>
      </w:rPr>
      <w:t>7</w:t>
    </w:r>
    <w:r>
      <w:rPr>
        <w:noProof/>
      </w:rPr>
      <w:fldChar w:fldCharType="end"/>
    </w:r>
  </w:p>
  <w:p w:rsidR="00A753FD" w:rsidRDefault="00A75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3E29"/>
    <w:rsid w:val="00026B1A"/>
    <w:rsid w:val="00034108"/>
    <w:rsid w:val="000343F2"/>
    <w:rsid w:val="000363E0"/>
    <w:rsid w:val="000415FE"/>
    <w:rsid w:val="00042CB1"/>
    <w:rsid w:val="000557A6"/>
    <w:rsid w:val="0005648A"/>
    <w:rsid w:val="00057143"/>
    <w:rsid w:val="00057BFE"/>
    <w:rsid w:val="000622FC"/>
    <w:rsid w:val="000662E8"/>
    <w:rsid w:val="00073D9C"/>
    <w:rsid w:val="00074494"/>
    <w:rsid w:val="00074507"/>
    <w:rsid w:val="000805BF"/>
    <w:rsid w:val="00083457"/>
    <w:rsid w:val="00087C76"/>
    <w:rsid w:val="00090270"/>
    <w:rsid w:val="0009677D"/>
    <w:rsid w:val="000977E9"/>
    <w:rsid w:val="000B18FE"/>
    <w:rsid w:val="000C299C"/>
    <w:rsid w:val="000C7A44"/>
    <w:rsid w:val="000C7C1B"/>
    <w:rsid w:val="000D0D1B"/>
    <w:rsid w:val="000D2124"/>
    <w:rsid w:val="000D60D3"/>
    <w:rsid w:val="000E0AB5"/>
    <w:rsid w:val="000E538D"/>
    <w:rsid w:val="000F308D"/>
    <w:rsid w:val="000F4966"/>
    <w:rsid w:val="000F6108"/>
    <w:rsid w:val="00110E73"/>
    <w:rsid w:val="0011131F"/>
    <w:rsid w:val="0011648D"/>
    <w:rsid w:val="00127C04"/>
    <w:rsid w:val="0014321F"/>
    <w:rsid w:val="0014387F"/>
    <w:rsid w:val="00144041"/>
    <w:rsid w:val="00147462"/>
    <w:rsid w:val="001546D4"/>
    <w:rsid w:val="00163C57"/>
    <w:rsid w:val="00164338"/>
    <w:rsid w:val="00177F39"/>
    <w:rsid w:val="0019770A"/>
    <w:rsid w:val="001A22BA"/>
    <w:rsid w:val="001A5736"/>
    <w:rsid w:val="001B5293"/>
    <w:rsid w:val="001B650B"/>
    <w:rsid w:val="001C6F09"/>
    <w:rsid w:val="001C7254"/>
    <w:rsid w:val="001C7FEB"/>
    <w:rsid w:val="001D1364"/>
    <w:rsid w:val="001D7DBD"/>
    <w:rsid w:val="001E6ACA"/>
    <w:rsid w:val="001F401D"/>
    <w:rsid w:val="002037F2"/>
    <w:rsid w:val="00206183"/>
    <w:rsid w:val="00236A9E"/>
    <w:rsid w:val="00260983"/>
    <w:rsid w:val="002738A9"/>
    <w:rsid w:val="00276FD5"/>
    <w:rsid w:val="00295126"/>
    <w:rsid w:val="002A2CDD"/>
    <w:rsid w:val="002B20A5"/>
    <w:rsid w:val="002B57BC"/>
    <w:rsid w:val="002E549B"/>
    <w:rsid w:val="002E76B9"/>
    <w:rsid w:val="002F3753"/>
    <w:rsid w:val="002F5C17"/>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4CD5"/>
    <w:rsid w:val="0039544A"/>
    <w:rsid w:val="00397EA3"/>
    <w:rsid w:val="003A5BA2"/>
    <w:rsid w:val="003A74AC"/>
    <w:rsid w:val="003B0245"/>
    <w:rsid w:val="003B33E4"/>
    <w:rsid w:val="003B3DA0"/>
    <w:rsid w:val="003C480E"/>
    <w:rsid w:val="003C7040"/>
    <w:rsid w:val="003D22A1"/>
    <w:rsid w:val="003F0E6A"/>
    <w:rsid w:val="003F284D"/>
    <w:rsid w:val="003F7AC7"/>
    <w:rsid w:val="003F7C3A"/>
    <w:rsid w:val="0040277C"/>
    <w:rsid w:val="00402A6F"/>
    <w:rsid w:val="00404CC3"/>
    <w:rsid w:val="00407E1B"/>
    <w:rsid w:val="00420CCE"/>
    <w:rsid w:val="00434726"/>
    <w:rsid w:val="0043712B"/>
    <w:rsid w:val="0046242E"/>
    <w:rsid w:val="00470FAF"/>
    <w:rsid w:val="004867DE"/>
    <w:rsid w:val="004A1F38"/>
    <w:rsid w:val="004A3679"/>
    <w:rsid w:val="004C0E1B"/>
    <w:rsid w:val="004C7A84"/>
    <w:rsid w:val="004D4418"/>
    <w:rsid w:val="004F0122"/>
    <w:rsid w:val="004F1325"/>
    <w:rsid w:val="004F21C7"/>
    <w:rsid w:val="00506C8E"/>
    <w:rsid w:val="0050745E"/>
    <w:rsid w:val="0051039C"/>
    <w:rsid w:val="005131F0"/>
    <w:rsid w:val="00513AEF"/>
    <w:rsid w:val="005153F8"/>
    <w:rsid w:val="00522B27"/>
    <w:rsid w:val="00523F00"/>
    <w:rsid w:val="00535D9E"/>
    <w:rsid w:val="00536FDA"/>
    <w:rsid w:val="00537493"/>
    <w:rsid w:val="00554AC7"/>
    <w:rsid w:val="00556752"/>
    <w:rsid w:val="00564C27"/>
    <w:rsid w:val="00572742"/>
    <w:rsid w:val="0057591E"/>
    <w:rsid w:val="005856E5"/>
    <w:rsid w:val="00591DC8"/>
    <w:rsid w:val="00592856"/>
    <w:rsid w:val="00594B2E"/>
    <w:rsid w:val="005A0FFB"/>
    <w:rsid w:val="005C3582"/>
    <w:rsid w:val="005C3E22"/>
    <w:rsid w:val="005C400A"/>
    <w:rsid w:val="005E4A42"/>
    <w:rsid w:val="00614173"/>
    <w:rsid w:val="006203B6"/>
    <w:rsid w:val="00633CD6"/>
    <w:rsid w:val="00635704"/>
    <w:rsid w:val="00642384"/>
    <w:rsid w:val="00666381"/>
    <w:rsid w:val="00674EB9"/>
    <w:rsid w:val="00675542"/>
    <w:rsid w:val="0067671D"/>
    <w:rsid w:val="00684D95"/>
    <w:rsid w:val="00685A72"/>
    <w:rsid w:val="00685F64"/>
    <w:rsid w:val="006867B7"/>
    <w:rsid w:val="006964E7"/>
    <w:rsid w:val="00697867"/>
    <w:rsid w:val="006A60C7"/>
    <w:rsid w:val="006B0838"/>
    <w:rsid w:val="006B2925"/>
    <w:rsid w:val="006B4575"/>
    <w:rsid w:val="006C2C85"/>
    <w:rsid w:val="006C6F81"/>
    <w:rsid w:val="006D7A05"/>
    <w:rsid w:val="006D7C64"/>
    <w:rsid w:val="006F1CFE"/>
    <w:rsid w:val="006F3152"/>
    <w:rsid w:val="006F35BE"/>
    <w:rsid w:val="006F39CE"/>
    <w:rsid w:val="0070508E"/>
    <w:rsid w:val="00705704"/>
    <w:rsid w:val="00706955"/>
    <w:rsid w:val="007076EF"/>
    <w:rsid w:val="00715963"/>
    <w:rsid w:val="00725C61"/>
    <w:rsid w:val="00730807"/>
    <w:rsid w:val="007323CA"/>
    <w:rsid w:val="00736E96"/>
    <w:rsid w:val="00752F7A"/>
    <w:rsid w:val="00753FDF"/>
    <w:rsid w:val="00755539"/>
    <w:rsid w:val="00774465"/>
    <w:rsid w:val="00776819"/>
    <w:rsid w:val="007B1E4C"/>
    <w:rsid w:val="007C6DB2"/>
    <w:rsid w:val="007D29A9"/>
    <w:rsid w:val="007D548E"/>
    <w:rsid w:val="007E7DE7"/>
    <w:rsid w:val="007F6171"/>
    <w:rsid w:val="007F6609"/>
    <w:rsid w:val="00817398"/>
    <w:rsid w:val="008228D8"/>
    <w:rsid w:val="008235DC"/>
    <w:rsid w:val="00824945"/>
    <w:rsid w:val="0082767B"/>
    <w:rsid w:val="008323AC"/>
    <w:rsid w:val="0083259D"/>
    <w:rsid w:val="00833C16"/>
    <w:rsid w:val="00840003"/>
    <w:rsid w:val="0084099D"/>
    <w:rsid w:val="00844BCB"/>
    <w:rsid w:val="0084676C"/>
    <w:rsid w:val="00846FDA"/>
    <w:rsid w:val="0085138F"/>
    <w:rsid w:val="0085276D"/>
    <w:rsid w:val="00863DE5"/>
    <w:rsid w:val="00865832"/>
    <w:rsid w:val="008718AE"/>
    <w:rsid w:val="00872D3F"/>
    <w:rsid w:val="008803B1"/>
    <w:rsid w:val="008825A5"/>
    <w:rsid w:val="0088297F"/>
    <w:rsid w:val="00883E12"/>
    <w:rsid w:val="008A15EC"/>
    <w:rsid w:val="008B34FB"/>
    <w:rsid w:val="008B6957"/>
    <w:rsid w:val="008D2F91"/>
    <w:rsid w:val="008E1E18"/>
    <w:rsid w:val="008F20DC"/>
    <w:rsid w:val="008F43E0"/>
    <w:rsid w:val="00902CEC"/>
    <w:rsid w:val="009036A2"/>
    <w:rsid w:val="00905822"/>
    <w:rsid w:val="00910E08"/>
    <w:rsid w:val="00913ABF"/>
    <w:rsid w:val="009153CC"/>
    <w:rsid w:val="0092134C"/>
    <w:rsid w:val="009353E4"/>
    <w:rsid w:val="00935923"/>
    <w:rsid w:val="00942441"/>
    <w:rsid w:val="00961E3C"/>
    <w:rsid w:val="009636B3"/>
    <w:rsid w:val="00965FCD"/>
    <w:rsid w:val="00971DB2"/>
    <w:rsid w:val="009863D7"/>
    <w:rsid w:val="00987205"/>
    <w:rsid w:val="0099268B"/>
    <w:rsid w:val="0099658B"/>
    <w:rsid w:val="009A2860"/>
    <w:rsid w:val="009B0AAA"/>
    <w:rsid w:val="009B5906"/>
    <w:rsid w:val="009B6C5A"/>
    <w:rsid w:val="009C4E70"/>
    <w:rsid w:val="009D47D1"/>
    <w:rsid w:val="009D6248"/>
    <w:rsid w:val="009E4C80"/>
    <w:rsid w:val="009F4302"/>
    <w:rsid w:val="009F61F7"/>
    <w:rsid w:val="00A03F37"/>
    <w:rsid w:val="00A12B95"/>
    <w:rsid w:val="00A1380D"/>
    <w:rsid w:val="00A20CB9"/>
    <w:rsid w:val="00A2275A"/>
    <w:rsid w:val="00A30841"/>
    <w:rsid w:val="00A31264"/>
    <w:rsid w:val="00A3320E"/>
    <w:rsid w:val="00A34460"/>
    <w:rsid w:val="00A46AC9"/>
    <w:rsid w:val="00A6574F"/>
    <w:rsid w:val="00A66F7E"/>
    <w:rsid w:val="00A70741"/>
    <w:rsid w:val="00A707E3"/>
    <w:rsid w:val="00A70E91"/>
    <w:rsid w:val="00A72591"/>
    <w:rsid w:val="00A753FD"/>
    <w:rsid w:val="00A75960"/>
    <w:rsid w:val="00A812D2"/>
    <w:rsid w:val="00A92F44"/>
    <w:rsid w:val="00AA006C"/>
    <w:rsid w:val="00AB7EAF"/>
    <w:rsid w:val="00AC7847"/>
    <w:rsid w:val="00AD0E85"/>
    <w:rsid w:val="00AD499D"/>
    <w:rsid w:val="00AE4EDC"/>
    <w:rsid w:val="00AE66EA"/>
    <w:rsid w:val="00AF0284"/>
    <w:rsid w:val="00AF3357"/>
    <w:rsid w:val="00AF5EB3"/>
    <w:rsid w:val="00B0527D"/>
    <w:rsid w:val="00B165DE"/>
    <w:rsid w:val="00B2130C"/>
    <w:rsid w:val="00B3577A"/>
    <w:rsid w:val="00B40321"/>
    <w:rsid w:val="00B46D62"/>
    <w:rsid w:val="00B5290D"/>
    <w:rsid w:val="00B52B02"/>
    <w:rsid w:val="00B76F8A"/>
    <w:rsid w:val="00B822A2"/>
    <w:rsid w:val="00B82D81"/>
    <w:rsid w:val="00B96F5C"/>
    <w:rsid w:val="00BA162F"/>
    <w:rsid w:val="00BB1839"/>
    <w:rsid w:val="00BB2532"/>
    <w:rsid w:val="00BC2A34"/>
    <w:rsid w:val="00BC7852"/>
    <w:rsid w:val="00BD5959"/>
    <w:rsid w:val="00BE219D"/>
    <w:rsid w:val="00BE52CC"/>
    <w:rsid w:val="00BF285A"/>
    <w:rsid w:val="00C0038D"/>
    <w:rsid w:val="00C036E3"/>
    <w:rsid w:val="00C05429"/>
    <w:rsid w:val="00C11D18"/>
    <w:rsid w:val="00C17E0F"/>
    <w:rsid w:val="00C21751"/>
    <w:rsid w:val="00C259C8"/>
    <w:rsid w:val="00C36F1E"/>
    <w:rsid w:val="00C415C2"/>
    <w:rsid w:val="00C507EE"/>
    <w:rsid w:val="00C516F6"/>
    <w:rsid w:val="00C64CE0"/>
    <w:rsid w:val="00C7606D"/>
    <w:rsid w:val="00C7612E"/>
    <w:rsid w:val="00C86876"/>
    <w:rsid w:val="00CA14F2"/>
    <w:rsid w:val="00CA40A2"/>
    <w:rsid w:val="00CB7E4A"/>
    <w:rsid w:val="00CD3B0A"/>
    <w:rsid w:val="00CE5772"/>
    <w:rsid w:val="00CE5EF9"/>
    <w:rsid w:val="00D10C46"/>
    <w:rsid w:val="00D136BF"/>
    <w:rsid w:val="00D227E6"/>
    <w:rsid w:val="00D23C03"/>
    <w:rsid w:val="00D40BD0"/>
    <w:rsid w:val="00D673E0"/>
    <w:rsid w:val="00D70910"/>
    <w:rsid w:val="00D86216"/>
    <w:rsid w:val="00D94497"/>
    <w:rsid w:val="00DB7603"/>
    <w:rsid w:val="00DC2570"/>
    <w:rsid w:val="00DC6DB7"/>
    <w:rsid w:val="00DD5507"/>
    <w:rsid w:val="00DE19F4"/>
    <w:rsid w:val="00DF72B2"/>
    <w:rsid w:val="00DF793D"/>
    <w:rsid w:val="00E1140B"/>
    <w:rsid w:val="00E136D1"/>
    <w:rsid w:val="00E13739"/>
    <w:rsid w:val="00E21457"/>
    <w:rsid w:val="00E22515"/>
    <w:rsid w:val="00E42F9F"/>
    <w:rsid w:val="00E4724F"/>
    <w:rsid w:val="00E5129E"/>
    <w:rsid w:val="00E51FE7"/>
    <w:rsid w:val="00E56385"/>
    <w:rsid w:val="00E566C1"/>
    <w:rsid w:val="00E6415C"/>
    <w:rsid w:val="00E6492E"/>
    <w:rsid w:val="00E77982"/>
    <w:rsid w:val="00E84E2E"/>
    <w:rsid w:val="00E86790"/>
    <w:rsid w:val="00E936FB"/>
    <w:rsid w:val="00EA51BF"/>
    <w:rsid w:val="00EB437A"/>
    <w:rsid w:val="00EB5C48"/>
    <w:rsid w:val="00EC0A1E"/>
    <w:rsid w:val="00ED6A38"/>
    <w:rsid w:val="00ED781A"/>
    <w:rsid w:val="00EE2E54"/>
    <w:rsid w:val="00F03179"/>
    <w:rsid w:val="00F03AC5"/>
    <w:rsid w:val="00F3107B"/>
    <w:rsid w:val="00F52B2B"/>
    <w:rsid w:val="00F663EC"/>
    <w:rsid w:val="00F67013"/>
    <w:rsid w:val="00F71FF1"/>
    <w:rsid w:val="00F9687F"/>
    <w:rsid w:val="00FA6B9B"/>
    <w:rsid w:val="00FB2C14"/>
    <w:rsid w:val="00FC1EA0"/>
    <w:rsid w:val="00FD35FF"/>
    <w:rsid w:val="00FD485D"/>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008479363">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0F8D"/>
    <w:rsid w:val="00047F66"/>
    <w:rsid w:val="00062F0F"/>
    <w:rsid w:val="00132B7F"/>
    <w:rsid w:val="001B68FB"/>
    <w:rsid w:val="002470D1"/>
    <w:rsid w:val="00257716"/>
    <w:rsid w:val="002725FA"/>
    <w:rsid w:val="002F1666"/>
    <w:rsid w:val="003541F5"/>
    <w:rsid w:val="00383B4B"/>
    <w:rsid w:val="003A22B2"/>
    <w:rsid w:val="00413DBB"/>
    <w:rsid w:val="00423EE7"/>
    <w:rsid w:val="00487004"/>
    <w:rsid w:val="0053605C"/>
    <w:rsid w:val="005405E5"/>
    <w:rsid w:val="005A61E2"/>
    <w:rsid w:val="005A6E0B"/>
    <w:rsid w:val="005C4597"/>
    <w:rsid w:val="005D1137"/>
    <w:rsid w:val="005D2FDC"/>
    <w:rsid w:val="00603925"/>
    <w:rsid w:val="006B3E1F"/>
    <w:rsid w:val="006F4BFF"/>
    <w:rsid w:val="0071691D"/>
    <w:rsid w:val="0075464D"/>
    <w:rsid w:val="007B388F"/>
    <w:rsid w:val="00812E14"/>
    <w:rsid w:val="008451D0"/>
    <w:rsid w:val="0088690D"/>
    <w:rsid w:val="008B6C46"/>
    <w:rsid w:val="008D1B94"/>
    <w:rsid w:val="009157BD"/>
    <w:rsid w:val="00923325"/>
    <w:rsid w:val="009B2A99"/>
    <w:rsid w:val="009C211E"/>
    <w:rsid w:val="009D3EAE"/>
    <w:rsid w:val="00A95898"/>
    <w:rsid w:val="00BF5E02"/>
    <w:rsid w:val="00C86F03"/>
    <w:rsid w:val="00CA1F07"/>
    <w:rsid w:val="00D063F8"/>
    <w:rsid w:val="00D705BB"/>
    <w:rsid w:val="00DA0D37"/>
    <w:rsid w:val="00DA3979"/>
    <w:rsid w:val="00E2760E"/>
    <w:rsid w:val="00E41440"/>
    <w:rsid w:val="00E66C6F"/>
    <w:rsid w:val="00EC584B"/>
    <w:rsid w:val="00EE7D49"/>
    <w:rsid w:val="00EF4FD4"/>
    <w:rsid w:val="00F36FE2"/>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2012-10-01T07:00:00+00:00</Date1>
    <IsDocumentOrder xmlns="dc463f71-b30c-4ab2-9473-d307f9d35888" xsi:nil="true"/>
    <IsHighlyConfidential xmlns="dc463f71-b30c-4ab2-9473-d307f9d35888">false</IsHighlyConfidential>
    <CaseCompanyNames xmlns="dc463f71-b30c-4ab2-9473-d307f9d35888">Telecare, Inc.</CaseCompanyNames>
    <DocketNumber xmlns="dc463f71-b30c-4ab2-9473-d307f9d35888">121011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1DC641B0E2D4CB9F02FD0CDAACB37" ma:contentTypeVersion="139" ma:contentTypeDescription="" ma:contentTypeScope="" ma:versionID="01c18af380d8fa504b6893cf0e134a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F1A0B-B61E-451E-BFC0-3964F5A999BD}"/>
</file>

<file path=customXml/itemProps2.xml><?xml version="1.0" encoding="utf-8"?>
<ds:datastoreItem xmlns:ds="http://schemas.openxmlformats.org/officeDocument/2006/customXml" ds:itemID="{AE6F92DD-4953-4C4A-9B80-FB98F391424F}"/>
</file>

<file path=customXml/itemProps3.xml><?xml version="1.0" encoding="utf-8"?>
<ds:datastoreItem xmlns:ds="http://schemas.openxmlformats.org/officeDocument/2006/customXml" ds:itemID="{201108D2-2B33-4B1A-BC1F-D3BC7BBDCABD}"/>
</file>

<file path=customXml/itemProps4.xml><?xml version="1.0" encoding="utf-8"?>
<ds:datastoreItem xmlns:ds="http://schemas.openxmlformats.org/officeDocument/2006/customXml" ds:itemID="{7A5E2B86-E80D-4227-8373-4AF22833E35F}"/>
</file>

<file path=customXml/itemProps5.xml><?xml version="1.0" encoding="utf-8"?>
<ds:datastoreItem xmlns:ds="http://schemas.openxmlformats.org/officeDocument/2006/customXml" ds:itemID="{13D013DD-2FD9-4E09-A1AF-E811AC24DB8E}"/>
</file>

<file path=docProps/app.xml><?xml version="1.0" encoding="utf-8"?>
<Properties xmlns="http://schemas.openxmlformats.org/officeDocument/2006/extended-properties" xmlns:vt="http://schemas.openxmlformats.org/officeDocument/2006/docPropsVTypes">
  <Template>Normal.dotm</Template>
  <TotalTime>720</TotalTime>
  <Pages>7</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cp:lastModifiedBy>
  <cp:revision>104</cp:revision>
  <cp:lastPrinted>2012-09-28T22:25:00Z</cp:lastPrinted>
  <dcterms:created xsi:type="dcterms:W3CDTF">2012-07-23T19:55:00Z</dcterms:created>
  <dcterms:modified xsi:type="dcterms:W3CDTF">2012-09-28T22:26:00Z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0x0101006E56B4D1795A2E4DB2F0B01679ED314A005531DC641B0E2D4CB9F02FD0CDAACB37</vt:lpwstr>
  </property>
  <property fmtid="{D5CDD505-2E9C-101B-9397-08002B2CF9AE}" pid="3" name="_docset_NoMedatataSyncRequired">
    <vt:lpwstr>False</vt:lpwstr>
  </property>
</Properties>
</file>