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F95678">
        <w:t xml:space="preserve">COMMERCIAL </w:t>
      </w:r>
      <w:r w:rsidR="00C51FE7">
        <w:t>CAN, CONTAINER</w:t>
      </w:r>
      <w:r w:rsidR="00F95678">
        <w:t xml:space="preserve"> SERVICES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Month" w:val="4"/>
          <w:attr w:name="Day" w:val="29"/>
          <w:attr w:name="Year" w:val="2011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FA66E4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75527D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FA66E4">
          <w:rPr>
            <w:b w:val="0"/>
            <w:bCs w:val="0"/>
            <w:sz w:val="22"/>
            <w:szCs w:val="22"/>
          </w:rPr>
          <w:t xml:space="preserve">June </w:t>
        </w:r>
        <w:r>
          <w:rPr>
            <w:b w:val="0"/>
            <w:bCs w:val="0"/>
            <w:sz w:val="22"/>
            <w:szCs w:val="22"/>
          </w:rPr>
          <w:t>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</w:t>
      </w:r>
      <w:r w:rsidR="00F95678">
        <w:rPr>
          <w:b w:val="0"/>
          <w:bCs w:val="0"/>
          <w:sz w:val="22"/>
          <w:szCs w:val="22"/>
        </w:rPr>
        <w:t>pick-up</w:t>
      </w:r>
      <w:r>
        <w:rPr>
          <w:b w:val="0"/>
          <w:bCs w:val="0"/>
          <w:sz w:val="22"/>
          <w:szCs w:val="22"/>
        </w:rPr>
        <w:t xml:space="preserve"> will increase as follows: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</w:t>
      </w:r>
    </w:p>
    <w:tbl>
      <w:tblPr>
        <w:tblW w:w="0" w:type="auto"/>
        <w:tblInd w:w="1440" w:type="dxa"/>
        <w:tblLayout w:type="fixed"/>
        <w:tblLook w:val="0000"/>
      </w:tblPr>
      <w:tblGrid>
        <w:gridCol w:w="2268"/>
        <w:gridCol w:w="1620"/>
        <w:gridCol w:w="236"/>
        <w:gridCol w:w="1708"/>
        <w:gridCol w:w="236"/>
        <w:gridCol w:w="1420"/>
      </w:tblGrid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Pr="00D4330E" w:rsidRDefault="00D4330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D4330E">
                  <w:rPr>
                    <w:b/>
                    <w:sz w:val="18"/>
                    <w:szCs w:val="18"/>
                  </w:rPr>
                  <w:t>Jefferson</w:t>
                </w:r>
              </w:smartTag>
              <w:r w:rsidRPr="00D4330E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D4330E">
                  <w:rPr>
                    <w:b/>
                    <w:sz w:val="18"/>
                    <w:szCs w:val="18"/>
                  </w:rPr>
                  <w:t>County</w:t>
                </w:r>
              </w:smartTag>
            </w:smartTag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C51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Commer</w:t>
            </w:r>
            <w:r w:rsidR="00FA66E4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ial</w:t>
            </w:r>
            <w:r w:rsidR="00B462AF" w:rsidRPr="00B462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F95678">
              <w:rPr>
                <w:sz w:val="18"/>
                <w:szCs w:val="18"/>
              </w:rPr>
              <w:t xml:space="preserve"> Pick-up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027B6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 xml:space="preserve">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B2E05">
              <w:rPr>
                <w:sz w:val="18"/>
                <w:szCs w:val="18"/>
              </w:rPr>
              <w:t>9.10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19.68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yard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B2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27.52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5678"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B2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38.95</w:t>
            </w:r>
          </w:p>
        </w:tc>
      </w:tr>
      <w:tr w:rsidR="00D83B24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B2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95678"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B2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</w:t>
            </w:r>
          </w:p>
        </w:tc>
      </w:tr>
      <w:tr w:rsidR="00CC2DAF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gal can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2E05">
              <w:rPr>
                <w:sz w:val="18"/>
                <w:szCs w:val="18"/>
              </w:rPr>
              <w:t>9</w:t>
            </w:r>
            <w:r w:rsidR="00FA66E4"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</w:tr>
      <w:tr w:rsidR="00CC2DAF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 gal cart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B2E05">
              <w:rPr>
                <w:sz w:val="18"/>
                <w:szCs w:val="18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1-60 gal cart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FB2E05">
              <w:rPr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A6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services not listed will increase an average of  </w:t>
            </w:r>
            <w:r w:rsidR="00FA66E4">
              <w:rPr>
                <w:sz w:val="18"/>
                <w:szCs w:val="18"/>
              </w:rPr>
              <w:t>3.018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r w:rsidR="00D83B24">
        <w:rPr>
          <w:bCs/>
          <w:sz w:val="22"/>
          <w:szCs w:val="22"/>
        </w:rPr>
        <w:t>May</w:t>
      </w:r>
      <w:r w:rsidR="006C1FD7">
        <w:rPr>
          <w:bCs/>
          <w:sz w:val="22"/>
          <w:szCs w:val="22"/>
        </w:rPr>
        <w:t xml:space="preserve"> 2</w:t>
      </w:r>
      <w:r w:rsidR="00D83B24">
        <w:rPr>
          <w:bCs/>
          <w:sz w:val="22"/>
          <w:szCs w:val="22"/>
        </w:rPr>
        <w:t>6</w:t>
      </w:r>
      <w:r w:rsidR="006C1FD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201</w:t>
      </w:r>
      <w:r w:rsidR="00D4330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D93BE6">
      <w:headerReference w:type="default" r:id="rId6"/>
      <w:pgSz w:w="12240" w:h="15840" w:code="1"/>
      <w:pgMar w:top="144" w:right="1440" w:bottom="144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A505A">
      <w:r>
        <w:separator/>
      </w:r>
    </w:p>
  </w:endnote>
  <w:endnote w:type="continuationSeparator" w:id="0">
    <w:p w:rsidR="00000000" w:rsidRDefault="00BA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A505A">
      <w:r>
        <w:separator/>
      </w:r>
    </w:p>
  </w:footnote>
  <w:footnote w:type="continuationSeparator" w:id="0">
    <w:p w:rsidR="00000000" w:rsidRDefault="00BA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05" w:rsidRDefault="00FB2E0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FB2E05" w:rsidRDefault="00FB2E0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FB2E05" w:rsidRDefault="00FA66E4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FB2E05" w:rsidRDefault="00FB2E05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 xml:space="preserve">Port </w:t>
        </w:r>
        <w:r w:rsidR="00FA66E4">
          <w:rPr>
            <w:rFonts w:ascii="Garamond" w:hAnsi="Garamond" w:cs="Tahoma"/>
          </w:rPr>
          <w:t>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</w:t>
        </w:r>
        <w:r w:rsidR="00FA66E4">
          <w:rPr>
            <w:rFonts w:ascii="Garamond" w:hAnsi="Garamond" w:cs="Tahoma"/>
          </w:rPr>
          <w:t>3</w:t>
        </w:r>
      </w:smartTag>
    </w:smartTag>
  </w:p>
  <w:p w:rsidR="00FB2E05" w:rsidRDefault="00FB2E05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7614D"/>
    <w:rsid w:val="001A6668"/>
    <w:rsid w:val="002C28E4"/>
    <w:rsid w:val="00313BA7"/>
    <w:rsid w:val="00355D89"/>
    <w:rsid w:val="003A6624"/>
    <w:rsid w:val="003F1C01"/>
    <w:rsid w:val="00437C26"/>
    <w:rsid w:val="004A1103"/>
    <w:rsid w:val="005027B6"/>
    <w:rsid w:val="005062FB"/>
    <w:rsid w:val="0053182D"/>
    <w:rsid w:val="00544389"/>
    <w:rsid w:val="00577150"/>
    <w:rsid w:val="0058100C"/>
    <w:rsid w:val="005D2268"/>
    <w:rsid w:val="005F1C60"/>
    <w:rsid w:val="006348A9"/>
    <w:rsid w:val="006A1EAB"/>
    <w:rsid w:val="006C1FD7"/>
    <w:rsid w:val="006C2078"/>
    <w:rsid w:val="006F5ED1"/>
    <w:rsid w:val="0075527D"/>
    <w:rsid w:val="007A174C"/>
    <w:rsid w:val="007E5007"/>
    <w:rsid w:val="007E53C7"/>
    <w:rsid w:val="008F4FD5"/>
    <w:rsid w:val="009E3B00"/>
    <w:rsid w:val="00A013E0"/>
    <w:rsid w:val="00A03130"/>
    <w:rsid w:val="00A840F5"/>
    <w:rsid w:val="00B0109A"/>
    <w:rsid w:val="00B462AF"/>
    <w:rsid w:val="00BA505A"/>
    <w:rsid w:val="00BE7A40"/>
    <w:rsid w:val="00C14C9C"/>
    <w:rsid w:val="00C51FE7"/>
    <w:rsid w:val="00CC2DAF"/>
    <w:rsid w:val="00D4330E"/>
    <w:rsid w:val="00D624F2"/>
    <w:rsid w:val="00D83B24"/>
    <w:rsid w:val="00D93BE6"/>
    <w:rsid w:val="00E2727E"/>
    <w:rsid w:val="00E4261B"/>
    <w:rsid w:val="00E9482C"/>
    <w:rsid w:val="00EF5959"/>
    <w:rsid w:val="00F02784"/>
    <w:rsid w:val="00F95678"/>
    <w:rsid w:val="00FA66E4"/>
    <w:rsid w:val="00FA7D46"/>
    <w:rsid w:val="00FB2E05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CF11A9-0721-4F4D-A469-2214A7876E9F}"/>
</file>

<file path=customXml/itemProps2.xml><?xml version="1.0" encoding="utf-8"?>
<ds:datastoreItem xmlns:ds="http://schemas.openxmlformats.org/officeDocument/2006/customXml" ds:itemID="{9013C363-10E8-499D-857D-0D16432363EB}"/>
</file>

<file path=customXml/itemProps3.xml><?xml version="1.0" encoding="utf-8"?>
<ds:datastoreItem xmlns:ds="http://schemas.openxmlformats.org/officeDocument/2006/customXml" ds:itemID="{D6756F25-D014-417F-8B82-A6C34B69F4C2}"/>
</file>

<file path=customXml/itemProps4.xml><?xml version="1.0" encoding="utf-8"?>
<ds:datastoreItem xmlns:ds="http://schemas.openxmlformats.org/officeDocument/2006/customXml" ds:itemID="{591EDDE7-4B21-4A35-88A2-16B8CA5FE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2011-04-14T14:28:00Z</cp:lastPrinted>
  <dcterms:created xsi:type="dcterms:W3CDTF">2011-04-15T16:42:00Z</dcterms:created>
  <dcterms:modified xsi:type="dcterms:W3CDTF">2011-04-15T16:42:00Z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