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 xml:space="preserve">UTILITIES AND TRANSPORTATION </w:t>
      </w:r>
      <w:r w:rsidR="00B8265A">
        <w:rPr>
          <w:b/>
          <w:bCs/>
        </w:rPr>
        <w:t>COMMISSION</w:t>
      </w:r>
    </w:p>
    <w:p w:rsidR="000A1236" w:rsidRPr="00C923D6" w:rsidRDefault="000A1236">
      <w:pPr>
        <w:jc w:val="center"/>
      </w:pPr>
    </w:p>
    <w:tbl>
      <w:tblPr>
        <w:tblW w:w="0" w:type="auto"/>
        <w:tblLook w:val="0000"/>
      </w:tblPr>
      <w:tblGrid>
        <w:gridCol w:w="4188"/>
        <w:gridCol w:w="480"/>
        <w:gridCol w:w="4188"/>
      </w:tblGrid>
      <w:tr w:rsidR="000A1236" w:rsidRPr="00C923D6">
        <w:tc>
          <w:tcPr>
            <w:tcW w:w="4188" w:type="dxa"/>
          </w:tcPr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:rsidR="000A1236" w:rsidRPr="00C923D6" w:rsidRDefault="000A1236"/>
          <w:p w:rsidR="007308FD" w:rsidRDefault="00C50FC5" w:rsidP="00D75862">
            <w:r>
              <w:t>AVISTA CORPORATION</w:t>
            </w:r>
            <w:r w:rsidR="000A1236" w:rsidRPr="00C923D6">
              <w:t>,</w:t>
            </w:r>
            <w:r>
              <w:t xml:space="preserve"> d/b/a</w:t>
            </w:r>
          </w:p>
          <w:p w:rsidR="000A1236" w:rsidRPr="00C923D6" w:rsidRDefault="00C50FC5">
            <w:r>
              <w:t>AVISTA UTILITIES,</w:t>
            </w:r>
            <w:r>
              <w:br/>
            </w:r>
          </w:p>
          <w:p w:rsidR="000A1236" w:rsidRPr="00C923D6" w:rsidRDefault="000A1236" w:rsidP="00057BB3">
            <w:pPr>
              <w:jc w:val="center"/>
            </w:pPr>
            <w:r w:rsidRPr="00C923D6">
              <w:t>Petitioner,</w:t>
            </w:r>
          </w:p>
          <w:p w:rsidR="000A1236" w:rsidRPr="00C923D6" w:rsidRDefault="000A1236"/>
          <w:p w:rsidR="000A1236" w:rsidRPr="00C923D6" w:rsidRDefault="00AA3511">
            <w:r>
              <w:t>F</w:t>
            </w:r>
            <w:r w:rsidRPr="00C923D6">
              <w:t xml:space="preserve">or </w:t>
            </w:r>
            <w:r w:rsidRPr="00AA3511">
              <w:t>Approval Of Proposed Accounting Methods And Details Regarding The Deferral Of Lancaster Generating Facility Costs.</w:t>
            </w:r>
            <w:r w:rsidR="000A1236" w:rsidRPr="00C923D6">
              <w:t xml:space="preserve"> </w:t>
            </w:r>
          </w:p>
          <w:p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:rsidR="000A1236" w:rsidRPr="00C923D6" w:rsidRDefault="000A1236">
            <w:pPr>
              <w:jc w:val="center"/>
            </w:pPr>
            <w:r w:rsidRPr="00C923D6">
              <w:t>)</w:t>
            </w:r>
          </w:p>
          <w:p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:rsidR="00241C3C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="00C50FC5">
              <w:br/>
            </w:r>
            <w:r w:rsidR="00C50FC5" w:rsidRPr="00C923D6">
              <w:t>)</w:t>
            </w:r>
            <w:r w:rsidR="00C50FC5">
              <w:br/>
            </w:r>
            <w:r w:rsidR="00241C3C">
              <w:t>)</w:t>
            </w:r>
          </w:p>
          <w:p w:rsidR="000A1236" w:rsidRPr="00C923D6" w:rsidRDefault="00AA3511">
            <w:pPr>
              <w:jc w:val="center"/>
            </w:pPr>
            <w:r w:rsidRPr="00C923D6">
              <w:t>)</w:t>
            </w:r>
          </w:p>
        </w:tc>
        <w:tc>
          <w:tcPr>
            <w:tcW w:w="4188" w:type="dxa"/>
          </w:tcPr>
          <w:p w:rsidR="000A1236" w:rsidRPr="00C923D6" w:rsidRDefault="00491C72">
            <w:r>
              <w:t>DOCKET</w:t>
            </w:r>
            <w:r w:rsidR="00AC1794">
              <w:t xml:space="preserve"> </w:t>
            </w:r>
            <w:r w:rsidR="00C50FC5">
              <w:t>UE-100080</w:t>
            </w:r>
          </w:p>
          <w:p w:rsidR="000A1236" w:rsidRPr="00C923D6" w:rsidRDefault="000A1236"/>
          <w:p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C50FC5">
              <w:t>01</w:t>
            </w:r>
          </w:p>
          <w:p w:rsidR="000A1236" w:rsidRPr="00C923D6" w:rsidRDefault="000A1236">
            <w:pPr>
              <w:rPr>
                <w:b/>
                <w:bCs/>
              </w:rPr>
            </w:pPr>
          </w:p>
          <w:p w:rsidR="000A1236" w:rsidRPr="00C923D6" w:rsidRDefault="000A1236">
            <w:pPr>
              <w:rPr>
                <w:b/>
                <w:bCs/>
              </w:rPr>
            </w:pPr>
          </w:p>
          <w:p w:rsidR="000A1236" w:rsidRPr="00C923D6" w:rsidRDefault="000A1236">
            <w:pPr>
              <w:rPr>
                <w:b/>
                <w:bCs/>
              </w:rPr>
            </w:pPr>
          </w:p>
          <w:p w:rsidR="00241C3C" w:rsidRDefault="00241C3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41C3C" w:rsidRDefault="00241C3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41C3C" w:rsidRDefault="00241C3C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 w:rsidR="001E31D2">
              <w:t>GRANTING</w:t>
            </w:r>
            <w:r w:rsidRPr="00C923D6">
              <w:t xml:space="preserve"> ACCOUNTING PETITION  </w:t>
            </w:r>
          </w:p>
        </w:tc>
      </w:tr>
    </w:tbl>
    <w:p w:rsidR="000A1236" w:rsidRPr="00C923D6" w:rsidRDefault="000A1236">
      <w:pPr>
        <w:jc w:val="center"/>
      </w:pPr>
    </w:p>
    <w:p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:rsidR="000A1236" w:rsidRPr="00C923D6" w:rsidRDefault="000A1236">
      <w:pPr>
        <w:spacing w:line="288" w:lineRule="auto"/>
        <w:jc w:val="center"/>
      </w:pPr>
    </w:p>
    <w:p w:rsidR="007B1AC3" w:rsidRDefault="000A1236" w:rsidP="007B1AC3">
      <w:pPr>
        <w:numPr>
          <w:ilvl w:val="0"/>
          <w:numId w:val="1"/>
        </w:numPr>
        <w:spacing w:line="288" w:lineRule="auto"/>
      </w:pPr>
      <w:r w:rsidRPr="00C923D6">
        <w:t>On</w:t>
      </w:r>
      <w:r w:rsidR="00525321">
        <w:t xml:space="preserve"> </w:t>
      </w:r>
      <w:r w:rsidR="006C1312">
        <w:t>January 11, 2010</w:t>
      </w:r>
      <w:r w:rsidRPr="00C923D6">
        <w:t>,</w:t>
      </w:r>
      <w:r w:rsidRPr="007B1AC3">
        <w:rPr>
          <w:b/>
          <w:bCs/>
        </w:rPr>
        <w:t xml:space="preserve"> </w:t>
      </w:r>
      <w:r w:rsidR="00C50FC5">
        <w:t>Avista Corporation</w:t>
      </w:r>
      <w:r w:rsidRPr="00C923D6">
        <w:t>, (</w:t>
      </w:r>
      <w:r w:rsidR="00C50FC5">
        <w:t>Avista</w:t>
      </w:r>
      <w:r w:rsidR="00840ABC">
        <w:t xml:space="preserve"> or the Company</w:t>
      </w:r>
      <w:r w:rsidRPr="00C923D6">
        <w:t>)</w:t>
      </w:r>
      <w:r w:rsidRPr="007B1AC3">
        <w:rPr>
          <w:b/>
          <w:bCs/>
        </w:rPr>
        <w:t xml:space="preserve"> </w:t>
      </w:r>
      <w:r w:rsidR="003C2270">
        <w:t xml:space="preserve">filed </w:t>
      </w:r>
      <w:r w:rsidR="008246C9">
        <w:t xml:space="preserve">with the </w:t>
      </w:r>
      <w:r w:rsidR="008246C9" w:rsidRPr="00C923D6">
        <w:t xml:space="preserve">Washington Utilities and Transportation </w:t>
      </w:r>
      <w:r w:rsidR="00B8265A">
        <w:t>Commission</w:t>
      </w:r>
      <w:r w:rsidR="008246C9" w:rsidRPr="00C923D6">
        <w:t xml:space="preserve"> </w:t>
      </w:r>
      <w:r w:rsidR="008246C9">
        <w:t>(</w:t>
      </w:r>
      <w:r w:rsidR="00B8265A">
        <w:t>Commission</w:t>
      </w:r>
      <w:r w:rsidR="008246C9">
        <w:t>)</w:t>
      </w:r>
      <w:r w:rsidR="006C1312">
        <w:t xml:space="preserve"> </w:t>
      </w:r>
      <w:r w:rsidR="003C2270">
        <w:t xml:space="preserve">a petition seeking </w:t>
      </w:r>
      <w:r w:rsidRPr="00C923D6">
        <w:t xml:space="preserve">an Accounting Order under </w:t>
      </w:r>
      <w:r w:rsidRPr="00B8265A">
        <w:t>WAC 480-07-370</w:t>
      </w:r>
      <w:r w:rsidR="00F23EAE" w:rsidRPr="00B8265A">
        <w:t>(1)</w:t>
      </w:r>
      <w:r w:rsidRPr="00B8265A">
        <w:t>(b)</w:t>
      </w:r>
      <w:r w:rsidR="00292FE5">
        <w:t xml:space="preserve"> and</w:t>
      </w:r>
      <w:r w:rsidRPr="00C923D6">
        <w:t xml:space="preserve"> </w:t>
      </w:r>
      <w:r w:rsidR="00292FE5">
        <w:t>in compliance with Order 10 in Dockets UE-090134 and UG-090135</w:t>
      </w:r>
      <w:r w:rsidR="00FB65FD">
        <w:t>, dated December 23, 2009</w:t>
      </w:r>
      <w:r w:rsidR="00292FE5">
        <w:t>, as clarified in paragraph 6 of Order 11</w:t>
      </w:r>
      <w:r w:rsidR="00FB65FD">
        <w:t>, dated January 6, 2010</w:t>
      </w:r>
      <w:r w:rsidR="00D22EAB">
        <w:t>.</w:t>
      </w:r>
      <w:r w:rsidR="00292FE5">
        <w:t xml:space="preserve"> </w:t>
      </w:r>
      <w:r w:rsidR="002138D4">
        <w:t xml:space="preserve"> </w:t>
      </w:r>
      <w:r w:rsidR="00D22EAB">
        <w:t xml:space="preserve">The accounting petition requests Commission </w:t>
      </w:r>
      <w:r w:rsidR="005A4239">
        <w:t>approval of the proposed accounting methods and details regarding</w:t>
      </w:r>
      <w:r w:rsidR="00CE6511">
        <w:t xml:space="preserve"> the Lancaster Power Purchase Agreement (PPA)</w:t>
      </w:r>
      <w:r w:rsidR="00292FE5">
        <w:t>.</w:t>
      </w:r>
      <w:r w:rsidR="006C1312" w:rsidRPr="006C1312">
        <w:t xml:space="preserve"> </w:t>
      </w:r>
      <w:r w:rsidR="007B1AC3">
        <w:br/>
      </w:r>
    </w:p>
    <w:p w:rsidR="000A1236" w:rsidRDefault="007B1AC3" w:rsidP="007B1AC3">
      <w:pPr>
        <w:numPr>
          <w:ilvl w:val="0"/>
          <w:numId w:val="1"/>
        </w:numPr>
        <w:spacing w:line="288" w:lineRule="auto"/>
      </w:pPr>
      <w:r>
        <w:t xml:space="preserve">The Company proposes to account for the Lancaster deferred costs in Account 186 – Miscellaneous Deferred Debits. </w:t>
      </w:r>
      <w:r w:rsidR="002138D4">
        <w:t xml:space="preserve"> </w:t>
      </w:r>
      <w:r>
        <w:t>The account would use a separate subaccount specific to the Lancaster PPA.</w:t>
      </w:r>
      <w:r w:rsidR="000A1236" w:rsidRPr="00525321">
        <w:t xml:space="preserve"> </w:t>
      </w:r>
      <w:r w:rsidR="002138D4">
        <w:t xml:space="preserve"> </w:t>
      </w:r>
      <w:r>
        <w:rPr>
          <w:color w:val="000000"/>
        </w:rPr>
        <w:t xml:space="preserve">The Company will recognize </w:t>
      </w:r>
      <w:r>
        <w:t>monthly</w:t>
      </w:r>
      <w:r w:rsidR="00BB0F60">
        <w:t>,</w:t>
      </w:r>
      <w:r>
        <w:t xml:space="preserve"> the net cost of </w:t>
      </w:r>
      <w:r w:rsidR="009F1D9F">
        <w:t xml:space="preserve">Lancaster based on daily and long-term transactions, tracking both net costs and benefits of operating the plant. </w:t>
      </w:r>
      <w:r>
        <w:t xml:space="preserve"> </w:t>
      </w:r>
      <w:r w:rsidR="009F1D9F">
        <w:br/>
      </w:r>
    </w:p>
    <w:p w:rsidR="0032602E" w:rsidRDefault="0032602E" w:rsidP="007B1AC3">
      <w:pPr>
        <w:numPr>
          <w:ilvl w:val="0"/>
          <w:numId w:val="1"/>
        </w:numPr>
        <w:spacing w:line="288" w:lineRule="auto"/>
      </w:pPr>
      <w:r>
        <w:t>The Company also proposes, c</w:t>
      </w:r>
      <w:r w:rsidR="009F1D9F">
        <w:t xml:space="preserve">onsistent with </w:t>
      </w:r>
      <w:r w:rsidR="00F969A3">
        <w:t>paragraph 230</w:t>
      </w:r>
      <w:r w:rsidR="002138D4">
        <w:t xml:space="preserve"> in Order 10</w:t>
      </w:r>
      <w:r w:rsidR="00F969A3">
        <w:t xml:space="preserve">, </w:t>
      </w:r>
      <w:r w:rsidR="007179F5">
        <w:t>an</w:t>
      </w:r>
      <w:r w:rsidR="006F108F">
        <w:t xml:space="preserve"> </w:t>
      </w:r>
      <w:r w:rsidR="00F969A3">
        <w:t xml:space="preserve">accrual </w:t>
      </w:r>
      <w:r w:rsidR="007179F5">
        <w:t>of a</w:t>
      </w:r>
      <w:r w:rsidR="00F969A3">
        <w:t xml:space="preserve"> carrying charge on the </w:t>
      </w:r>
      <w:r w:rsidR="006F108F">
        <w:t xml:space="preserve">Lancaster </w:t>
      </w:r>
      <w:r w:rsidR="00F969A3">
        <w:t>deferred balance using the same method and at the same rate as applied to its Energy Recovery Mechanism (ERM) deferral balances.</w:t>
      </w:r>
      <w:r w:rsidR="002138D4">
        <w:t xml:space="preserve"> </w:t>
      </w:r>
      <w:r w:rsidR="00BB0F60">
        <w:t xml:space="preserve"> </w:t>
      </w:r>
      <w:r w:rsidR="006F108F">
        <w:t xml:space="preserve">Recognizing the effect of this accounting order, </w:t>
      </w:r>
      <w:r w:rsidR="001B2400">
        <w:t>Avista w</w:t>
      </w:r>
      <w:r w:rsidR="006F108F">
        <w:t>ould</w:t>
      </w:r>
      <w:r w:rsidR="001B2400">
        <w:t xml:space="preserve"> calculate its monthly ERM deferral by removing the actual deferred Lancaster net power supply costs. </w:t>
      </w:r>
      <w:r w:rsidR="002138D4">
        <w:t xml:space="preserve"> </w:t>
      </w:r>
      <w:r w:rsidR="00C368CE">
        <w:t>When determining its monthly ERM deferrals</w:t>
      </w:r>
      <w:r w:rsidR="006C1312">
        <w:t>, the</w:t>
      </w:r>
      <w:r w:rsidR="00C368CE">
        <w:t xml:space="preserve"> comparison would be limited to </w:t>
      </w:r>
      <w:r w:rsidR="001B2400">
        <w:t xml:space="preserve">the net authorized ERM </w:t>
      </w:r>
      <w:r w:rsidR="006C1312">
        <w:t>costs which exclude</w:t>
      </w:r>
      <w:r w:rsidR="001B2400">
        <w:t xml:space="preserve"> Lancaster.</w:t>
      </w:r>
      <w:r>
        <w:br/>
      </w:r>
    </w:p>
    <w:p w:rsidR="009F1D9F" w:rsidRPr="00525321" w:rsidRDefault="00B8265A" w:rsidP="007B1AC3">
      <w:pPr>
        <w:numPr>
          <w:ilvl w:val="0"/>
          <w:numId w:val="1"/>
        </w:numPr>
        <w:spacing w:line="288" w:lineRule="auto"/>
      </w:pPr>
      <w:r>
        <w:lastRenderedPageBreak/>
        <w:t>Staff</w:t>
      </w:r>
      <w:r w:rsidR="0032602E">
        <w:t xml:space="preserve"> has reviewed the accounting and deferral methodology </w:t>
      </w:r>
      <w:r w:rsidR="003B3421">
        <w:t xml:space="preserve">proposed by Avista </w:t>
      </w:r>
      <w:r w:rsidR="0032602E">
        <w:t xml:space="preserve">and </w:t>
      </w:r>
      <w:r w:rsidR="00F163DA">
        <w:t xml:space="preserve">recommends acceptance by the </w:t>
      </w:r>
      <w:r>
        <w:t>Commission</w:t>
      </w:r>
      <w:r w:rsidR="00F163DA">
        <w:t xml:space="preserve">.  </w:t>
      </w:r>
      <w:r>
        <w:t>Staff</w:t>
      </w:r>
      <w:r w:rsidR="00F163DA">
        <w:t xml:space="preserve"> also recommends that the </w:t>
      </w:r>
      <w:r w:rsidR="002138D4">
        <w:t>C</w:t>
      </w:r>
      <w:r w:rsidR="00F163DA">
        <w:t xml:space="preserve">ompany provide to the </w:t>
      </w:r>
      <w:r>
        <w:t>Commission</w:t>
      </w:r>
      <w:r w:rsidR="00F163DA">
        <w:t xml:space="preserve"> a monthly Lancaster deferral report that is integrated with the current ERM report.   </w:t>
      </w:r>
      <w:r w:rsidR="003B3421">
        <w:t xml:space="preserve">  </w:t>
      </w:r>
      <w:r w:rsidR="00F969A3">
        <w:t xml:space="preserve">  </w:t>
      </w:r>
    </w:p>
    <w:p w:rsidR="000A1236" w:rsidRPr="00C923D6" w:rsidRDefault="000A1236">
      <w:pPr>
        <w:pStyle w:val="Heading1"/>
        <w:spacing w:line="288" w:lineRule="auto"/>
      </w:pPr>
    </w:p>
    <w:p w:rsidR="000A1236" w:rsidRPr="00C923D6" w:rsidRDefault="000A1236">
      <w:pPr>
        <w:pStyle w:val="Heading1"/>
        <w:spacing w:line="288" w:lineRule="auto"/>
      </w:pPr>
      <w:r w:rsidRPr="00C923D6">
        <w:t>FINDINGS AND CONCLUSIONS</w:t>
      </w:r>
    </w:p>
    <w:p w:rsidR="000A1236" w:rsidRPr="00C923D6" w:rsidRDefault="000A1236">
      <w:pPr>
        <w:spacing w:line="288" w:lineRule="auto"/>
        <w:ind w:left="-1080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923D6">
        <w:t>(1)</w:t>
      </w:r>
      <w:r w:rsidRPr="00C923D6">
        <w:tab/>
        <w:t xml:space="preserve">The Washington Utilities and Transportation </w:t>
      </w:r>
      <w:r w:rsidR="00B8265A">
        <w:t>Commission</w:t>
      </w:r>
      <w:r w:rsidRPr="00C923D6">
        <w:t xml:space="preserve"> is an agency of the </w:t>
      </w:r>
      <w:r w:rsidR="007308FD">
        <w:t>S</w:t>
      </w:r>
      <w:r w:rsidRPr="00C923D6">
        <w:t xml:space="preserve">tate of Washington vested by statute with the authority to regulate </w:t>
      </w:r>
      <w:r w:rsidR="00C40733">
        <w:t xml:space="preserve">the </w:t>
      </w:r>
      <w:r w:rsidRPr="00C923D6">
        <w:t xml:space="preserve">rates, rules, regulations, practices, accounts, </w:t>
      </w:r>
      <w:proofErr w:type="gramStart"/>
      <w:r w:rsidRPr="00C923D6">
        <w:t>securities</w:t>
      </w:r>
      <w:proofErr w:type="gramEnd"/>
      <w:r w:rsidRPr="00C923D6">
        <w:t xml:space="preserve">, transfers of </w:t>
      </w:r>
      <w:r w:rsidR="00C979BD">
        <w:t>property</w:t>
      </w:r>
      <w:r w:rsidR="008246C9">
        <w:t xml:space="preserve"> and affiliated interest</w:t>
      </w:r>
      <w:r w:rsidR="00560A2A">
        <w:t>s</w:t>
      </w:r>
      <w:r w:rsidR="008246C9">
        <w:t xml:space="preserve"> of </w:t>
      </w:r>
      <w:r w:rsidRPr="00C923D6">
        <w:t xml:space="preserve">public service companies, including </w:t>
      </w:r>
      <w:r w:rsidR="00C50FC5">
        <w:t>electric</w:t>
      </w:r>
      <w:r w:rsidRPr="00C923D6">
        <w:rPr>
          <w:b/>
          <w:bCs/>
        </w:rPr>
        <w:t xml:space="preserve"> </w:t>
      </w:r>
      <w:r w:rsidRPr="00C923D6">
        <w:t xml:space="preserve">companies.  </w:t>
      </w:r>
      <w:r w:rsidRPr="00B8265A">
        <w:rPr>
          <w:i/>
          <w:iCs/>
        </w:rPr>
        <w:t>RCW 80.</w:t>
      </w:r>
      <w:r w:rsidRPr="00B8265A">
        <w:t>01</w:t>
      </w:r>
      <w:r w:rsidRPr="00B8265A">
        <w:rPr>
          <w:i/>
          <w:iCs/>
        </w:rPr>
        <w:t>.040</w:t>
      </w:r>
      <w:r w:rsidR="000B2415">
        <w:rPr>
          <w:i/>
          <w:iCs/>
        </w:rPr>
        <w:t>,</w:t>
      </w:r>
      <w:r w:rsidRPr="00C923D6">
        <w:rPr>
          <w:i/>
          <w:iCs/>
        </w:rPr>
        <w:t xml:space="preserve"> </w:t>
      </w:r>
      <w:r w:rsidR="005579E7" w:rsidRPr="00B8265A">
        <w:rPr>
          <w:i/>
          <w:iCs/>
        </w:rPr>
        <w:t xml:space="preserve">RCW </w:t>
      </w:r>
      <w:r w:rsidRPr="00B8265A">
        <w:rPr>
          <w:i/>
          <w:iCs/>
        </w:rPr>
        <w:t>80.04</w:t>
      </w:r>
      <w:r w:rsidR="000B2415">
        <w:rPr>
          <w:i/>
          <w:iCs/>
        </w:rPr>
        <w:t>,</w:t>
      </w:r>
      <w:r w:rsidR="005579E7">
        <w:rPr>
          <w:i/>
          <w:iCs/>
        </w:rPr>
        <w:t xml:space="preserve"> </w:t>
      </w:r>
      <w:r w:rsidR="005579E7" w:rsidRPr="00B8265A">
        <w:rPr>
          <w:i/>
          <w:iCs/>
        </w:rPr>
        <w:t>RCW</w:t>
      </w:r>
      <w:r w:rsidR="000B2415" w:rsidRPr="00B8265A">
        <w:rPr>
          <w:i/>
          <w:iCs/>
        </w:rPr>
        <w:t xml:space="preserve"> 80.08</w:t>
      </w:r>
      <w:r w:rsidR="00156783">
        <w:rPr>
          <w:i/>
          <w:iCs/>
        </w:rPr>
        <w:t>,</w:t>
      </w:r>
      <w:r w:rsidR="005579E7">
        <w:rPr>
          <w:i/>
          <w:iCs/>
        </w:rPr>
        <w:t xml:space="preserve"> </w:t>
      </w:r>
      <w:r w:rsidR="005579E7" w:rsidRPr="00B8265A">
        <w:rPr>
          <w:i/>
          <w:iCs/>
        </w:rPr>
        <w:t xml:space="preserve">RCW </w:t>
      </w:r>
      <w:r w:rsidR="000B2415" w:rsidRPr="00B8265A">
        <w:rPr>
          <w:i/>
          <w:iCs/>
        </w:rPr>
        <w:t>80.12</w:t>
      </w:r>
      <w:r w:rsidR="00156783">
        <w:rPr>
          <w:i/>
          <w:iCs/>
        </w:rPr>
        <w:t xml:space="preserve">, </w:t>
      </w:r>
      <w:r w:rsidR="008246C9" w:rsidRPr="00B8265A">
        <w:rPr>
          <w:i/>
          <w:iCs/>
        </w:rPr>
        <w:t>RCW 80.16</w:t>
      </w:r>
      <w:r w:rsidR="008246C9">
        <w:rPr>
          <w:i/>
          <w:iCs/>
        </w:rPr>
        <w:t xml:space="preserve"> </w:t>
      </w:r>
      <w:r w:rsidR="00156783">
        <w:rPr>
          <w:i/>
          <w:iCs/>
        </w:rPr>
        <w:t>and</w:t>
      </w:r>
      <w:r w:rsidR="00C979BD">
        <w:rPr>
          <w:i/>
          <w:iCs/>
        </w:rPr>
        <w:t xml:space="preserve"> </w:t>
      </w:r>
      <w:r w:rsidR="00156783" w:rsidRPr="00B8265A">
        <w:rPr>
          <w:i/>
          <w:iCs/>
        </w:rPr>
        <w:t>RCW 80.28</w:t>
      </w:r>
      <w:r w:rsidR="005579E7">
        <w:rPr>
          <w:i/>
          <w:iCs/>
        </w:rPr>
        <w:t>.</w:t>
      </w:r>
      <w:r w:rsidR="00AC1794">
        <w:rPr>
          <w:i/>
          <w:iCs/>
        </w:rPr>
        <w:t xml:space="preserve">  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</w:r>
      <w:r w:rsidR="00C50FC5">
        <w:t>Avista</w:t>
      </w:r>
      <w:r w:rsidR="00845BCE">
        <w:t xml:space="preserve"> </w:t>
      </w:r>
      <w:r w:rsidRPr="00C923D6">
        <w:t xml:space="preserve">is </w:t>
      </w:r>
      <w:r w:rsidR="00C50FC5">
        <w:rPr>
          <w:noProof/>
        </w:rPr>
        <w:t>an electric</w:t>
      </w:r>
      <w:r w:rsidRPr="00C923D6">
        <w:t xml:space="preserve"> company and a public service company subject to </w:t>
      </w:r>
      <w:r w:rsidR="00B8265A">
        <w:t>Commission</w:t>
      </w:r>
      <w:r w:rsidR="004E41FF">
        <w:t xml:space="preserve"> </w:t>
      </w:r>
      <w:r w:rsidRPr="00C923D6">
        <w:t>jurisdiction.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(3)</w:t>
      </w:r>
      <w:r w:rsidRPr="00C923D6">
        <w:tab/>
      </w:r>
      <w:r w:rsidRPr="00B8265A">
        <w:t>WAC 480-07-370</w:t>
      </w:r>
      <w:r w:rsidR="00F23EAE" w:rsidRPr="00B8265A">
        <w:t>(1</w:t>
      </w:r>
      <w:proofErr w:type="gramStart"/>
      <w:r w:rsidR="00F23EAE" w:rsidRPr="00B8265A">
        <w:t>)</w:t>
      </w:r>
      <w:r w:rsidRPr="00B8265A">
        <w:t>(</w:t>
      </w:r>
      <w:proofErr w:type="gramEnd"/>
      <w:r w:rsidRPr="00B8265A">
        <w:t>b)</w:t>
      </w:r>
      <w:r w:rsidRPr="00C923D6">
        <w:t>, allows companies to file petition</w:t>
      </w:r>
      <w:r w:rsidR="004E41FF">
        <w:t>s</w:t>
      </w:r>
      <w:r w:rsidRPr="00C923D6">
        <w:t xml:space="preserve"> including that for which </w:t>
      </w:r>
      <w:r w:rsidR="00C50FC5">
        <w:t>Avista</w:t>
      </w:r>
      <w:r w:rsidRPr="00C923D6">
        <w:rPr>
          <w:b/>
          <w:bCs/>
        </w:rPr>
        <w:t xml:space="preserve"> </w:t>
      </w:r>
      <w:r w:rsidRPr="00C923D6">
        <w:t>seeks approval.</w:t>
      </w:r>
    </w:p>
    <w:p w:rsidR="000A1236" w:rsidRPr="00C923D6" w:rsidRDefault="000A1236">
      <w:pPr>
        <w:spacing w:line="288" w:lineRule="auto"/>
      </w:pPr>
    </w:p>
    <w:p w:rsidR="00D30CD1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</w:r>
      <w:r w:rsidR="00B8265A">
        <w:t>Staff</w:t>
      </w:r>
      <w:r w:rsidRPr="00C923D6">
        <w:t xml:space="preserve"> has reviewed the petition in Docket </w:t>
      </w:r>
      <w:r w:rsidR="00C50FC5">
        <w:t>UE-100080</w:t>
      </w:r>
      <w:r w:rsidRPr="00C923D6">
        <w:t xml:space="preserve"> including related work</w:t>
      </w:r>
      <w:r w:rsidR="00DA0056">
        <w:t xml:space="preserve"> </w:t>
      </w:r>
      <w:r w:rsidRPr="00C923D6">
        <w:t xml:space="preserve">papers.  </w:t>
      </w:r>
    </w:p>
    <w:p w:rsidR="00D30CD1" w:rsidRDefault="00D30CD1" w:rsidP="00D30CD1">
      <w:pPr>
        <w:spacing w:line="288" w:lineRule="auto"/>
      </w:pPr>
    </w:p>
    <w:p w:rsidR="000A1236" w:rsidRPr="003C2211" w:rsidRDefault="00D30CD1">
      <w:pPr>
        <w:numPr>
          <w:ilvl w:val="0"/>
          <w:numId w:val="1"/>
        </w:numPr>
        <w:spacing w:line="288" w:lineRule="auto"/>
        <w:ind w:left="720" w:hanging="1440"/>
      </w:pPr>
      <w:r>
        <w:t>(5)</w:t>
      </w:r>
      <w:r>
        <w:tab/>
      </w:r>
      <w:r w:rsidR="00B8265A">
        <w:t>Staff</w:t>
      </w:r>
      <w:r w:rsidR="000A1236" w:rsidRPr="00C923D6">
        <w:t xml:space="preserve"> believes the proposed accounting</w:t>
      </w:r>
      <w:r w:rsidR="000C0449">
        <w:t xml:space="preserve"> order</w:t>
      </w:r>
      <w:r w:rsidR="000A1236" w:rsidRPr="00C923D6">
        <w:t xml:space="preserve"> </w:t>
      </w:r>
      <w:r w:rsidR="00C50FC5">
        <w:t>Avista</w:t>
      </w:r>
      <w:r w:rsidR="00045705">
        <w:t xml:space="preserve"> </w:t>
      </w:r>
      <w:r w:rsidR="000A1236" w:rsidRPr="00C923D6">
        <w:t>request</w:t>
      </w:r>
      <w:r w:rsidR="00045705">
        <w:t>s</w:t>
      </w:r>
      <w:r w:rsidR="000A1236" w:rsidRPr="00C923D6">
        <w:t xml:space="preserve"> is reasonable and should be </w:t>
      </w:r>
      <w:r w:rsidR="001E31D2">
        <w:t>granted</w:t>
      </w:r>
      <w:r w:rsidR="006C1312">
        <w:t>.</w:t>
      </w:r>
      <w:r w:rsidR="000A1236" w:rsidRPr="00C923D6">
        <w:t xml:space="preserve"> </w:t>
      </w:r>
    </w:p>
    <w:p w:rsidR="000A1236" w:rsidRPr="003C2211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D30CD1">
        <w:t>6</w:t>
      </w:r>
      <w:r w:rsidRPr="00C923D6">
        <w:t>)</w:t>
      </w:r>
      <w:r w:rsidRPr="00C923D6">
        <w:tab/>
        <w:t xml:space="preserve">This matter </w:t>
      </w:r>
      <w:r w:rsidR="00045705">
        <w:t>came</w:t>
      </w:r>
      <w:r w:rsidRPr="00C923D6">
        <w:t xml:space="preserve"> before the </w:t>
      </w:r>
      <w:r w:rsidR="00B8265A">
        <w:t>Commission</w:t>
      </w:r>
      <w:r w:rsidRPr="00C923D6">
        <w:t xml:space="preserve"> at its regularly scheduled meeting on</w:t>
      </w:r>
      <w:r w:rsidR="00AC1794">
        <w:t xml:space="preserve"> </w:t>
      </w:r>
      <w:r w:rsidR="00C50FC5">
        <w:t>February 11, 2010</w:t>
      </w:r>
      <w:r w:rsidR="003C2211">
        <w:t>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D30CD1">
        <w:t>7</w:t>
      </w:r>
      <w:r w:rsidRPr="00C923D6">
        <w:t>)</w:t>
      </w:r>
      <w:r w:rsidRPr="00C923D6">
        <w:tab/>
        <w:t xml:space="preserve">After </w:t>
      </w:r>
      <w:r w:rsidR="00103788">
        <w:t>reviewing</w:t>
      </w:r>
      <w:r w:rsidR="003C2211">
        <w:t xml:space="preserve"> </w:t>
      </w:r>
      <w:r w:rsidR="00C50FC5">
        <w:t>Avista</w:t>
      </w:r>
      <w:r w:rsidR="00B8265A">
        <w:t>’</w:t>
      </w:r>
      <w:r w:rsidR="00045705">
        <w:t>s</w:t>
      </w:r>
      <w:r w:rsidR="00045705" w:rsidRPr="00C923D6">
        <w:rPr>
          <w:b/>
          <w:bCs/>
        </w:rPr>
        <w:t xml:space="preserve"> </w:t>
      </w:r>
      <w:r w:rsidRPr="00C923D6">
        <w:t xml:space="preserve">petition filed in Docket </w:t>
      </w:r>
      <w:r w:rsidR="00C50FC5">
        <w:t>UE-100080</w:t>
      </w:r>
      <w:r w:rsidRPr="00C923D6">
        <w:t xml:space="preserve"> on </w:t>
      </w:r>
      <w:r w:rsidR="006C1312">
        <w:t>January 11, 2010</w:t>
      </w:r>
      <w:r w:rsidR="00586B63">
        <w:t>,</w:t>
      </w:r>
      <w:r w:rsidRPr="00C923D6">
        <w:t xml:space="preserve"> and giving due consideration to all relevant matters and for good cause shown, the </w:t>
      </w:r>
      <w:r w:rsidR="00B8265A">
        <w:t>Commission</w:t>
      </w:r>
      <w:r w:rsidRPr="00C923D6">
        <w:t xml:space="preserve"> finds that the </w:t>
      </w:r>
      <w:r w:rsidR="00B8265A">
        <w:t xml:space="preserve">Company with this </w:t>
      </w:r>
      <w:r w:rsidRPr="00C923D6">
        <w:t>Petition</w:t>
      </w:r>
      <w:r w:rsidR="00B8265A">
        <w:t xml:space="preserve"> is in compliance with paragraph 230 of Order 10</w:t>
      </w:r>
      <w:r w:rsidR="002138D4">
        <w:t xml:space="preserve"> and paragraph 6 of Order 11</w:t>
      </w:r>
      <w:r w:rsidR="00B8265A">
        <w:t xml:space="preserve"> in </w:t>
      </w:r>
      <w:r w:rsidR="002138D4">
        <w:t>D</w:t>
      </w:r>
      <w:r w:rsidR="00B8265A">
        <w:t>ockets UE-090134 and UG-090135</w:t>
      </w:r>
      <w:r w:rsidR="002138D4">
        <w:t>,</w:t>
      </w:r>
      <w:r w:rsidRPr="00C923D6">
        <w:t xml:space="preserve"> </w:t>
      </w:r>
      <w:r w:rsidR="00B8265A">
        <w:t>and</w:t>
      </w:r>
      <w:r w:rsidRPr="00C923D6">
        <w:t xml:space="preserve"> should be </w:t>
      </w:r>
      <w:r w:rsidR="001E31D2">
        <w:t>granted</w:t>
      </w:r>
      <w:r w:rsidRPr="00C923D6">
        <w:t>.</w:t>
      </w:r>
      <w:r w:rsidR="004E41FF">
        <w:t xml:space="preserve"> </w:t>
      </w:r>
    </w:p>
    <w:p w:rsidR="000A1236" w:rsidRDefault="000A1236">
      <w:pPr>
        <w:pStyle w:val="Heading1"/>
        <w:spacing w:line="288" w:lineRule="auto"/>
      </w:pPr>
    </w:p>
    <w:p w:rsidR="00241C3C" w:rsidRDefault="00241C3C" w:rsidP="00241C3C"/>
    <w:p w:rsidR="000A1236" w:rsidRPr="00C923D6" w:rsidRDefault="000A1236">
      <w:pPr>
        <w:pStyle w:val="Heading1"/>
        <w:spacing w:line="288" w:lineRule="auto"/>
      </w:pPr>
      <w:r w:rsidRPr="00C923D6">
        <w:lastRenderedPageBreak/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:rsidR="000A1236" w:rsidRPr="00C923D6" w:rsidRDefault="000A1236"/>
    <w:p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 xml:space="preserve">THE </w:t>
      </w:r>
      <w:r w:rsidR="00B8265A">
        <w:rPr>
          <w:b/>
        </w:rPr>
        <w:t>COMMISSION</w:t>
      </w:r>
      <w:r w:rsidRPr="004E41FF">
        <w:rPr>
          <w:b/>
        </w:rPr>
        <w:t xml:space="preserve"> ORDERS:</w:t>
      </w:r>
    </w:p>
    <w:p w:rsidR="000A1236" w:rsidRPr="00C923D6" w:rsidRDefault="000A1236">
      <w:pPr>
        <w:spacing w:line="288" w:lineRule="auto"/>
      </w:pPr>
    </w:p>
    <w:p w:rsidR="000A123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(1)</w:t>
      </w:r>
      <w:r w:rsidRPr="00C923D6">
        <w:tab/>
      </w:r>
      <w:r w:rsidR="00C50FC5">
        <w:t>Avista Corporation</w:t>
      </w:r>
      <w:r w:rsidR="00B8265A">
        <w:t>’</w:t>
      </w:r>
      <w:r w:rsidRPr="00C923D6">
        <w:t xml:space="preserve">s </w:t>
      </w:r>
      <w:r w:rsidRPr="00003D99">
        <w:t xml:space="preserve">request </w:t>
      </w:r>
      <w:r w:rsidR="00003D99">
        <w:t xml:space="preserve">for the approval of its </w:t>
      </w:r>
      <w:r w:rsidR="00F119C5">
        <w:t xml:space="preserve">accounting methods and details </w:t>
      </w:r>
      <w:r w:rsidR="002138D4">
        <w:t xml:space="preserve">in Docket UE-100080 </w:t>
      </w:r>
      <w:r w:rsidR="00F119C5">
        <w:t>is granted</w:t>
      </w:r>
      <w:r w:rsidRPr="00C923D6">
        <w:t>.</w:t>
      </w:r>
      <w:r w:rsidR="00B4451D">
        <w:br/>
      </w:r>
    </w:p>
    <w:p w:rsidR="00B4451D" w:rsidRPr="00C923D6" w:rsidRDefault="00B4451D">
      <w:pPr>
        <w:numPr>
          <w:ilvl w:val="0"/>
          <w:numId w:val="1"/>
        </w:numPr>
        <w:spacing w:line="288" w:lineRule="auto"/>
        <w:ind w:left="720" w:hanging="1440"/>
      </w:pPr>
      <w:r>
        <w:t>(2)</w:t>
      </w:r>
      <w:r>
        <w:tab/>
        <w:t xml:space="preserve">Avista Corporation must file with the Commission the monthly Lancaster deferral amount </w:t>
      </w:r>
      <w:r w:rsidR="00896ADF">
        <w:t xml:space="preserve">showing </w:t>
      </w:r>
      <w:r>
        <w:t>its derivation and accumulated balance.</w:t>
      </w:r>
      <w:r w:rsidR="002138D4">
        <w:t xml:space="preserve"> </w:t>
      </w:r>
      <w:r w:rsidR="00896ADF">
        <w:t xml:space="preserve"> The Lancaster deferral report will be combined with and become part of the Company’s current Energy Recovery Mechanism report.</w:t>
      </w:r>
      <w:r>
        <w:t xml:space="preserve"> 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</w:r>
      <w:r w:rsidR="00AE2899">
        <w:t xml:space="preserve">The deferral will end on </w:t>
      </w:r>
      <w:r w:rsidR="005D73CC">
        <w:t xml:space="preserve">the earlier of </w:t>
      </w:r>
      <w:r w:rsidR="00AE2899">
        <w:t>December 31, 2011</w:t>
      </w:r>
      <w:r w:rsidR="00241C3C">
        <w:t>,</w:t>
      </w:r>
      <w:r w:rsidR="00AE2899">
        <w:t xml:space="preserve"> or on the effective date of the final decision by the Commission in any general rate case filed</w:t>
      </w:r>
      <w:r w:rsidR="005D73CC">
        <w:t xml:space="preserve"> prior to December 31, 2011. </w:t>
      </w:r>
    </w:p>
    <w:p w:rsidR="000A1236" w:rsidRPr="00C923D6" w:rsidRDefault="000A1236">
      <w:pPr>
        <w:spacing w:line="288" w:lineRule="auto"/>
      </w:pPr>
    </w:p>
    <w:p w:rsidR="000A1236" w:rsidRDefault="003C2270">
      <w:pPr>
        <w:numPr>
          <w:ilvl w:val="0"/>
          <w:numId w:val="1"/>
        </w:numPr>
        <w:spacing w:line="288" w:lineRule="auto"/>
        <w:ind w:left="720" w:hanging="1440"/>
      </w:pPr>
      <w:r>
        <w:t>(3)</w:t>
      </w:r>
      <w:r>
        <w:tab/>
        <w:t>This Order shall not</w:t>
      </w:r>
      <w:r w:rsidR="000A1236" w:rsidRPr="00C923D6">
        <w:t xml:space="preserve"> affect the </w:t>
      </w:r>
      <w:r w:rsidR="00B8265A">
        <w:t>Commission’</w:t>
      </w:r>
      <w:r>
        <w:t xml:space="preserve">s </w:t>
      </w:r>
      <w:r w:rsidR="000A1236" w:rsidRPr="00C923D6">
        <w:t>authority over rates, services, accounts, valuations, estima</w:t>
      </w:r>
      <w:r>
        <w:t>tes, or determination of costs</w:t>
      </w:r>
      <w:r w:rsidR="00537A6E">
        <w:t xml:space="preserve">, </w:t>
      </w:r>
      <w:r w:rsidR="00210528">
        <w:t xml:space="preserve">on </w:t>
      </w:r>
      <w:r>
        <w:t xml:space="preserve">any matters </w:t>
      </w:r>
      <w:r w:rsidR="000A1236" w:rsidRPr="00C923D6">
        <w:t>that may come before it</w:t>
      </w:r>
      <w:r w:rsidR="00537A6E">
        <w:t xml:space="preserve">.  </w:t>
      </w:r>
      <w:r w:rsidR="00210528">
        <w:t xml:space="preserve">Nor shall this Order granting </w:t>
      </w:r>
      <w:r w:rsidR="002138D4">
        <w:t>the p</w:t>
      </w:r>
      <w:r w:rsidR="00210528">
        <w:t>etition</w:t>
      </w:r>
      <w:r w:rsidR="00537A6E">
        <w:t xml:space="preserve"> </w:t>
      </w:r>
      <w:r w:rsidR="000A1236" w:rsidRPr="00C923D6">
        <w:t xml:space="preserve">be construed </w:t>
      </w:r>
      <w:r w:rsidR="00210528">
        <w:t xml:space="preserve">as </w:t>
      </w:r>
      <w:r w:rsidR="00537A6E">
        <w:t>an agreement</w:t>
      </w:r>
      <w:r w:rsidR="00AD405A">
        <w:t xml:space="preserve"> to</w:t>
      </w:r>
      <w:r w:rsidR="000A1236" w:rsidRPr="00C923D6">
        <w:t xml:space="preserve"> any estimate or determination of costs</w:t>
      </w:r>
      <w:r w:rsidR="00537A6E">
        <w:t>, or any valuation of property</w:t>
      </w:r>
      <w:r w:rsidR="000A1236" w:rsidRPr="00C923D6">
        <w:t xml:space="preserve"> claimed or asserted.</w:t>
      </w:r>
    </w:p>
    <w:p w:rsidR="00491C72" w:rsidRDefault="00491C72" w:rsidP="00491C72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 xml:space="preserve">The </w:t>
      </w:r>
      <w:r w:rsidR="00B8265A">
        <w:t>Commission</w:t>
      </w:r>
      <w:r w:rsidRPr="00C923D6">
        <w:t xml:space="preserve"> retains jurisdiction over the subject matter and </w:t>
      </w:r>
      <w:r w:rsidR="00C50FC5">
        <w:t>Avista Corporation</w:t>
      </w:r>
      <w:r w:rsidRPr="00C923D6">
        <w:rPr>
          <w:b/>
          <w:bCs/>
        </w:rPr>
        <w:t xml:space="preserve"> </w:t>
      </w:r>
      <w:r w:rsidRPr="00C923D6">
        <w:t>to effectuate the provisions of this Order.</w:t>
      </w:r>
    </w:p>
    <w:p w:rsidR="00CF2D3C" w:rsidRPr="00433FB3" w:rsidRDefault="00FB5B64" w:rsidP="00FE617B">
      <w:pPr>
        <w:spacing w:line="288" w:lineRule="auto"/>
      </w:pPr>
      <w:r>
        <w:br w:type="page"/>
      </w:r>
      <w:r w:rsidR="00CF2D3C" w:rsidRPr="00433FB3">
        <w:lastRenderedPageBreak/>
        <w:t>The Commissioners, having determined this Order to be consistent with the</w:t>
      </w:r>
      <w:r w:rsidR="00CF2D3C">
        <w:t xml:space="preserve"> public interest, directed the </w:t>
      </w:r>
      <w:r w:rsidR="00CF2D3C" w:rsidRPr="00433FB3">
        <w:t>Secretary to enter this Order.</w:t>
      </w:r>
    </w:p>
    <w:p w:rsidR="00CF2D3C" w:rsidRDefault="00CF2D3C">
      <w:pPr>
        <w:spacing w:line="288" w:lineRule="auto"/>
      </w:pPr>
    </w:p>
    <w:p w:rsidR="000A1236" w:rsidRPr="00AC1794" w:rsidRDefault="000A1236">
      <w:pPr>
        <w:spacing w:line="288" w:lineRule="auto"/>
      </w:pPr>
      <w:proofErr w:type="gramStart"/>
      <w:r w:rsidRPr="00C923D6">
        <w:t xml:space="preserve">DATED at Olympia, Washington, and effective </w:t>
      </w:r>
      <w:r w:rsidR="00C50FC5" w:rsidRPr="00C50FC5">
        <w:rPr>
          <w:bCs/>
        </w:rPr>
        <w:t>February 11, 2010</w:t>
      </w:r>
      <w:r w:rsidRPr="00AC1794">
        <w:t>.</w:t>
      </w:r>
      <w:proofErr w:type="gramEnd"/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spacing w:line="288" w:lineRule="auto"/>
        <w:jc w:val="center"/>
      </w:pPr>
      <w:r w:rsidRPr="00C923D6">
        <w:t xml:space="preserve">WASHINGTON UTILITIES AND TRANSPORTATION </w:t>
      </w:r>
      <w:r w:rsidR="00B8265A">
        <w:t>COMMISSION</w:t>
      </w:r>
    </w:p>
    <w:p w:rsidR="00CF2D3C" w:rsidRDefault="00CF2D3C">
      <w:pPr>
        <w:spacing w:line="288" w:lineRule="auto"/>
      </w:pPr>
    </w:p>
    <w:p w:rsidR="00CF2D3C" w:rsidRDefault="00CF2D3C">
      <w:pPr>
        <w:spacing w:line="288" w:lineRule="auto"/>
      </w:pPr>
    </w:p>
    <w:p w:rsidR="00BD68BA" w:rsidRDefault="00BD68BA">
      <w:pPr>
        <w:spacing w:line="288" w:lineRule="auto"/>
      </w:pPr>
    </w:p>
    <w:p w:rsidR="007D62FB" w:rsidRDefault="00CF2D3C">
      <w:pPr>
        <w:spacing w:line="288" w:lineRule="auto"/>
      </w:pPr>
      <w:r>
        <w:tab/>
      </w:r>
      <w:r>
        <w:tab/>
      </w:r>
      <w:r>
        <w:tab/>
        <w:t>DAVID W. DANNER, Executive Director and Secretary</w:t>
      </w:r>
    </w:p>
    <w:p w:rsidR="007D62FB" w:rsidRPr="009B617B" w:rsidRDefault="00585CDC" w:rsidP="00585CDC">
      <w:pPr>
        <w:spacing w:line="288" w:lineRule="auto"/>
        <w:jc w:val="center"/>
      </w:pPr>
      <w:r w:rsidRPr="009B617B">
        <w:t xml:space="preserve"> </w:t>
      </w:r>
    </w:p>
    <w:p w:rsidR="007D62FB" w:rsidRPr="00C923D6" w:rsidRDefault="007D62FB">
      <w:pPr>
        <w:spacing w:line="288" w:lineRule="auto"/>
      </w:pPr>
    </w:p>
    <w:sectPr w:rsidR="007D62FB" w:rsidRPr="00C923D6" w:rsidSect="00940E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BB" w:rsidRDefault="001019BB">
      <w:r>
        <w:separator/>
      </w:r>
    </w:p>
  </w:endnote>
  <w:endnote w:type="continuationSeparator" w:id="0">
    <w:p w:rsidR="001019BB" w:rsidRDefault="0010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99" w:rsidRDefault="00AE28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99" w:rsidRDefault="00AE28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99" w:rsidRDefault="00AE28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BB" w:rsidRDefault="001019BB">
      <w:r>
        <w:separator/>
      </w:r>
    </w:p>
  </w:footnote>
  <w:footnote w:type="continuationSeparator" w:id="0">
    <w:p w:rsidR="001019BB" w:rsidRDefault="0010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99" w:rsidRDefault="00AE28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99" w:rsidRPr="00A748CC" w:rsidRDefault="00AE2899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C50FC5">
      <w:rPr>
        <w:b/>
        <w:sz w:val="20"/>
      </w:rPr>
      <w:t>UE-100080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C1212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0C1212" w:rsidRPr="00A748CC">
      <w:rPr>
        <w:rStyle w:val="PageNumber"/>
        <w:b/>
        <w:sz w:val="20"/>
      </w:rPr>
      <w:fldChar w:fldCharType="separate"/>
    </w:r>
    <w:r w:rsidR="00BD68BA">
      <w:rPr>
        <w:rStyle w:val="PageNumber"/>
        <w:b/>
        <w:noProof/>
        <w:sz w:val="20"/>
      </w:rPr>
      <w:t>2</w:t>
    </w:r>
    <w:r w:rsidR="000C1212" w:rsidRPr="00A748CC">
      <w:rPr>
        <w:rStyle w:val="PageNumber"/>
        <w:b/>
        <w:sz w:val="20"/>
      </w:rPr>
      <w:fldChar w:fldCharType="end"/>
    </w:r>
  </w:p>
  <w:p w:rsidR="00AE2899" w:rsidRPr="0050337D" w:rsidRDefault="00AE2899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50FC5">
      <w:rPr>
        <w:b/>
        <w:sz w:val="20"/>
      </w:rPr>
      <w:t>01</w:t>
    </w:r>
  </w:p>
  <w:p w:rsidR="00AE2899" w:rsidRPr="00C923D6" w:rsidRDefault="00AE2899">
    <w:pPr>
      <w:pStyle w:val="Header"/>
      <w:rPr>
        <w:rStyle w:val="PageNumber"/>
        <w:sz w:val="20"/>
      </w:rPr>
    </w:pPr>
  </w:p>
  <w:p w:rsidR="00AE2899" w:rsidRPr="00C923D6" w:rsidRDefault="00AE2899">
    <w:pPr>
      <w:pStyle w:val="Head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99" w:rsidRDefault="00AE28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511"/>
    <w:rsid w:val="00002219"/>
    <w:rsid w:val="00003D99"/>
    <w:rsid w:val="00020192"/>
    <w:rsid w:val="00045705"/>
    <w:rsid w:val="00050C2A"/>
    <w:rsid w:val="00057BB3"/>
    <w:rsid w:val="00073C4D"/>
    <w:rsid w:val="000A1236"/>
    <w:rsid w:val="000B2415"/>
    <w:rsid w:val="000C0449"/>
    <w:rsid w:val="000C1212"/>
    <w:rsid w:val="000E0FD7"/>
    <w:rsid w:val="001019BB"/>
    <w:rsid w:val="00103788"/>
    <w:rsid w:val="001223E6"/>
    <w:rsid w:val="00137B5D"/>
    <w:rsid w:val="00155F2F"/>
    <w:rsid w:val="00156783"/>
    <w:rsid w:val="00191FEF"/>
    <w:rsid w:val="001A2CF4"/>
    <w:rsid w:val="001B2400"/>
    <w:rsid w:val="001B65EB"/>
    <w:rsid w:val="001E31D2"/>
    <w:rsid w:val="001F3B92"/>
    <w:rsid w:val="00210528"/>
    <w:rsid w:val="0021323F"/>
    <w:rsid w:val="002138D4"/>
    <w:rsid w:val="00217507"/>
    <w:rsid w:val="00241C3C"/>
    <w:rsid w:val="00247C5D"/>
    <w:rsid w:val="00256D8F"/>
    <w:rsid w:val="00267B11"/>
    <w:rsid w:val="00292FE5"/>
    <w:rsid w:val="002A288F"/>
    <w:rsid w:val="002A391C"/>
    <w:rsid w:val="002E6447"/>
    <w:rsid w:val="00304BB0"/>
    <w:rsid w:val="0032602E"/>
    <w:rsid w:val="0035299C"/>
    <w:rsid w:val="003766AE"/>
    <w:rsid w:val="003919D4"/>
    <w:rsid w:val="0039735B"/>
    <w:rsid w:val="003A1B9A"/>
    <w:rsid w:val="003B2235"/>
    <w:rsid w:val="003B3421"/>
    <w:rsid w:val="003C2211"/>
    <w:rsid w:val="003C2270"/>
    <w:rsid w:val="003F17B8"/>
    <w:rsid w:val="0040179C"/>
    <w:rsid w:val="00420751"/>
    <w:rsid w:val="0043185D"/>
    <w:rsid w:val="00435481"/>
    <w:rsid w:val="004376D1"/>
    <w:rsid w:val="004430CD"/>
    <w:rsid w:val="00446310"/>
    <w:rsid w:val="0045758C"/>
    <w:rsid w:val="0048477A"/>
    <w:rsid w:val="00487FBF"/>
    <w:rsid w:val="00491C72"/>
    <w:rsid w:val="004A2398"/>
    <w:rsid w:val="004E41FF"/>
    <w:rsid w:val="004E7207"/>
    <w:rsid w:val="004F65F4"/>
    <w:rsid w:val="00512EC6"/>
    <w:rsid w:val="00525321"/>
    <w:rsid w:val="00537A6E"/>
    <w:rsid w:val="005579E7"/>
    <w:rsid w:val="00560A2A"/>
    <w:rsid w:val="00572F55"/>
    <w:rsid w:val="00577666"/>
    <w:rsid w:val="00585CDC"/>
    <w:rsid w:val="00586B63"/>
    <w:rsid w:val="005A0FF8"/>
    <w:rsid w:val="005A1E76"/>
    <w:rsid w:val="005A4239"/>
    <w:rsid w:val="005D73CC"/>
    <w:rsid w:val="005E726C"/>
    <w:rsid w:val="006262B3"/>
    <w:rsid w:val="006641CB"/>
    <w:rsid w:val="006A3F07"/>
    <w:rsid w:val="006C1312"/>
    <w:rsid w:val="006C4048"/>
    <w:rsid w:val="006F108F"/>
    <w:rsid w:val="00706D7A"/>
    <w:rsid w:val="007133EB"/>
    <w:rsid w:val="007147E9"/>
    <w:rsid w:val="007179F5"/>
    <w:rsid w:val="007308FD"/>
    <w:rsid w:val="007454F4"/>
    <w:rsid w:val="007565C4"/>
    <w:rsid w:val="0076326D"/>
    <w:rsid w:val="00794EB5"/>
    <w:rsid w:val="007A11C5"/>
    <w:rsid w:val="007B1AC3"/>
    <w:rsid w:val="007D4C59"/>
    <w:rsid w:val="007D62FB"/>
    <w:rsid w:val="007E6159"/>
    <w:rsid w:val="008055A3"/>
    <w:rsid w:val="0080664E"/>
    <w:rsid w:val="00811D91"/>
    <w:rsid w:val="008246C9"/>
    <w:rsid w:val="00830EB3"/>
    <w:rsid w:val="0083768F"/>
    <w:rsid w:val="00840ABC"/>
    <w:rsid w:val="00845BCE"/>
    <w:rsid w:val="00887761"/>
    <w:rsid w:val="00896ADF"/>
    <w:rsid w:val="008A5BDE"/>
    <w:rsid w:val="008A75BB"/>
    <w:rsid w:val="008B6F84"/>
    <w:rsid w:val="008C1107"/>
    <w:rsid w:val="008D47A4"/>
    <w:rsid w:val="008F66CE"/>
    <w:rsid w:val="00922662"/>
    <w:rsid w:val="0092543D"/>
    <w:rsid w:val="00940E71"/>
    <w:rsid w:val="009470E2"/>
    <w:rsid w:val="009B3E4E"/>
    <w:rsid w:val="009D5E0A"/>
    <w:rsid w:val="009F1D9F"/>
    <w:rsid w:val="00A2131C"/>
    <w:rsid w:val="00A26911"/>
    <w:rsid w:val="00A32948"/>
    <w:rsid w:val="00A34118"/>
    <w:rsid w:val="00A3599C"/>
    <w:rsid w:val="00A4134E"/>
    <w:rsid w:val="00A515E3"/>
    <w:rsid w:val="00A6402D"/>
    <w:rsid w:val="00AA3511"/>
    <w:rsid w:val="00AB6D3F"/>
    <w:rsid w:val="00AC1794"/>
    <w:rsid w:val="00AD405A"/>
    <w:rsid w:val="00AE2899"/>
    <w:rsid w:val="00B26F85"/>
    <w:rsid w:val="00B4451D"/>
    <w:rsid w:val="00B7132A"/>
    <w:rsid w:val="00B8265A"/>
    <w:rsid w:val="00B934D5"/>
    <w:rsid w:val="00BA627E"/>
    <w:rsid w:val="00BB0F60"/>
    <w:rsid w:val="00BD5323"/>
    <w:rsid w:val="00BD6086"/>
    <w:rsid w:val="00BD68BA"/>
    <w:rsid w:val="00C368CE"/>
    <w:rsid w:val="00C40733"/>
    <w:rsid w:val="00C50FC5"/>
    <w:rsid w:val="00C622F6"/>
    <w:rsid w:val="00C87791"/>
    <w:rsid w:val="00C9032D"/>
    <w:rsid w:val="00C923D6"/>
    <w:rsid w:val="00C979BD"/>
    <w:rsid w:val="00CA7A4A"/>
    <w:rsid w:val="00CD75FE"/>
    <w:rsid w:val="00CE6511"/>
    <w:rsid w:val="00CF2D3C"/>
    <w:rsid w:val="00D22EAB"/>
    <w:rsid w:val="00D30CD1"/>
    <w:rsid w:val="00D37AE6"/>
    <w:rsid w:val="00D75862"/>
    <w:rsid w:val="00D818E2"/>
    <w:rsid w:val="00D8358F"/>
    <w:rsid w:val="00D842FB"/>
    <w:rsid w:val="00D938E7"/>
    <w:rsid w:val="00DA0056"/>
    <w:rsid w:val="00DD589F"/>
    <w:rsid w:val="00E02724"/>
    <w:rsid w:val="00E36BC8"/>
    <w:rsid w:val="00E4683D"/>
    <w:rsid w:val="00E67931"/>
    <w:rsid w:val="00E8335A"/>
    <w:rsid w:val="00EE6A09"/>
    <w:rsid w:val="00F03613"/>
    <w:rsid w:val="00F119C5"/>
    <w:rsid w:val="00F163DA"/>
    <w:rsid w:val="00F23EAE"/>
    <w:rsid w:val="00F45D48"/>
    <w:rsid w:val="00F54B0B"/>
    <w:rsid w:val="00F6002B"/>
    <w:rsid w:val="00F6639C"/>
    <w:rsid w:val="00F75266"/>
    <w:rsid w:val="00F768B5"/>
    <w:rsid w:val="00F969A3"/>
    <w:rsid w:val="00FB5B64"/>
    <w:rsid w:val="00FB65FD"/>
    <w:rsid w:val="00FC0341"/>
    <w:rsid w:val="00FC27F2"/>
    <w:rsid w:val="00FE08D7"/>
    <w:rsid w:val="00FE2919"/>
    <w:rsid w:val="00FE3B8E"/>
    <w:rsid w:val="00FE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6AE"/>
    <w:rPr>
      <w:sz w:val="24"/>
      <w:szCs w:val="24"/>
    </w:rPr>
  </w:style>
  <w:style w:type="paragraph" w:styleId="Heading1">
    <w:name w:val="heading 1"/>
    <w:basedOn w:val="Normal"/>
    <w:next w:val="Normal"/>
    <w:qFormat/>
    <w:rsid w:val="003766A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66AE"/>
    <w:pPr>
      <w:jc w:val="center"/>
    </w:pPr>
  </w:style>
  <w:style w:type="paragraph" w:styleId="Header">
    <w:name w:val="header"/>
    <w:basedOn w:val="Normal"/>
    <w:rsid w:val="00376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66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66AE"/>
  </w:style>
  <w:style w:type="paragraph" w:customStyle="1" w:styleId="Findings">
    <w:name w:val="Findings"/>
    <w:basedOn w:val="Normal"/>
    <w:rsid w:val="003766AE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paragraph" w:styleId="FootnoteText">
    <w:name w:val="footnote text"/>
    <w:basedOn w:val="Normal"/>
    <w:link w:val="FootnoteTextChar"/>
    <w:rsid w:val="003F17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17B8"/>
  </w:style>
  <w:style w:type="character" w:styleId="FootnoteReference">
    <w:name w:val="footnote reference"/>
    <w:basedOn w:val="DefaultParagraphFont"/>
    <w:rsid w:val="003F17B8"/>
    <w:rPr>
      <w:vertAlign w:val="superscript"/>
    </w:rPr>
  </w:style>
  <w:style w:type="character" w:styleId="CommentReference">
    <w:name w:val="annotation reference"/>
    <w:basedOn w:val="DefaultParagraphFont"/>
    <w:rsid w:val="002138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8D4"/>
  </w:style>
  <w:style w:type="paragraph" w:styleId="CommentSubject">
    <w:name w:val="annotation subject"/>
    <w:basedOn w:val="CommentText"/>
    <w:next w:val="CommentText"/>
    <w:link w:val="CommentSubjectChar"/>
    <w:rsid w:val="00213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8D4"/>
    <w:rPr>
      <w:b/>
      <w:bCs/>
    </w:rPr>
  </w:style>
  <w:style w:type="paragraph" w:styleId="Revision">
    <w:name w:val="Revision"/>
    <w:hidden/>
    <w:uiPriority w:val="99"/>
    <w:semiHidden/>
    <w:rsid w:val="002138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Accounting%20Peti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32BDA8B72B914CB7BBAB77FCFAD1F7" ma:contentTypeVersion="131" ma:contentTypeDescription="" ma:contentTypeScope="" ma:versionID="d8c526707f34edd34e88bc0f9d1574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2010-01-11T08:00:00+00:00</OpenedDate>
    <Date1 xmlns="dc463f71-b30c-4ab2-9473-d307f9d35888">2010-02-11T08:00:00+00:00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100080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E7DE5-4481-413B-ADAF-E2E497E821EB}"/>
</file>

<file path=customXml/itemProps2.xml><?xml version="1.0" encoding="utf-8"?>
<ds:datastoreItem xmlns:ds="http://schemas.openxmlformats.org/officeDocument/2006/customXml" ds:itemID="{1C8FA04A-2EFD-45E2-9911-6E7F752CBC05}"/>
</file>

<file path=customXml/itemProps3.xml><?xml version="1.0" encoding="utf-8"?>
<ds:datastoreItem xmlns:ds="http://schemas.openxmlformats.org/officeDocument/2006/customXml" ds:itemID="{61BD9C00-2EFB-4948-9FD0-4C00105D0FCB}"/>
</file>

<file path=customXml/itemProps4.xml><?xml version="1.0" encoding="utf-8"?>
<ds:datastoreItem xmlns:ds="http://schemas.openxmlformats.org/officeDocument/2006/customXml" ds:itemID="{990ACF45-92EB-4433-AA40-C87E59FE963E}"/>
</file>

<file path=docProps/app.xml><?xml version="1.0" encoding="utf-8"?>
<Properties xmlns="http://schemas.openxmlformats.org/officeDocument/2006/extended-properties" xmlns:vt="http://schemas.openxmlformats.org/officeDocument/2006/docPropsVTypes">
  <Template>Accounting Petition Order.dot</Template>
  <TotalTime>2</TotalTime>
  <Pages>4</Pages>
  <Words>766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UE-100080 Order</vt:lpstr>
      <vt:lpstr>BACKGROUND</vt:lpstr>
      <vt:lpstr/>
      <vt:lpstr>FINDINGS AND CONCLUSIONS</vt:lpstr>
      <vt:lpstr/>
      <vt:lpstr>O R D E R</vt:lpstr>
    </vt:vector>
  </TitlesOfParts>
  <Company>WUTC</Company>
  <LinksUpToDate>false</LinksUpToDate>
  <CharactersWithSpaces>4850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UE-100080 Order</dc:title>
  <dc:subject/>
  <dc:creator>dkermode</dc:creator>
  <cp:keywords/>
  <dc:description/>
  <cp:lastModifiedBy> Cathy Kern</cp:lastModifiedBy>
  <cp:revision>2</cp:revision>
  <cp:lastPrinted>2010-02-08T18:42:00Z</cp:lastPrinted>
  <dcterms:created xsi:type="dcterms:W3CDTF">2010-02-11T00:16:00Z</dcterms:created>
  <dcterms:modified xsi:type="dcterms:W3CDTF">2010-02-11T00:16:00Z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0x0101006E56B4D1795A2E4DB2F0B01679ED314A006132BDA8B72B914CB7BBAB77FCFAD1F7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