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58" w:rsidRDefault="00154718" w:rsidP="00BE5610">
      <w:r w:rsidRPr="00EB4CE3">
        <w:t xml:space="preserve">Agenda Date: </w:t>
      </w:r>
      <w:r w:rsidRPr="00EB4CE3">
        <w:tab/>
      </w:r>
      <w:r w:rsidRPr="00EB4CE3">
        <w:tab/>
      </w:r>
      <w:r w:rsidR="006E3B58">
        <w:t>July 30</w:t>
      </w:r>
      <w:r w:rsidRPr="00EB4CE3">
        <w:t>, 2009</w:t>
      </w:r>
      <w:r w:rsidR="004456FB">
        <w:tab/>
      </w:r>
      <w:r w:rsidR="004456FB">
        <w:tab/>
      </w:r>
    </w:p>
    <w:p w:rsidR="00154718" w:rsidRDefault="00154718" w:rsidP="00BE5610">
      <w:r w:rsidRPr="00EB4CE3">
        <w:t>Item Number:</w:t>
      </w:r>
      <w:r w:rsidRPr="00EB4CE3">
        <w:tab/>
      </w:r>
      <w:r w:rsidRPr="00EB4CE3">
        <w:tab/>
      </w:r>
      <w:r w:rsidR="002C6110" w:rsidRPr="00EB4CE3">
        <w:t>A</w:t>
      </w:r>
      <w:r w:rsidR="00CB6EB8">
        <w:t>2</w:t>
      </w:r>
    </w:p>
    <w:p w:rsidR="006E3B58" w:rsidRPr="00EB4CE3" w:rsidRDefault="006E3B58" w:rsidP="00BE5610"/>
    <w:p w:rsidR="00154718" w:rsidRPr="00EB4CE3" w:rsidRDefault="00154718" w:rsidP="00BE5610">
      <w:r w:rsidRPr="00EB4CE3">
        <w:t xml:space="preserve">Docket: </w:t>
      </w:r>
      <w:r w:rsidRPr="00EB4CE3">
        <w:tab/>
      </w:r>
      <w:r w:rsidRPr="00EB4CE3">
        <w:tab/>
        <w:t>UW-09</w:t>
      </w:r>
      <w:r w:rsidR="00EA596A">
        <w:t>1050</w:t>
      </w:r>
    </w:p>
    <w:p w:rsidR="00154718" w:rsidRPr="00EB4CE3" w:rsidRDefault="00A41C23" w:rsidP="00BE5610">
      <w:r w:rsidRPr="00EB4CE3">
        <w:t>Company Name:</w:t>
      </w:r>
      <w:r w:rsidRPr="00EB4CE3">
        <w:tab/>
      </w:r>
      <w:r w:rsidR="006E3B58">
        <w:t xml:space="preserve">Burton Water Company, </w:t>
      </w:r>
      <w:r w:rsidR="00F93D9C">
        <w:t>I</w:t>
      </w:r>
      <w:r w:rsidR="00B45CF2">
        <w:t>nc.</w:t>
      </w:r>
    </w:p>
    <w:p w:rsidR="00154718" w:rsidRPr="00EB4CE3" w:rsidRDefault="00154718" w:rsidP="00BE5610"/>
    <w:p w:rsidR="00154718" w:rsidRPr="00EB4CE3" w:rsidRDefault="00595023" w:rsidP="00BE5610">
      <w:r w:rsidRPr="00EB4CE3">
        <w:t xml:space="preserve">Staff: </w:t>
      </w:r>
      <w:r w:rsidRPr="00EB4CE3">
        <w:tab/>
      </w:r>
      <w:r w:rsidRPr="00EB4CE3">
        <w:tab/>
      </w:r>
      <w:r w:rsidRPr="00EB4CE3">
        <w:tab/>
        <w:t>Jim Ward</w:t>
      </w:r>
      <w:r w:rsidR="00154718" w:rsidRPr="00EB4CE3">
        <w:t>, Regulatory Analyst</w:t>
      </w:r>
    </w:p>
    <w:p w:rsidR="00154718" w:rsidRPr="00EB4CE3" w:rsidRDefault="00154718" w:rsidP="00BE5610">
      <w:r w:rsidRPr="00EB4CE3">
        <w:tab/>
      </w:r>
      <w:r w:rsidRPr="00EB4CE3">
        <w:tab/>
      </w:r>
      <w:r w:rsidRPr="00EB4CE3">
        <w:tab/>
        <w:t>Dennis Shutler, Consumer Protection Staff</w:t>
      </w:r>
    </w:p>
    <w:p w:rsidR="00154718" w:rsidRPr="00EB4CE3" w:rsidRDefault="00154718" w:rsidP="00BE5610"/>
    <w:p w:rsidR="00154718" w:rsidRPr="00935AF2" w:rsidRDefault="00154718" w:rsidP="00BE5610">
      <w:pPr>
        <w:rPr>
          <w:b/>
          <w:u w:val="single"/>
        </w:rPr>
      </w:pPr>
      <w:r w:rsidRPr="00935AF2">
        <w:rPr>
          <w:b/>
          <w:u w:val="single"/>
        </w:rPr>
        <w:t>Recommendation</w:t>
      </w:r>
    </w:p>
    <w:p w:rsidR="00154718" w:rsidRPr="00EB4CE3" w:rsidRDefault="00154718" w:rsidP="00BE5610"/>
    <w:p w:rsidR="006E3B58" w:rsidRPr="006E3B58" w:rsidRDefault="004D7E01" w:rsidP="006E3B58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  <w:lang w:bidi="ar-SA"/>
        </w:rPr>
      </w:pPr>
      <w:r w:rsidRPr="004D7E01">
        <w:rPr>
          <w:rFonts w:eastAsia="Times New Roman"/>
          <w:color w:val="000000"/>
          <w:lang w:bidi="ar-SA"/>
        </w:rPr>
        <w:t>Issue a Complaint and Order Suspending the Tariff Revision</w:t>
      </w:r>
      <w:r w:rsidR="006E3B58">
        <w:rPr>
          <w:rFonts w:eastAsia="Times New Roman"/>
          <w:color w:val="000000"/>
          <w:lang w:bidi="ar-SA"/>
        </w:rPr>
        <w:t>s</w:t>
      </w:r>
      <w:r w:rsidRPr="004D7E01">
        <w:rPr>
          <w:rFonts w:eastAsia="Times New Roman"/>
          <w:color w:val="000000"/>
          <w:lang w:bidi="ar-SA"/>
        </w:rPr>
        <w:t xml:space="preserve"> filed by</w:t>
      </w:r>
      <w:r w:rsidRPr="004D7E01">
        <w:t xml:space="preserve"> </w:t>
      </w:r>
      <w:r w:rsidR="006E3B58">
        <w:t xml:space="preserve">Burton Water Company, </w:t>
      </w:r>
      <w:r>
        <w:t>Inc</w:t>
      </w:r>
      <w:r w:rsidR="006E3B58">
        <w:t>.</w:t>
      </w:r>
      <w:r w:rsidR="00E91318">
        <w:t>, on June 30, 2009.</w:t>
      </w:r>
    </w:p>
    <w:p w:rsidR="004D7E01" w:rsidRPr="004D7E01" w:rsidRDefault="006E3B58" w:rsidP="006E3B58">
      <w:pPr>
        <w:widowControl w:val="0"/>
        <w:autoSpaceDE w:val="0"/>
        <w:autoSpaceDN w:val="0"/>
        <w:adjustRightInd w:val="0"/>
        <w:ind w:left="360"/>
        <w:rPr>
          <w:color w:val="000000"/>
          <w:sz w:val="22"/>
          <w:szCs w:val="22"/>
          <w:lang w:bidi="ar-SA"/>
        </w:rPr>
      </w:pPr>
      <w:r w:rsidRPr="004D7E01">
        <w:rPr>
          <w:color w:val="000000"/>
          <w:sz w:val="22"/>
          <w:szCs w:val="22"/>
          <w:lang w:bidi="ar-SA"/>
        </w:rPr>
        <w:t xml:space="preserve"> </w:t>
      </w:r>
    </w:p>
    <w:p w:rsidR="00154718" w:rsidRPr="00935AF2" w:rsidRDefault="00154718" w:rsidP="00BE5610">
      <w:pPr>
        <w:rPr>
          <w:b/>
          <w:u w:val="single"/>
        </w:rPr>
      </w:pPr>
      <w:r w:rsidRPr="00935AF2">
        <w:rPr>
          <w:b/>
          <w:u w:val="single"/>
        </w:rPr>
        <w:t>Discussion</w:t>
      </w:r>
    </w:p>
    <w:p w:rsidR="00154718" w:rsidRPr="00EB4CE3" w:rsidRDefault="00154718" w:rsidP="00BE5610"/>
    <w:p w:rsidR="00AD6600" w:rsidRPr="00AD6600" w:rsidRDefault="00DD65A6" w:rsidP="00AD6600">
      <w:pPr>
        <w:rPr>
          <w:rFonts w:eastAsia="Times New Roman"/>
          <w:color w:val="000000"/>
          <w:lang w:bidi="ar-SA"/>
        </w:rPr>
      </w:pPr>
      <w:r>
        <w:rPr>
          <w:color w:val="000000"/>
        </w:rPr>
        <w:t xml:space="preserve">On </w:t>
      </w:r>
      <w:r w:rsidR="006E3B58">
        <w:rPr>
          <w:color w:val="000000"/>
        </w:rPr>
        <w:t>June</w:t>
      </w:r>
      <w:r w:rsidR="00F93D9C">
        <w:rPr>
          <w:color w:val="000000"/>
        </w:rPr>
        <w:t xml:space="preserve"> 30</w:t>
      </w:r>
      <w:r>
        <w:rPr>
          <w:color w:val="000000"/>
        </w:rPr>
        <w:t xml:space="preserve">, 2009, </w:t>
      </w:r>
      <w:r w:rsidR="006E3B58">
        <w:t xml:space="preserve">Burton Water Company, </w:t>
      </w:r>
      <w:r w:rsidR="00F93D9C">
        <w:t>Inc.</w:t>
      </w:r>
      <w:r>
        <w:t>, (</w:t>
      </w:r>
      <w:r w:rsidR="006E3B58">
        <w:t>Burton</w:t>
      </w:r>
      <w:r>
        <w:t xml:space="preserve"> or company</w:t>
      </w:r>
      <w:r w:rsidR="00A201C0">
        <w:t>)</w:t>
      </w:r>
      <w:r w:rsidR="00D0403B">
        <w:t>,</w:t>
      </w:r>
      <w:r w:rsidR="00A201C0">
        <w:t xml:space="preserve"> filed</w:t>
      </w:r>
      <w:r>
        <w:t xml:space="preserve"> </w:t>
      </w:r>
      <w:r w:rsidR="008C168F">
        <w:t>t</w:t>
      </w:r>
      <w:r w:rsidR="008C168F" w:rsidRPr="008C168F">
        <w:rPr>
          <w:rFonts w:eastAsia="Times New Roman"/>
          <w:lang w:bidi="ar-SA"/>
        </w:rPr>
        <w:t>ariff revision</w:t>
      </w:r>
      <w:r w:rsidR="006E3B58">
        <w:rPr>
          <w:rFonts w:eastAsia="Times New Roman"/>
          <w:lang w:bidi="ar-SA"/>
        </w:rPr>
        <w:t>s</w:t>
      </w:r>
      <w:r w:rsidR="008C168F" w:rsidRPr="008C168F">
        <w:rPr>
          <w:rFonts w:eastAsia="Times New Roman"/>
          <w:lang w:bidi="ar-SA"/>
        </w:rPr>
        <w:t xml:space="preserve"> to </w:t>
      </w:r>
      <w:r w:rsidR="00B84E56">
        <w:rPr>
          <w:rFonts w:eastAsia="Times New Roman"/>
          <w:lang w:bidi="ar-SA"/>
        </w:rPr>
        <w:t xml:space="preserve">its </w:t>
      </w:r>
      <w:r w:rsidR="006E3B58">
        <w:rPr>
          <w:rFonts w:eastAsia="Times New Roman"/>
          <w:lang w:bidi="ar-SA"/>
        </w:rPr>
        <w:t>currently effective tariff</w:t>
      </w:r>
      <w:r w:rsidR="008C168F" w:rsidRPr="008C168F">
        <w:rPr>
          <w:rFonts w:eastAsia="Times New Roman"/>
          <w:lang w:bidi="ar-SA"/>
        </w:rPr>
        <w:t xml:space="preserve">. </w:t>
      </w:r>
      <w:r w:rsidR="00721225">
        <w:t xml:space="preserve">The company </w:t>
      </w:r>
      <w:r w:rsidR="00DA0FCF">
        <w:t xml:space="preserve">states </w:t>
      </w:r>
      <w:r w:rsidR="00721225">
        <w:t>the reason for the tariff revisions is</w:t>
      </w:r>
      <w:r w:rsidR="00AD6600" w:rsidRPr="00AD6600">
        <w:rPr>
          <w:rFonts w:eastAsia="Times New Roman"/>
          <w:lang w:bidi="ar-SA"/>
        </w:rPr>
        <w:t xml:space="preserve"> to update </w:t>
      </w:r>
      <w:r w:rsidR="00BC21D3">
        <w:rPr>
          <w:rFonts w:eastAsia="Times New Roman"/>
          <w:lang w:bidi="ar-SA"/>
        </w:rPr>
        <w:t xml:space="preserve">rules and </w:t>
      </w:r>
      <w:r w:rsidR="00AD6600" w:rsidRPr="00AD6600">
        <w:rPr>
          <w:rFonts w:eastAsia="Times New Roman"/>
          <w:lang w:bidi="ar-SA"/>
        </w:rPr>
        <w:t xml:space="preserve">charges for several ancillary services. The filing proposes to </w:t>
      </w:r>
      <w:r w:rsidR="00C917F2">
        <w:rPr>
          <w:rFonts w:eastAsia="Times New Roman"/>
          <w:lang w:bidi="ar-SA"/>
        </w:rPr>
        <w:t>increase</w:t>
      </w:r>
      <w:r w:rsidR="00AD6600" w:rsidRPr="00AD6600">
        <w:rPr>
          <w:rFonts w:eastAsia="Times New Roman"/>
          <w:lang w:bidi="ar-SA"/>
        </w:rPr>
        <w:t xml:space="preserve"> the Reconnection, Account Set-up, NSF Check</w:t>
      </w:r>
      <w:r w:rsidR="00F53F41">
        <w:rPr>
          <w:rFonts w:eastAsia="Times New Roman"/>
          <w:lang w:bidi="ar-SA"/>
        </w:rPr>
        <w:t>,</w:t>
      </w:r>
      <w:r w:rsidR="00AD6600" w:rsidRPr="00AD6600">
        <w:rPr>
          <w:rFonts w:eastAsia="Times New Roman"/>
          <w:lang w:bidi="ar-SA"/>
        </w:rPr>
        <w:t xml:space="preserve"> </w:t>
      </w:r>
      <w:r w:rsidR="00C917F2">
        <w:rPr>
          <w:rFonts w:eastAsia="Times New Roman"/>
          <w:lang w:bidi="ar-SA"/>
        </w:rPr>
        <w:t xml:space="preserve">and </w:t>
      </w:r>
      <w:r w:rsidR="00F53F41">
        <w:rPr>
          <w:rFonts w:eastAsia="Times New Roman"/>
          <w:lang w:bidi="ar-SA"/>
        </w:rPr>
        <w:t>W</w:t>
      </w:r>
      <w:r w:rsidR="00C917F2">
        <w:rPr>
          <w:rFonts w:eastAsia="Times New Roman"/>
          <w:lang w:bidi="ar-SA"/>
        </w:rPr>
        <w:t xml:space="preserve">ater </w:t>
      </w:r>
      <w:r w:rsidR="00F53F41">
        <w:rPr>
          <w:rFonts w:eastAsia="Times New Roman"/>
          <w:lang w:bidi="ar-SA"/>
        </w:rPr>
        <w:t>A</w:t>
      </w:r>
      <w:r w:rsidR="00C917F2">
        <w:rPr>
          <w:rFonts w:eastAsia="Times New Roman"/>
          <w:lang w:bidi="ar-SA"/>
        </w:rPr>
        <w:t xml:space="preserve">vailability </w:t>
      </w:r>
      <w:r w:rsidR="00F53F41">
        <w:rPr>
          <w:rFonts w:eastAsia="Times New Roman"/>
          <w:lang w:bidi="ar-SA"/>
        </w:rPr>
        <w:t xml:space="preserve">Letter </w:t>
      </w:r>
      <w:r w:rsidR="00C917F2">
        <w:rPr>
          <w:rFonts w:eastAsia="Times New Roman"/>
          <w:lang w:bidi="ar-SA"/>
        </w:rPr>
        <w:t>charges</w:t>
      </w:r>
      <w:r w:rsidR="00BC21D3">
        <w:rPr>
          <w:rFonts w:eastAsia="Times New Roman"/>
          <w:lang w:bidi="ar-SA"/>
        </w:rPr>
        <w:t xml:space="preserve">; adds </w:t>
      </w:r>
      <w:r w:rsidR="00C917F2">
        <w:rPr>
          <w:rFonts w:eastAsia="Times New Roman"/>
          <w:lang w:bidi="ar-SA"/>
        </w:rPr>
        <w:t xml:space="preserve">new charges for </w:t>
      </w:r>
      <w:r w:rsidR="00AD6600" w:rsidRPr="00AD6600">
        <w:rPr>
          <w:rFonts w:eastAsia="Times New Roman"/>
          <w:lang w:bidi="ar-SA"/>
        </w:rPr>
        <w:t xml:space="preserve">Cross </w:t>
      </w:r>
      <w:r w:rsidR="00C917F2">
        <w:rPr>
          <w:rFonts w:eastAsia="Times New Roman"/>
          <w:lang w:bidi="ar-SA"/>
        </w:rPr>
        <w:t>C</w:t>
      </w:r>
      <w:r w:rsidR="00AD6600" w:rsidRPr="00AD6600">
        <w:rPr>
          <w:rFonts w:eastAsia="Times New Roman"/>
          <w:lang w:bidi="ar-SA"/>
        </w:rPr>
        <w:t>onnect</w:t>
      </w:r>
      <w:r w:rsidR="00C917F2">
        <w:rPr>
          <w:rFonts w:eastAsia="Times New Roman"/>
          <w:lang w:bidi="ar-SA"/>
        </w:rPr>
        <w:t>ion</w:t>
      </w:r>
      <w:r w:rsidR="00AD6600" w:rsidRPr="00AD6600">
        <w:rPr>
          <w:rFonts w:eastAsia="Times New Roman"/>
          <w:lang w:bidi="ar-SA"/>
        </w:rPr>
        <w:t xml:space="preserve"> Site Visit</w:t>
      </w:r>
      <w:r w:rsidR="00C917F2">
        <w:rPr>
          <w:rFonts w:eastAsia="Times New Roman"/>
          <w:lang w:bidi="ar-SA"/>
        </w:rPr>
        <w:t xml:space="preserve">, </w:t>
      </w:r>
      <w:r w:rsidR="00AD6600" w:rsidRPr="00AD6600">
        <w:rPr>
          <w:rFonts w:eastAsia="Times New Roman"/>
          <w:lang w:bidi="ar-SA"/>
        </w:rPr>
        <w:t>Cross Connection Inspection</w:t>
      </w:r>
      <w:r w:rsidR="00C917F2">
        <w:rPr>
          <w:rFonts w:eastAsia="Times New Roman"/>
          <w:lang w:bidi="ar-SA"/>
        </w:rPr>
        <w:t>, and Unauthorized Meter Lock Removal</w:t>
      </w:r>
      <w:r w:rsidR="00BC21D3">
        <w:rPr>
          <w:rFonts w:eastAsia="Times New Roman"/>
          <w:lang w:bidi="ar-SA"/>
        </w:rPr>
        <w:t xml:space="preserve">; </w:t>
      </w:r>
      <w:r w:rsidR="00AD6600" w:rsidRPr="00AD6600">
        <w:rPr>
          <w:rFonts w:eastAsia="Times New Roman"/>
          <w:lang w:bidi="ar-SA"/>
        </w:rPr>
        <w:t>clarif</w:t>
      </w:r>
      <w:r w:rsidR="00BC21D3">
        <w:rPr>
          <w:rFonts w:eastAsia="Times New Roman"/>
          <w:lang w:bidi="ar-SA"/>
        </w:rPr>
        <w:t xml:space="preserve">ies </w:t>
      </w:r>
      <w:r w:rsidR="00AD6600" w:rsidRPr="00AD6600">
        <w:rPr>
          <w:rFonts w:eastAsia="Times New Roman"/>
          <w:lang w:bidi="ar-SA"/>
        </w:rPr>
        <w:t>rules related to irrigation</w:t>
      </w:r>
      <w:r w:rsidR="00BC21D3">
        <w:rPr>
          <w:rFonts w:eastAsia="Times New Roman"/>
          <w:lang w:bidi="ar-SA"/>
        </w:rPr>
        <w:t>;</w:t>
      </w:r>
      <w:r w:rsidR="00AD6600" w:rsidRPr="00AD6600">
        <w:rPr>
          <w:rFonts w:eastAsia="Times New Roman"/>
          <w:lang w:bidi="ar-SA"/>
        </w:rPr>
        <w:t xml:space="preserve"> and</w:t>
      </w:r>
      <w:r w:rsidR="00BC21D3">
        <w:rPr>
          <w:rFonts w:eastAsia="Times New Roman"/>
          <w:lang w:bidi="ar-SA"/>
        </w:rPr>
        <w:t>,</w:t>
      </w:r>
      <w:r w:rsidR="00AD6600" w:rsidRPr="00AD6600">
        <w:rPr>
          <w:rFonts w:eastAsia="Times New Roman"/>
          <w:lang w:bidi="ar-SA"/>
        </w:rPr>
        <w:t xml:space="preserve"> add</w:t>
      </w:r>
      <w:r w:rsidR="00BC21D3">
        <w:rPr>
          <w:rFonts w:eastAsia="Times New Roman"/>
          <w:lang w:bidi="ar-SA"/>
        </w:rPr>
        <w:t>s</w:t>
      </w:r>
      <w:r w:rsidR="00AD6600" w:rsidRPr="00AD6600">
        <w:rPr>
          <w:rFonts w:eastAsia="Times New Roman"/>
          <w:lang w:bidi="ar-SA"/>
        </w:rPr>
        <w:t xml:space="preserve"> language on </w:t>
      </w:r>
      <w:r w:rsidR="00F53F41">
        <w:rPr>
          <w:rFonts w:eastAsia="Times New Roman"/>
          <w:lang w:bidi="ar-SA"/>
        </w:rPr>
        <w:t>L</w:t>
      </w:r>
      <w:r w:rsidR="00AD6600" w:rsidRPr="00AD6600">
        <w:rPr>
          <w:rFonts w:eastAsia="Times New Roman"/>
          <w:lang w:bidi="ar-SA"/>
        </w:rPr>
        <w:t xml:space="preserve">imitation of </w:t>
      </w:r>
      <w:r w:rsidR="00F53F41">
        <w:rPr>
          <w:rFonts w:eastAsia="Times New Roman"/>
          <w:lang w:bidi="ar-SA"/>
        </w:rPr>
        <w:t>L</w:t>
      </w:r>
      <w:r w:rsidR="00AD6600" w:rsidRPr="00AD6600">
        <w:rPr>
          <w:rFonts w:eastAsia="Times New Roman"/>
          <w:lang w:bidi="ar-SA"/>
        </w:rPr>
        <w:t xml:space="preserve">iability, </w:t>
      </w:r>
      <w:r w:rsidR="00F53F41">
        <w:rPr>
          <w:rFonts w:eastAsia="Times New Roman"/>
          <w:lang w:bidi="ar-SA"/>
        </w:rPr>
        <w:t>U</w:t>
      </w:r>
      <w:r w:rsidR="00AD6600" w:rsidRPr="00AD6600">
        <w:rPr>
          <w:rFonts w:eastAsia="Times New Roman"/>
          <w:lang w:bidi="ar-SA"/>
        </w:rPr>
        <w:t xml:space="preserve">nauthorized </w:t>
      </w:r>
      <w:r w:rsidR="00F53F41">
        <w:rPr>
          <w:rFonts w:eastAsia="Times New Roman"/>
          <w:lang w:bidi="ar-SA"/>
        </w:rPr>
        <w:t>U</w:t>
      </w:r>
      <w:r w:rsidR="00AD6600" w:rsidRPr="00AD6600">
        <w:rPr>
          <w:rFonts w:eastAsia="Times New Roman"/>
          <w:lang w:bidi="ar-SA"/>
        </w:rPr>
        <w:t xml:space="preserve">se of </w:t>
      </w:r>
      <w:r w:rsidR="00F53F41">
        <w:rPr>
          <w:rFonts w:eastAsia="Times New Roman"/>
          <w:lang w:bidi="ar-SA"/>
        </w:rPr>
        <w:t>S</w:t>
      </w:r>
      <w:r w:rsidR="00AD6600" w:rsidRPr="00AD6600">
        <w:rPr>
          <w:rFonts w:eastAsia="Times New Roman"/>
          <w:lang w:bidi="ar-SA"/>
        </w:rPr>
        <w:t xml:space="preserve">ervice and </w:t>
      </w:r>
      <w:r w:rsidR="00F53F41">
        <w:rPr>
          <w:rFonts w:eastAsia="Times New Roman"/>
          <w:lang w:bidi="ar-SA"/>
        </w:rPr>
        <w:t>C</w:t>
      </w:r>
      <w:r w:rsidR="00AD6600" w:rsidRPr="00AD6600">
        <w:rPr>
          <w:rFonts w:eastAsia="Times New Roman"/>
          <w:lang w:bidi="ar-SA"/>
        </w:rPr>
        <w:t xml:space="preserve">ross </w:t>
      </w:r>
      <w:r w:rsidR="00F53F41">
        <w:rPr>
          <w:rFonts w:eastAsia="Times New Roman"/>
          <w:lang w:bidi="ar-SA"/>
        </w:rPr>
        <w:t>C</w:t>
      </w:r>
      <w:r w:rsidR="00AD6600" w:rsidRPr="00AD6600">
        <w:rPr>
          <w:rFonts w:eastAsia="Times New Roman"/>
          <w:lang w:bidi="ar-SA"/>
        </w:rPr>
        <w:t xml:space="preserve">onnection </w:t>
      </w:r>
      <w:r w:rsidR="00F53F41">
        <w:rPr>
          <w:rFonts w:eastAsia="Times New Roman"/>
          <w:lang w:bidi="ar-SA"/>
        </w:rPr>
        <w:t>C</w:t>
      </w:r>
      <w:r w:rsidR="00AD6600" w:rsidRPr="00AD6600">
        <w:rPr>
          <w:rFonts w:eastAsia="Times New Roman"/>
          <w:lang w:bidi="ar-SA"/>
        </w:rPr>
        <w:t xml:space="preserve">ontrol. The company serves about 415 customers on Vashon Island in King County. The proposed effective date is August 1, 2009. The company’s last rate increase was </w:t>
      </w:r>
      <w:r w:rsidR="0028372D">
        <w:rPr>
          <w:rFonts w:eastAsia="Times New Roman"/>
          <w:lang w:bidi="ar-SA"/>
        </w:rPr>
        <w:t xml:space="preserve">in </w:t>
      </w:r>
      <w:r w:rsidR="00AD6600" w:rsidRPr="00AD6600">
        <w:rPr>
          <w:rFonts w:eastAsia="Times New Roman"/>
          <w:lang w:bidi="ar-SA"/>
        </w:rPr>
        <w:t>March 2008.</w:t>
      </w:r>
    </w:p>
    <w:p w:rsidR="00E53CF7" w:rsidRDefault="00E53CF7" w:rsidP="00E53CF7">
      <w:pPr>
        <w:rPr>
          <w:b/>
          <w:u w:val="single"/>
        </w:rPr>
      </w:pPr>
    </w:p>
    <w:p w:rsidR="00E53CF7" w:rsidRDefault="00E53CF7" w:rsidP="00E53CF7">
      <w:pPr>
        <w:rPr>
          <w:b/>
          <w:u w:val="single"/>
        </w:rPr>
      </w:pPr>
      <w:r w:rsidRPr="00E53CF7">
        <w:rPr>
          <w:b/>
          <w:u w:val="single"/>
        </w:rPr>
        <w:t xml:space="preserve">Customer Comments </w:t>
      </w:r>
    </w:p>
    <w:p w:rsidR="00E53CF7" w:rsidRPr="00E53CF7" w:rsidRDefault="00E53CF7" w:rsidP="00E53CF7"/>
    <w:p w:rsidR="00E53CF7" w:rsidRPr="00E53CF7" w:rsidRDefault="00D0403B" w:rsidP="00E53CF7">
      <w:pPr>
        <w:rPr>
          <w:b/>
        </w:rPr>
      </w:pPr>
      <w:r>
        <w:t xml:space="preserve">The company </w:t>
      </w:r>
      <w:r w:rsidR="00CA3026">
        <w:t>notified customers</w:t>
      </w:r>
      <w:r>
        <w:t xml:space="preserve"> of the proposed </w:t>
      </w:r>
      <w:r w:rsidR="006E3B58">
        <w:t xml:space="preserve">increase by mail on </w:t>
      </w:r>
      <w:r w:rsidR="009270B9">
        <w:t>June 30, 2009</w:t>
      </w:r>
      <w:r>
        <w:t xml:space="preserve">. </w:t>
      </w:r>
      <w:r w:rsidR="00E53CF7" w:rsidRPr="00E53CF7">
        <w:t xml:space="preserve">The commission has received no customer comments on this filing. </w:t>
      </w:r>
    </w:p>
    <w:p w:rsidR="00645A0C" w:rsidRDefault="00645A0C" w:rsidP="00450175">
      <w:pPr>
        <w:jc w:val="center"/>
        <w:rPr>
          <w:b/>
          <w:u w:val="single"/>
        </w:rPr>
      </w:pPr>
    </w:p>
    <w:p w:rsidR="009270B9" w:rsidRDefault="00832CE0" w:rsidP="009270B9">
      <w:pPr>
        <w:jc w:val="center"/>
        <w:rPr>
          <w:b/>
          <w:u w:val="single"/>
        </w:rPr>
      </w:pPr>
      <w:r w:rsidRPr="00450175">
        <w:rPr>
          <w:b/>
          <w:u w:val="single"/>
        </w:rPr>
        <w:t>Rate Comparison</w:t>
      </w:r>
    </w:p>
    <w:p w:rsidR="00CA3026" w:rsidRDefault="00CA3026" w:rsidP="009270B9">
      <w:pPr>
        <w:jc w:val="center"/>
        <w:rPr>
          <w:b/>
          <w:u w:val="single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41"/>
        <w:gridCol w:w="2462"/>
        <w:gridCol w:w="2966"/>
      </w:tblGrid>
      <w:tr w:rsidR="009270B9" w:rsidRPr="009270B9" w:rsidTr="00784BC2">
        <w:tc>
          <w:tcPr>
            <w:tcW w:w="2134" w:type="pct"/>
          </w:tcPr>
          <w:p w:rsidR="009270B9" w:rsidRPr="009270B9" w:rsidRDefault="00784BC2" w:rsidP="00AD6600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b/>
                <w:lang w:bidi="ar-SA"/>
              </w:rPr>
            </w:pPr>
            <w:r>
              <w:rPr>
                <w:rFonts w:eastAsia="Times New Roman"/>
                <w:b/>
                <w:lang w:bidi="ar-SA"/>
              </w:rPr>
              <w:t>Ancillary</w:t>
            </w:r>
            <w:r w:rsidR="00AD6600">
              <w:rPr>
                <w:rFonts w:eastAsia="Times New Roman"/>
                <w:b/>
                <w:lang w:bidi="ar-SA"/>
              </w:rPr>
              <w:t xml:space="preserve"> Charge</w:t>
            </w:r>
          </w:p>
        </w:tc>
        <w:tc>
          <w:tcPr>
            <w:tcW w:w="1300" w:type="pct"/>
            <w:vAlign w:val="center"/>
          </w:tcPr>
          <w:p w:rsidR="009270B9" w:rsidRPr="009270B9" w:rsidRDefault="009270B9" w:rsidP="0092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bidi="ar-SA"/>
              </w:rPr>
            </w:pPr>
            <w:r w:rsidRPr="009270B9">
              <w:rPr>
                <w:rFonts w:eastAsia="Times New Roman"/>
                <w:b/>
                <w:lang w:bidi="ar-SA"/>
              </w:rPr>
              <w:t>Current Rate</w:t>
            </w:r>
          </w:p>
        </w:tc>
        <w:tc>
          <w:tcPr>
            <w:tcW w:w="1567" w:type="pct"/>
          </w:tcPr>
          <w:p w:rsidR="009270B9" w:rsidRPr="009270B9" w:rsidRDefault="009270B9" w:rsidP="0092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bidi="ar-SA"/>
              </w:rPr>
            </w:pPr>
            <w:r w:rsidRPr="009270B9">
              <w:rPr>
                <w:rFonts w:eastAsia="Times New Roman"/>
                <w:b/>
                <w:lang w:bidi="ar-SA"/>
              </w:rPr>
              <w:t>Proposed Rate</w:t>
            </w:r>
          </w:p>
        </w:tc>
      </w:tr>
      <w:tr w:rsidR="009270B9" w:rsidRPr="009270B9" w:rsidTr="00784BC2">
        <w:tc>
          <w:tcPr>
            <w:tcW w:w="2134" w:type="pct"/>
          </w:tcPr>
          <w:p w:rsidR="009270B9" w:rsidRPr="009270B9" w:rsidRDefault="00EA596A" w:rsidP="009270B9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 xml:space="preserve">Reconnection </w:t>
            </w:r>
          </w:p>
        </w:tc>
        <w:tc>
          <w:tcPr>
            <w:tcW w:w="1300" w:type="pct"/>
            <w:vAlign w:val="center"/>
          </w:tcPr>
          <w:p w:rsidR="009270B9" w:rsidRPr="009270B9" w:rsidRDefault="00EA596A" w:rsidP="0092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$20.00</w:t>
            </w:r>
          </w:p>
        </w:tc>
        <w:tc>
          <w:tcPr>
            <w:tcW w:w="1567" w:type="pct"/>
          </w:tcPr>
          <w:p w:rsidR="009270B9" w:rsidRPr="009270B9" w:rsidRDefault="009270B9" w:rsidP="00EA5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bidi="ar-SA"/>
              </w:rPr>
            </w:pPr>
            <w:r w:rsidRPr="009270B9">
              <w:rPr>
                <w:rFonts w:eastAsia="Times New Roman"/>
                <w:lang w:bidi="ar-SA"/>
              </w:rPr>
              <w:t>$</w:t>
            </w:r>
            <w:r w:rsidR="00EA596A">
              <w:rPr>
                <w:rFonts w:eastAsia="Times New Roman"/>
                <w:lang w:bidi="ar-SA"/>
              </w:rPr>
              <w:t>50.00</w:t>
            </w:r>
          </w:p>
        </w:tc>
      </w:tr>
      <w:tr w:rsidR="009270B9" w:rsidRPr="009270B9" w:rsidTr="00784BC2">
        <w:tc>
          <w:tcPr>
            <w:tcW w:w="2134" w:type="pct"/>
          </w:tcPr>
          <w:p w:rsidR="009270B9" w:rsidRPr="009270B9" w:rsidRDefault="00EA596A" w:rsidP="00B56E98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Account Set-Up</w:t>
            </w:r>
          </w:p>
        </w:tc>
        <w:tc>
          <w:tcPr>
            <w:tcW w:w="1300" w:type="pct"/>
          </w:tcPr>
          <w:p w:rsidR="009270B9" w:rsidRPr="009270B9" w:rsidRDefault="009270B9" w:rsidP="00EA5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bidi="ar-SA"/>
              </w:rPr>
            </w:pPr>
            <w:r w:rsidRPr="009270B9">
              <w:rPr>
                <w:rFonts w:eastAsia="Times New Roman"/>
                <w:lang w:bidi="ar-SA"/>
              </w:rPr>
              <w:t>$</w:t>
            </w:r>
            <w:r>
              <w:rPr>
                <w:rFonts w:eastAsia="Times New Roman"/>
                <w:lang w:bidi="ar-SA"/>
              </w:rPr>
              <w:t>1</w:t>
            </w:r>
            <w:r w:rsidR="00EA596A">
              <w:rPr>
                <w:rFonts w:eastAsia="Times New Roman"/>
                <w:lang w:bidi="ar-SA"/>
              </w:rPr>
              <w:t>0</w:t>
            </w:r>
            <w:r w:rsidRPr="009270B9">
              <w:rPr>
                <w:rFonts w:eastAsia="Times New Roman"/>
                <w:lang w:bidi="ar-SA"/>
              </w:rPr>
              <w:t>.</w:t>
            </w:r>
            <w:r w:rsidR="00EA596A">
              <w:rPr>
                <w:rFonts w:eastAsia="Times New Roman"/>
                <w:lang w:bidi="ar-SA"/>
              </w:rPr>
              <w:t>00</w:t>
            </w:r>
          </w:p>
        </w:tc>
        <w:tc>
          <w:tcPr>
            <w:tcW w:w="1567" w:type="pct"/>
          </w:tcPr>
          <w:p w:rsidR="009270B9" w:rsidRPr="009270B9" w:rsidRDefault="009270B9" w:rsidP="00EA5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bidi="ar-SA"/>
              </w:rPr>
            </w:pPr>
            <w:r w:rsidRPr="009270B9">
              <w:rPr>
                <w:rFonts w:eastAsia="Times New Roman"/>
                <w:lang w:bidi="ar-SA"/>
              </w:rPr>
              <w:t>$</w:t>
            </w:r>
            <w:r w:rsidR="00EA596A">
              <w:rPr>
                <w:rFonts w:eastAsia="Times New Roman"/>
                <w:lang w:bidi="ar-SA"/>
              </w:rPr>
              <w:t>20</w:t>
            </w:r>
            <w:r w:rsidRPr="009270B9">
              <w:rPr>
                <w:rFonts w:eastAsia="Times New Roman"/>
                <w:lang w:bidi="ar-SA"/>
              </w:rPr>
              <w:t>.</w:t>
            </w:r>
            <w:r w:rsidR="00EA596A">
              <w:rPr>
                <w:rFonts w:eastAsia="Times New Roman"/>
                <w:lang w:bidi="ar-SA"/>
              </w:rPr>
              <w:t>00</w:t>
            </w:r>
          </w:p>
        </w:tc>
      </w:tr>
      <w:tr w:rsidR="009270B9" w:rsidRPr="009270B9" w:rsidTr="00784BC2">
        <w:tc>
          <w:tcPr>
            <w:tcW w:w="2134" w:type="pct"/>
          </w:tcPr>
          <w:p w:rsidR="009270B9" w:rsidRPr="009270B9" w:rsidRDefault="00EA596A" w:rsidP="009270B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NSF Check</w:t>
            </w:r>
          </w:p>
        </w:tc>
        <w:tc>
          <w:tcPr>
            <w:tcW w:w="1300" w:type="pct"/>
          </w:tcPr>
          <w:p w:rsidR="009270B9" w:rsidRPr="009270B9" w:rsidRDefault="009270B9" w:rsidP="00EA5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bidi="ar-SA"/>
              </w:rPr>
            </w:pPr>
            <w:r w:rsidRPr="009270B9">
              <w:rPr>
                <w:rFonts w:eastAsia="Times New Roman"/>
                <w:lang w:bidi="ar-SA"/>
              </w:rPr>
              <w:t>$</w:t>
            </w:r>
            <w:r w:rsidR="00B56E98">
              <w:rPr>
                <w:rFonts w:eastAsia="Times New Roman"/>
                <w:lang w:bidi="ar-SA"/>
              </w:rPr>
              <w:t>5</w:t>
            </w:r>
            <w:r w:rsidR="00EA596A">
              <w:rPr>
                <w:rFonts w:eastAsia="Times New Roman"/>
                <w:lang w:bidi="ar-SA"/>
              </w:rPr>
              <w:t>.00</w:t>
            </w:r>
          </w:p>
        </w:tc>
        <w:tc>
          <w:tcPr>
            <w:tcW w:w="1567" w:type="pct"/>
          </w:tcPr>
          <w:p w:rsidR="009270B9" w:rsidRPr="009270B9" w:rsidRDefault="009270B9" w:rsidP="00EA5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bidi="ar-SA"/>
              </w:rPr>
            </w:pPr>
            <w:r w:rsidRPr="009270B9">
              <w:rPr>
                <w:rFonts w:eastAsia="Times New Roman"/>
                <w:lang w:bidi="ar-SA"/>
              </w:rPr>
              <w:t>$</w:t>
            </w:r>
            <w:r w:rsidR="00EA596A">
              <w:rPr>
                <w:rFonts w:eastAsia="Times New Roman"/>
                <w:lang w:bidi="ar-SA"/>
              </w:rPr>
              <w:t>40</w:t>
            </w:r>
            <w:r w:rsidRPr="009270B9">
              <w:rPr>
                <w:rFonts w:eastAsia="Times New Roman"/>
                <w:lang w:bidi="ar-SA"/>
              </w:rPr>
              <w:t>.</w:t>
            </w:r>
            <w:r w:rsidR="00EA596A">
              <w:rPr>
                <w:rFonts w:eastAsia="Times New Roman"/>
                <w:lang w:bidi="ar-SA"/>
              </w:rPr>
              <w:t>00</w:t>
            </w:r>
          </w:p>
        </w:tc>
      </w:tr>
      <w:tr w:rsidR="009270B9" w:rsidRPr="009270B9" w:rsidTr="00784BC2">
        <w:tc>
          <w:tcPr>
            <w:tcW w:w="2134" w:type="pct"/>
          </w:tcPr>
          <w:p w:rsidR="009270B9" w:rsidRPr="009270B9" w:rsidRDefault="00EA596A" w:rsidP="009270B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Water Availability Letter</w:t>
            </w:r>
          </w:p>
        </w:tc>
        <w:tc>
          <w:tcPr>
            <w:tcW w:w="1300" w:type="pct"/>
          </w:tcPr>
          <w:p w:rsidR="009270B9" w:rsidRPr="009270B9" w:rsidRDefault="009270B9" w:rsidP="00EA5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bidi="ar-SA"/>
              </w:rPr>
            </w:pPr>
            <w:r w:rsidRPr="009270B9">
              <w:rPr>
                <w:rFonts w:eastAsia="Times New Roman"/>
                <w:lang w:bidi="ar-SA"/>
              </w:rPr>
              <w:t>$</w:t>
            </w:r>
            <w:r w:rsidR="00EA596A">
              <w:rPr>
                <w:rFonts w:eastAsia="Times New Roman"/>
                <w:lang w:bidi="ar-SA"/>
              </w:rPr>
              <w:t>8</w:t>
            </w:r>
            <w:r w:rsidRPr="009270B9">
              <w:rPr>
                <w:rFonts w:eastAsia="Times New Roman"/>
                <w:lang w:bidi="ar-SA"/>
              </w:rPr>
              <w:t>.</w:t>
            </w:r>
            <w:r w:rsidR="00EA596A">
              <w:rPr>
                <w:rFonts w:eastAsia="Times New Roman"/>
                <w:lang w:bidi="ar-SA"/>
              </w:rPr>
              <w:t>00</w:t>
            </w:r>
          </w:p>
        </w:tc>
        <w:tc>
          <w:tcPr>
            <w:tcW w:w="1567" w:type="pct"/>
          </w:tcPr>
          <w:p w:rsidR="009270B9" w:rsidRPr="009270B9" w:rsidRDefault="009270B9" w:rsidP="00EA5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bidi="ar-SA"/>
              </w:rPr>
            </w:pPr>
            <w:r w:rsidRPr="009270B9">
              <w:rPr>
                <w:rFonts w:eastAsia="Times New Roman"/>
                <w:lang w:bidi="ar-SA"/>
              </w:rPr>
              <w:t>$</w:t>
            </w:r>
            <w:r w:rsidR="00EA596A">
              <w:rPr>
                <w:rFonts w:eastAsia="Times New Roman"/>
                <w:lang w:bidi="ar-SA"/>
              </w:rPr>
              <w:t>25</w:t>
            </w:r>
            <w:r w:rsidR="00B56E98">
              <w:rPr>
                <w:rFonts w:eastAsia="Times New Roman"/>
                <w:lang w:bidi="ar-SA"/>
              </w:rPr>
              <w:t>.00</w:t>
            </w:r>
          </w:p>
        </w:tc>
      </w:tr>
      <w:tr w:rsidR="009270B9" w:rsidRPr="009270B9" w:rsidTr="00784BC2">
        <w:tc>
          <w:tcPr>
            <w:tcW w:w="2134" w:type="pct"/>
          </w:tcPr>
          <w:p w:rsidR="009270B9" w:rsidRPr="009270B9" w:rsidRDefault="00EA596A" w:rsidP="00EA596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Cross Connection Site Visit</w:t>
            </w:r>
          </w:p>
        </w:tc>
        <w:tc>
          <w:tcPr>
            <w:tcW w:w="1300" w:type="pct"/>
          </w:tcPr>
          <w:p w:rsidR="009270B9" w:rsidRPr="009270B9" w:rsidRDefault="00D95741" w:rsidP="00B56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NA</w:t>
            </w:r>
          </w:p>
        </w:tc>
        <w:tc>
          <w:tcPr>
            <w:tcW w:w="1567" w:type="pct"/>
          </w:tcPr>
          <w:p w:rsidR="009270B9" w:rsidRPr="009270B9" w:rsidRDefault="00B56E98" w:rsidP="00EA5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$</w:t>
            </w:r>
            <w:r w:rsidR="00EA596A">
              <w:rPr>
                <w:rFonts w:eastAsia="Times New Roman"/>
                <w:lang w:bidi="ar-SA"/>
              </w:rPr>
              <w:t>50</w:t>
            </w:r>
            <w:r>
              <w:rPr>
                <w:rFonts w:eastAsia="Times New Roman"/>
                <w:lang w:bidi="ar-SA"/>
              </w:rPr>
              <w:t>.00</w:t>
            </w:r>
          </w:p>
        </w:tc>
      </w:tr>
      <w:tr w:rsidR="00EA596A" w:rsidRPr="009270B9" w:rsidTr="00784BC2">
        <w:tc>
          <w:tcPr>
            <w:tcW w:w="2134" w:type="pct"/>
          </w:tcPr>
          <w:p w:rsidR="00EA596A" w:rsidRPr="009270B9" w:rsidRDefault="00EA596A" w:rsidP="00EA596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Cross Connection Premise Inspection</w:t>
            </w:r>
          </w:p>
        </w:tc>
        <w:tc>
          <w:tcPr>
            <w:tcW w:w="1300" w:type="pct"/>
          </w:tcPr>
          <w:p w:rsidR="00EA596A" w:rsidRPr="009270B9" w:rsidRDefault="00D95741" w:rsidP="00E26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NA</w:t>
            </w:r>
          </w:p>
        </w:tc>
        <w:tc>
          <w:tcPr>
            <w:tcW w:w="1567" w:type="pct"/>
          </w:tcPr>
          <w:p w:rsidR="00EA596A" w:rsidRPr="009270B9" w:rsidRDefault="00EA596A" w:rsidP="00EA5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bidi="ar-SA"/>
              </w:rPr>
            </w:pPr>
            <w:r w:rsidRPr="009270B9">
              <w:rPr>
                <w:rFonts w:eastAsia="Times New Roman"/>
                <w:lang w:bidi="ar-SA"/>
              </w:rPr>
              <w:t>$</w:t>
            </w:r>
            <w:r>
              <w:rPr>
                <w:rFonts w:eastAsia="Times New Roman"/>
                <w:lang w:bidi="ar-SA"/>
              </w:rPr>
              <w:t>25</w:t>
            </w:r>
            <w:r w:rsidRPr="009270B9">
              <w:rPr>
                <w:rFonts w:eastAsia="Times New Roman"/>
                <w:lang w:bidi="ar-SA"/>
              </w:rPr>
              <w:t>.</w:t>
            </w:r>
            <w:r>
              <w:rPr>
                <w:rFonts w:eastAsia="Times New Roman"/>
                <w:lang w:bidi="ar-SA"/>
              </w:rPr>
              <w:t>00 per hour</w:t>
            </w:r>
          </w:p>
        </w:tc>
      </w:tr>
      <w:tr w:rsidR="00EA596A" w:rsidRPr="009270B9" w:rsidTr="00784BC2">
        <w:tc>
          <w:tcPr>
            <w:tcW w:w="2134" w:type="pct"/>
          </w:tcPr>
          <w:p w:rsidR="00916E94" w:rsidRDefault="00AD660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 xml:space="preserve">Unauthorized </w:t>
            </w:r>
            <w:r w:rsidR="00C917F2">
              <w:rPr>
                <w:rFonts w:eastAsia="Times New Roman"/>
                <w:lang w:bidi="ar-SA"/>
              </w:rPr>
              <w:t>M</w:t>
            </w:r>
            <w:r>
              <w:rPr>
                <w:rFonts w:eastAsia="Times New Roman"/>
                <w:lang w:bidi="ar-SA"/>
              </w:rPr>
              <w:t xml:space="preserve">eter </w:t>
            </w:r>
            <w:r w:rsidR="00C917F2">
              <w:rPr>
                <w:rFonts w:eastAsia="Times New Roman"/>
                <w:lang w:bidi="ar-SA"/>
              </w:rPr>
              <w:t>L</w:t>
            </w:r>
            <w:r>
              <w:rPr>
                <w:rFonts w:eastAsia="Times New Roman"/>
                <w:lang w:bidi="ar-SA"/>
              </w:rPr>
              <w:t xml:space="preserve">ock </w:t>
            </w:r>
            <w:r w:rsidR="00C917F2">
              <w:rPr>
                <w:rFonts w:eastAsia="Times New Roman"/>
                <w:lang w:bidi="ar-SA"/>
              </w:rPr>
              <w:t>R</w:t>
            </w:r>
            <w:r>
              <w:rPr>
                <w:rFonts w:eastAsia="Times New Roman"/>
                <w:lang w:bidi="ar-SA"/>
              </w:rPr>
              <w:t>emoval</w:t>
            </w:r>
          </w:p>
        </w:tc>
        <w:tc>
          <w:tcPr>
            <w:tcW w:w="1300" w:type="pct"/>
          </w:tcPr>
          <w:p w:rsidR="00EA596A" w:rsidRPr="009270B9" w:rsidRDefault="00EA596A" w:rsidP="00E26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NA</w:t>
            </w:r>
          </w:p>
        </w:tc>
        <w:tc>
          <w:tcPr>
            <w:tcW w:w="1567" w:type="pct"/>
          </w:tcPr>
          <w:p w:rsidR="00EA596A" w:rsidRPr="009270B9" w:rsidRDefault="00AD6600" w:rsidP="00E26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$150.00*</w:t>
            </w:r>
          </w:p>
        </w:tc>
      </w:tr>
    </w:tbl>
    <w:p w:rsidR="009270B9" w:rsidRPr="00AD6600" w:rsidRDefault="00AD6600" w:rsidP="00AD6600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5" w:lineRule="auto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 xml:space="preserve"> *</w:t>
      </w:r>
      <w:r w:rsidRPr="00AD6600">
        <w:rPr>
          <w:rFonts w:eastAsia="Times New Roman"/>
          <w:lang w:bidi="ar-SA"/>
        </w:rPr>
        <w:t xml:space="preserve">Cost of the meter lock and </w:t>
      </w:r>
      <w:r>
        <w:rPr>
          <w:rFonts w:eastAsia="Times New Roman"/>
          <w:lang w:bidi="ar-SA"/>
        </w:rPr>
        <w:t>damages to service connection may also apply.</w:t>
      </w:r>
    </w:p>
    <w:p w:rsidR="009270B9" w:rsidRPr="009270B9" w:rsidRDefault="009270B9" w:rsidP="009270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5" w:lineRule="auto"/>
        <w:rPr>
          <w:rFonts w:eastAsia="Times New Roman"/>
          <w:lang w:bidi="ar-SA"/>
        </w:rPr>
      </w:pPr>
    </w:p>
    <w:p w:rsidR="000B0C16" w:rsidRDefault="00BC21D3" w:rsidP="00BE5610">
      <w:r>
        <w:t xml:space="preserve">The company has not calculated the increased amount of revenue on an </w:t>
      </w:r>
      <w:r w:rsidRPr="00407C80">
        <w:t>annual</w:t>
      </w:r>
      <w:r>
        <w:t xml:space="preserve"> basis</w:t>
      </w:r>
      <w:r w:rsidRPr="00407C80">
        <w:t>.</w:t>
      </w:r>
      <w:r>
        <w:t xml:space="preserve"> </w:t>
      </w:r>
      <w:r w:rsidR="00295745" w:rsidRPr="008C3B86">
        <w:rPr>
          <w:bCs/>
        </w:rPr>
        <w:t>Staff</w:t>
      </w:r>
      <w:r w:rsidR="00825773">
        <w:rPr>
          <w:bCs/>
        </w:rPr>
        <w:t xml:space="preserve"> has not completed its</w:t>
      </w:r>
      <w:r w:rsidR="00295745" w:rsidRPr="008C3B86">
        <w:rPr>
          <w:bCs/>
        </w:rPr>
        <w:t xml:space="preserve"> revie</w:t>
      </w:r>
      <w:r w:rsidR="00295745" w:rsidRPr="00407C80">
        <w:t>w</w:t>
      </w:r>
      <w:r w:rsidR="00825773">
        <w:t xml:space="preserve"> of</w:t>
      </w:r>
      <w:r w:rsidR="00295745" w:rsidRPr="00407C80">
        <w:t xml:space="preserve"> </w:t>
      </w:r>
      <w:r w:rsidR="006E3B58">
        <w:rPr>
          <w:bCs/>
        </w:rPr>
        <w:t>Burton</w:t>
      </w:r>
      <w:r w:rsidR="00295745">
        <w:t>’</w:t>
      </w:r>
      <w:r w:rsidR="00295745" w:rsidRPr="00407C80">
        <w:t xml:space="preserve">s books, records and supporting documents </w:t>
      </w:r>
      <w:r w:rsidR="00295745">
        <w:t xml:space="preserve">for the </w:t>
      </w:r>
      <w:r w:rsidR="00EE7659">
        <w:t xml:space="preserve">rate </w:t>
      </w:r>
      <w:r w:rsidR="00EE7659">
        <w:lastRenderedPageBreak/>
        <w:t>increase</w:t>
      </w:r>
      <w:r w:rsidR="00825773">
        <w:t>.</w:t>
      </w:r>
      <w:r w:rsidR="00295745">
        <w:t xml:space="preserve"> </w:t>
      </w:r>
      <w:r w:rsidR="00D0403B">
        <w:t xml:space="preserve">The company has not demonstrated the proposed rates are fair, just, </w:t>
      </w:r>
      <w:r w:rsidR="00CA3026">
        <w:t>reasonable</w:t>
      </w:r>
      <w:r w:rsidR="00D0403B">
        <w:t xml:space="preserve"> and sufficient.</w:t>
      </w:r>
    </w:p>
    <w:p w:rsidR="00C917F2" w:rsidRDefault="00C917F2" w:rsidP="00BE5610">
      <w:pPr>
        <w:rPr>
          <w:b/>
          <w:u w:val="single"/>
        </w:rPr>
      </w:pPr>
    </w:p>
    <w:p w:rsidR="003B700C" w:rsidRDefault="003B700C" w:rsidP="00BE5610">
      <w:pPr>
        <w:rPr>
          <w:b/>
          <w:u w:val="single"/>
        </w:rPr>
      </w:pPr>
      <w:r w:rsidRPr="00935AF2">
        <w:rPr>
          <w:b/>
          <w:u w:val="single"/>
        </w:rPr>
        <w:t xml:space="preserve">Conclusion </w:t>
      </w:r>
    </w:p>
    <w:p w:rsidR="00EE7659" w:rsidRDefault="00EE7659" w:rsidP="00BE5610">
      <w:pPr>
        <w:rPr>
          <w:b/>
          <w:u w:val="single"/>
        </w:rPr>
      </w:pPr>
    </w:p>
    <w:p w:rsidR="00E91318" w:rsidRPr="006E3B58" w:rsidRDefault="00E91318" w:rsidP="00E91318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  <w:lang w:bidi="ar-SA"/>
        </w:rPr>
      </w:pPr>
      <w:r w:rsidRPr="004D7E01">
        <w:rPr>
          <w:rFonts w:eastAsia="Times New Roman"/>
          <w:color w:val="000000"/>
          <w:lang w:bidi="ar-SA"/>
        </w:rPr>
        <w:t>Issue a Complaint and Order Suspending the Tariff Revision</w:t>
      </w:r>
      <w:r>
        <w:rPr>
          <w:rFonts w:eastAsia="Times New Roman"/>
          <w:color w:val="000000"/>
          <w:lang w:bidi="ar-SA"/>
        </w:rPr>
        <w:t>s</w:t>
      </w:r>
      <w:r w:rsidRPr="004D7E01">
        <w:rPr>
          <w:rFonts w:eastAsia="Times New Roman"/>
          <w:color w:val="000000"/>
          <w:lang w:bidi="ar-SA"/>
        </w:rPr>
        <w:t xml:space="preserve"> filed by</w:t>
      </w:r>
      <w:r w:rsidRPr="004D7E01">
        <w:t xml:space="preserve"> </w:t>
      </w:r>
      <w:r>
        <w:t>Burton Water Company, Inc., on June 30, 2009.</w:t>
      </w:r>
    </w:p>
    <w:p w:rsidR="00EE7659" w:rsidRPr="00AD6600" w:rsidRDefault="00EE7659" w:rsidP="00AD660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  <w:lang w:bidi="ar-SA"/>
        </w:rPr>
      </w:pPr>
    </w:p>
    <w:sectPr w:rsidR="00EE7659" w:rsidRPr="00AD6600" w:rsidSect="003B700C">
      <w:head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600" w:rsidRDefault="00AD6600" w:rsidP="00BE5610">
      <w:r>
        <w:separator/>
      </w:r>
    </w:p>
  </w:endnote>
  <w:endnote w:type="continuationSeparator" w:id="0">
    <w:p w:rsidR="00AD6600" w:rsidRDefault="00AD6600" w:rsidP="00BE5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600" w:rsidRDefault="00AD6600" w:rsidP="00BE5610">
      <w:r>
        <w:separator/>
      </w:r>
    </w:p>
  </w:footnote>
  <w:footnote w:type="continuationSeparator" w:id="0">
    <w:p w:rsidR="00AD6600" w:rsidRDefault="00AD6600" w:rsidP="00BE5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600" w:rsidRPr="003B700C" w:rsidRDefault="00AD6600" w:rsidP="00BE5610">
    <w:pPr>
      <w:pStyle w:val="Header"/>
    </w:pPr>
    <w:r w:rsidRPr="003B700C">
      <w:t>Docket UW-09</w:t>
    </w:r>
    <w:r w:rsidR="00C917F2">
      <w:t>1050</w:t>
    </w:r>
  </w:p>
  <w:p w:rsidR="00AD6600" w:rsidRPr="003B700C" w:rsidRDefault="00C917F2" w:rsidP="00BE5610">
    <w:pPr>
      <w:pStyle w:val="Header"/>
    </w:pPr>
    <w:r>
      <w:t>July 30,</w:t>
    </w:r>
    <w:r w:rsidR="00AD6600" w:rsidRPr="003B700C">
      <w:t xml:space="preserve"> 2009</w:t>
    </w:r>
  </w:p>
  <w:p w:rsidR="00AD6600" w:rsidRPr="003B700C" w:rsidRDefault="00AD6600" w:rsidP="00BE5610">
    <w:pPr>
      <w:pStyle w:val="Header"/>
    </w:pPr>
    <w:r w:rsidRPr="003B700C">
      <w:t xml:space="preserve">Page </w:t>
    </w:r>
    <w:fldSimple w:instr=" PAGE   \* MERGEFORMAT ">
      <w:r w:rsidR="00ED73C7">
        <w:rPr>
          <w:noProof/>
        </w:rPr>
        <w:t>2</w:t>
      </w:r>
    </w:fldSimple>
  </w:p>
  <w:p w:rsidR="00AD6600" w:rsidRDefault="00AD6600" w:rsidP="00BE56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1C1A"/>
    <w:multiLevelType w:val="hybridMultilevel"/>
    <w:tmpl w:val="ACC0E514"/>
    <w:lvl w:ilvl="0" w:tplc="E8D82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76EA3"/>
    <w:multiLevelType w:val="hybridMultilevel"/>
    <w:tmpl w:val="7B562C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5DB0624"/>
    <w:multiLevelType w:val="hybridMultilevel"/>
    <w:tmpl w:val="C12099C4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71B4A"/>
    <w:multiLevelType w:val="hybridMultilevel"/>
    <w:tmpl w:val="F56CE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20183"/>
    <w:multiLevelType w:val="hybridMultilevel"/>
    <w:tmpl w:val="A87C4F18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273DA"/>
    <w:multiLevelType w:val="hybridMultilevel"/>
    <w:tmpl w:val="2048DDE2"/>
    <w:lvl w:ilvl="0" w:tplc="8B6AC452">
      <w:start w:val="20"/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EEB4F9A"/>
    <w:multiLevelType w:val="hybridMultilevel"/>
    <w:tmpl w:val="20A47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49567F4"/>
    <w:multiLevelType w:val="hybridMultilevel"/>
    <w:tmpl w:val="059461DE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B6F4D"/>
    <w:multiLevelType w:val="hybridMultilevel"/>
    <w:tmpl w:val="7B562C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DateAndTime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/>
  <w:rsids>
    <w:rsidRoot w:val="00154718"/>
    <w:rsid w:val="00005828"/>
    <w:rsid w:val="00015DD8"/>
    <w:rsid w:val="00053628"/>
    <w:rsid w:val="00055945"/>
    <w:rsid w:val="0006481C"/>
    <w:rsid w:val="0008268C"/>
    <w:rsid w:val="00082892"/>
    <w:rsid w:val="000908F4"/>
    <w:rsid w:val="000909CD"/>
    <w:rsid w:val="000B0C16"/>
    <w:rsid w:val="000C3D4F"/>
    <w:rsid w:val="000D6DAF"/>
    <w:rsid w:val="000E640C"/>
    <w:rsid w:val="000F29ED"/>
    <w:rsid w:val="000F66C5"/>
    <w:rsid w:val="00111EF9"/>
    <w:rsid w:val="0013089B"/>
    <w:rsid w:val="00130B3D"/>
    <w:rsid w:val="00141434"/>
    <w:rsid w:val="001423FE"/>
    <w:rsid w:val="00142B36"/>
    <w:rsid w:val="0014659D"/>
    <w:rsid w:val="00151222"/>
    <w:rsid w:val="00154718"/>
    <w:rsid w:val="001603B0"/>
    <w:rsid w:val="0016055D"/>
    <w:rsid w:val="0016348F"/>
    <w:rsid w:val="0016545B"/>
    <w:rsid w:val="00173F60"/>
    <w:rsid w:val="00177491"/>
    <w:rsid w:val="00190825"/>
    <w:rsid w:val="001A0A16"/>
    <w:rsid w:val="001C5AB1"/>
    <w:rsid w:val="001D2A48"/>
    <w:rsid w:val="001E0047"/>
    <w:rsid w:val="001E0702"/>
    <w:rsid w:val="001E1BE5"/>
    <w:rsid w:val="001F30F9"/>
    <w:rsid w:val="001F465E"/>
    <w:rsid w:val="002027E0"/>
    <w:rsid w:val="0021363E"/>
    <w:rsid w:val="00227DC0"/>
    <w:rsid w:val="00241B80"/>
    <w:rsid w:val="00244A84"/>
    <w:rsid w:val="00260D57"/>
    <w:rsid w:val="002622A8"/>
    <w:rsid w:val="0028372D"/>
    <w:rsid w:val="00283AD9"/>
    <w:rsid w:val="002863C0"/>
    <w:rsid w:val="00294AE3"/>
    <w:rsid w:val="00295745"/>
    <w:rsid w:val="002A70D7"/>
    <w:rsid w:val="002B1194"/>
    <w:rsid w:val="002C039A"/>
    <w:rsid w:val="002C6110"/>
    <w:rsid w:val="002E04D9"/>
    <w:rsid w:val="002E50C7"/>
    <w:rsid w:val="002F70BE"/>
    <w:rsid w:val="00300D92"/>
    <w:rsid w:val="00324289"/>
    <w:rsid w:val="00330C32"/>
    <w:rsid w:val="00334A7C"/>
    <w:rsid w:val="00337C05"/>
    <w:rsid w:val="00340C02"/>
    <w:rsid w:val="00367ED5"/>
    <w:rsid w:val="0038312D"/>
    <w:rsid w:val="00385F54"/>
    <w:rsid w:val="00392579"/>
    <w:rsid w:val="003B700C"/>
    <w:rsid w:val="003C166B"/>
    <w:rsid w:val="003C16E8"/>
    <w:rsid w:val="003D2276"/>
    <w:rsid w:val="003D25A3"/>
    <w:rsid w:val="003D717F"/>
    <w:rsid w:val="00405F3D"/>
    <w:rsid w:val="004456FB"/>
    <w:rsid w:val="00445FBD"/>
    <w:rsid w:val="00450175"/>
    <w:rsid w:val="00450267"/>
    <w:rsid w:val="00455301"/>
    <w:rsid w:val="00472DF2"/>
    <w:rsid w:val="00474CF0"/>
    <w:rsid w:val="00496744"/>
    <w:rsid w:val="00497530"/>
    <w:rsid w:val="004A5C6A"/>
    <w:rsid w:val="004A691E"/>
    <w:rsid w:val="004D1016"/>
    <w:rsid w:val="004D4EF6"/>
    <w:rsid w:val="004D5E19"/>
    <w:rsid w:val="004D7E01"/>
    <w:rsid w:val="004E0141"/>
    <w:rsid w:val="004E3A42"/>
    <w:rsid w:val="00504DB9"/>
    <w:rsid w:val="005131DE"/>
    <w:rsid w:val="00533DBE"/>
    <w:rsid w:val="00552600"/>
    <w:rsid w:val="0056751B"/>
    <w:rsid w:val="00595023"/>
    <w:rsid w:val="005A6C74"/>
    <w:rsid w:val="005B4C72"/>
    <w:rsid w:val="005B6FB0"/>
    <w:rsid w:val="005D4CA4"/>
    <w:rsid w:val="005D7925"/>
    <w:rsid w:val="005F51F2"/>
    <w:rsid w:val="0062191D"/>
    <w:rsid w:val="0062474A"/>
    <w:rsid w:val="00626264"/>
    <w:rsid w:val="006308C7"/>
    <w:rsid w:val="00631C8E"/>
    <w:rsid w:val="00641A44"/>
    <w:rsid w:val="00645A0C"/>
    <w:rsid w:val="00654D5A"/>
    <w:rsid w:val="00661F4F"/>
    <w:rsid w:val="00663CFB"/>
    <w:rsid w:val="006700B0"/>
    <w:rsid w:val="00672F7B"/>
    <w:rsid w:val="006744B9"/>
    <w:rsid w:val="00683780"/>
    <w:rsid w:val="0068432F"/>
    <w:rsid w:val="00695625"/>
    <w:rsid w:val="006A41EE"/>
    <w:rsid w:val="006A4895"/>
    <w:rsid w:val="006A4D2F"/>
    <w:rsid w:val="006B495A"/>
    <w:rsid w:val="006B51B8"/>
    <w:rsid w:val="006B6D42"/>
    <w:rsid w:val="006C013C"/>
    <w:rsid w:val="006D52E1"/>
    <w:rsid w:val="006E3B58"/>
    <w:rsid w:val="007125EF"/>
    <w:rsid w:val="0071402F"/>
    <w:rsid w:val="00721225"/>
    <w:rsid w:val="007335C6"/>
    <w:rsid w:val="0073664A"/>
    <w:rsid w:val="00751B5E"/>
    <w:rsid w:val="00754ED6"/>
    <w:rsid w:val="0076679B"/>
    <w:rsid w:val="00774275"/>
    <w:rsid w:val="00784BC2"/>
    <w:rsid w:val="00790302"/>
    <w:rsid w:val="007913E9"/>
    <w:rsid w:val="007E5B2C"/>
    <w:rsid w:val="008020A5"/>
    <w:rsid w:val="008111DE"/>
    <w:rsid w:val="008149B1"/>
    <w:rsid w:val="008165AD"/>
    <w:rsid w:val="00816612"/>
    <w:rsid w:val="00825773"/>
    <w:rsid w:val="00825B79"/>
    <w:rsid w:val="00826F11"/>
    <w:rsid w:val="00827BE3"/>
    <w:rsid w:val="00832CE0"/>
    <w:rsid w:val="0083382E"/>
    <w:rsid w:val="0085598E"/>
    <w:rsid w:val="008630EA"/>
    <w:rsid w:val="00877282"/>
    <w:rsid w:val="008A350E"/>
    <w:rsid w:val="008A6E88"/>
    <w:rsid w:val="008B4AA0"/>
    <w:rsid w:val="008C168F"/>
    <w:rsid w:val="008C26CE"/>
    <w:rsid w:val="00901675"/>
    <w:rsid w:val="00901E60"/>
    <w:rsid w:val="00916E94"/>
    <w:rsid w:val="009270B9"/>
    <w:rsid w:val="00935AF2"/>
    <w:rsid w:val="00983416"/>
    <w:rsid w:val="009B5DCE"/>
    <w:rsid w:val="009B696D"/>
    <w:rsid w:val="00A201C0"/>
    <w:rsid w:val="00A246A8"/>
    <w:rsid w:val="00A26FD3"/>
    <w:rsid w:val="00A41C23"/>
    <w:rsid w:val="00A5145E"/>
    <w:rsid w:val="00A67402"/>
    <w:rsid w:val="00A7048A"/>
    <w:rsid w:val="00A726C4"/>
    <w:rsid w:val="00A822CA"/>
    <w:rsid w:val="00A84C2A"/>
    <w:rsid w:val="00A902E8"/>
    <w:rsid w:val="00AA4011"/>
    <w:rsid w:val="00AD3312"/>
    <w:rsid w:val="00AD6600"/>
    <w:rsid w:val="00AE0900"/>
    <w:rsid w:val="00AF1D42"/>
    <w:rsid w:val="00AF5800"/>
    <w:rsid w:val="00B00171"/>
    <w:rsid w:val="00B03361"/>
    <w:rsid w:val="00B13041"/>
    <w:rsid w:val="00B34845"/>
    <w:rsid w:val="00B35380"/>
    <w:rsid w:val="00B451F0"/>
    <w:rsid w:val="00B45CF2"/>
    <w:rsid w:val="00B5241C"/>
    <w:rsid w:val="00B55CD3"/>
    <w:rsid w:val="00B56E98"/>
    <w:rsid w:val="00B71DC1"/>
    <w:rsid w:val="00B84E56"/>
    <w:rsid w:val="00B97113"/>
    <w:rsid w:val="00BB2331"/>
    <w:rsid w:val="00BC21D3"/>
    <w:rsid w:val="00BE5610"/>
    <w:rsid w:val="00BF2510"/>
    <w:rsid w:val="00C011D5"/>
    <w:rsid w:val="00C0624C"/>
    <w:rsid w:val="00C062C0"/>
    <w:rsid w:val="00C07C24"/>
    <w:rsid w:val="00C36001"/>
    <w:rsid w:val="00C3617F"/>
    <w:rsid w:val="00C36D30"/>
    <w:rsid w:val="00C41B31"/>
    <w:rsid w:val="00C42A41"/>
    <w:rsid w:val="00C63FB1"/>
    <w:rsid w:val="00C71EF8"/>
    <w:rsid w:val="00C917F2"/>
    <w:rsid w:val="00CA22AF"/>
    <w:rsid w:val="00CA3026"/>
    <w:rsid w:val="00CA6007"/>
    <w:rsid w:val="00CA6294"/>
    <w:rsid w:val="00CB6EB8"/>
    <w:rsid w:val="00CC4FE2"/>
    <w:rsid w:val="00CD43F1"/>
    <w:rsid w:val="00CD758B"/>
    <w:rsid w:val="00CE6DBA"/>
    <w:rsid w:val="00CF1AA4"/>
    <w:rsid w:val="00CF66D8"/>
    <w:rsid w:val="00D00B3A"/>
    <w:rsid w:val="00D0403B"/>
    <w:rsid w:val="00D108C7"/>
    <w:rsid w:val="00D12988"/>
    <w:rsid w:val="00D30B4E"/>
    <w:rsid w:val="00D33FD2"/>
    <w:rsid w:val="00D44D58"/>
    <w:rsid w:val="00D47789"/>
    <w:rsid w:val="00D53F2F"/>
    <w:rsid w:val="00D662D4"/>
    <w:rsid w:val="00D70105"/>
    <w:rsid w:val="00D7596F"/>
    <w:rsid w:val="00D7659F"/>
    <w:rsid w:val="00D77A03"/>
    <w:rsid w:val="00D95741"/>
    <w:rsid w:val="00D96F9A"/>
    <w:rsid w:val="00DA0FCF"/>
    <w:rsid w:val="00DA1B86"/>
    <w:rsid w:val="00DA5D88"/>
    <w:rsid w:val="00DB145D"/>
    <w:rsid w:val="00DD2A47"/>
    <w:rsid w:val="00DD65A6"/>
    <w:rsid w:val="00E21E65"/>
    <w:rsid w:val="00E256DF"/>
    <w:rsid w:val="00E26DE6"/>
    <w:rsid w:val="00E35D9D"/>
    <w:rsid w:val="00E37996"/>
    <w:rsid w:val="00E50A27"/>
    <w:rsid w:val="00E53CF7"/>
    <w:rsid w:val="00E8562C"/>
    <w:rsid w:val="00E864B6"/>
    <w:rsid w:val="00E91318"/>
    <w:rsid w:val="00E941B2"/>
    <w:rsid w:val="00EA52A5"/>
    <w:rsid w:val="00EA596A"/>
    <w:rsid w:val="00EB3A93"/>
    <w:rsid w:val="00EB41E4"/>
    <w:rsid w:val="00EB4CE3"/>
    <w:rsid w:val="00ED3FED"/>
    <w:rsid w:val="00ED73C7"/>
    <w:rsid w:val="00EE6798"/>
    <w:rsid w:val="00EE7659"/>
    <w:rsid w:val="00EF436B"/>
    <w:rsid w:val="00EF78EC"/>
    <w:rsid w:val="00F00561"/>
    <w:rsid w:val="00F167E4"/>
    <w:rsid w:val="00F21B68"/>
    <w:rsid w:val="00F27C98"/>
    <w:rsid w:val="00F330AF"/>
    <w:rsid w:val="00F44443"/>
    <w:rsid w:val="00F469E5"/>
    <w:rsid w:val="00F53F41"/>
    <w:rsid w:val="00F541D0"/>
    <w:rsid w:val="00F700D9"/>
    <w:rsid w:val="00F90612"/>
    <w:rsid w:val="00F93D9C"/>
    <w:rsid w:val="00F96ED4"/>
    <w:rsid w:val="00FB741F"/>
    <w:rsid w:val="00FC239F"/>
    <w:rsid w:val="00FE5608"/>
    <w:rsid w:val="00FF6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610"/>
    <w:rPr>
      <w:rFonts w:ascii="Times New Roman" w:hAnsi="Times New Roman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03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3B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3B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3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3B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3B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3B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3B0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3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3B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3B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603B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3B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3B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3B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3B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3B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1603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603B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3B0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1603B0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1603B0"/>
    <w:rPr>
      <w:b/>
      <w:bCs/>
    </w:rPr>
  </w:style>
  <w:style w:type="character" w:styleId="Emphasis">
    <w:name w:val="Emphasis"/>
    <w:basedOn w:val="DefaultParagraphFont"/>
    <w:uiPriority w:val="20"/>
    <w:qFormat/>
    <w:rsid w:val="001603B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1603B0"/>
    <w:rPr>
      <w:szCs w:val="32"/>
    </w:rPr>
  </w:style>
  <w:style w:type="paragraph" w:styleId="ListParagraph">
    <w:name w:val="List Paragraph"/>
    <w:basedOn w:val="Normal"/>
    <w:uiPriority w:val="34"/>
    <w:qFormat/>
    <w:rsid w:val="001603B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03B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603B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3B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3B0"/>
    <w:rPr>
      <w:b/>
      <w:i/>
      <w:sz w:val="24"/>
    </w:rPr>
  </w:style>
  <w:style w:type="character" w:styleId="SubtleEmphasis">
    <w:name w:val="Subtle Emphasis"/>
    <w:uiPriority w:val="19"/>
    <w:qFormat/>
    <w:rsid w:val="001603B0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1603B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603B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603B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603B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03B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70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00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B70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700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0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65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D2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5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5A3"/>
    <w:rPr>
      <w:rFonts w:ascii="Times New Roman" w:hAnsi="Times New Roman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5A3"/>
    <w:rPr>
      <w:b/>
      <w:bCs/>
    </w:rPr>
  </w:style>
  <w:style w:type="paragraph" w:styleId="Revision">
    <w:name w:val="Revision"/>
    <w:hidden/>
    <w:uiPriority w:val="99"/>
    <w:semiHidden/>
    <w:rsid w:val="003D25A3"/>
    <w:rPr>
      <w:rFonts w:ascii="Times New Roman" w:hAnsi="Times New Roman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4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6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2009-06-30T07:00:00+00:00</OpenedDate>
    <Date1 xmlns="dc463f71-b30c-4ab2-9473-d307f9d35888">2009-07-30T07:00:00+00:00</Date1>
    <IsDocumentOrder xmlns="dc463f71-b30c-4ab2-9473-d307f9d35888" xsi:nil="true"/>
    <IsHighlyConfidential xmlns="dc463f71-b30c-4ab2-9473-d307f9d35888">false</IsHighlyConfidential>
    <CaseCompanyNames xmlns="dc463f71-b30c-4ab2-9473-d307f9d35888">Burton Water Company, Inc.</CaseCompanyNames>
    <DocketNumber xmlns="dc463f71-b30c-4ab2-9473-d307f9d35888">091050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D165A2267771E459A66E4B4604939C6" ma:contentTypeVersion="131" ma:contentTypeDescription="" ma:contentTypeScope="" ma:versionID="1bfaead33acad7df695556880e645da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B89C35-4DB2-4B11-863A-E32F1BC314F6}"/>
</file>

<file path=customXml/itemProps2.xml><?xml version="1.0" encoding="utf-8"?>
<ds:datastoreItem xmlns:ds="http://schemas.openxmlformats.org/officeDocument/2006/customXml" ds:itemID="{69A2B954-FF01-4AC3-A890-9CD4ADD13D9B}"/>
</file>

<file path=customXml/itemProps3.xml><?xml version="1.0" encoding="utf-8"?>
<ds:datastoreItem xmlns:ds="http://schemas.openxmlformats.org/officeDocument/2006/customXml" ds:itemID="{45227816-F000-4174-9D2D-0767F5EBBD00}"/>
</file>

<file path=customXml/itemProps4.xml><?xml version="1.0" encoding="utf-8"?>
<ds:datastoreItem xmlns:ds="http://schemas.openxmlformats.org/officeDocument/2006/customXml" ds:itemID="{5A85F550-9E8C-4CAB-AE54-3EC9CF428912}"/>
</file>

<file path=customXml/itemProps5.xml><?xml version="1.0" encoding="utf-8"?>
<ds:datastoreItem xmlns:ds="http://schemas.openxmlformats.org/officeDocument/2006/customXml" ds:itemID="{576FA4C4-3678-4924-ABF6-F2E34105D88F}"/>
</file>

<file path=customXml/itemProps6.xml><?xml version="1.0" encoding="utf-8"?>
<ds:datastoreItem xmlns:ds="http://schemas.openxmlformats.org/officeDocument/2006/customXml" ds:itemID="{75FC370A-7276-4922-80E6-CBBEEBAAB7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Rainier View Treatment Surcharge reduction </vt:lpstr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Burton Water Company Ancillary Charges</dc:title>
  <dc:subject/>
  <dc:creator>JWard</dc:creator>
  <cp:keywords/>
  <dc:description/>
  <cp:lastModifiedBy>Lisa Wyse, Records Manager</cp:lastModifiedBy>
  <cp:revision>2</cp:revision>
  <cp:lastPrinted>2009-07-27T17:34:00Z</cp:lastPrinted>
  <dcterms:created xsi:type="dcterms:W3CDTF">2009-07-28T14:45:00Z</dcterms:created>
  <dcterms:modified xsi:type="dcterms:W3CDTF">2009-07-28T14:45:00Z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0x0101006E56B4D1795A2E4DB2F0B01679ED314A00FD165A2267771E459A66E4B4604939C6</vt:lpwstr>
  </property>
  <property fmtid="{D5CDD505-2E9C-101B-9397-08002B2CF9AE}" pid="3" name="Item ID">
    <vt:lpwstr>9</vt:lpwstr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docset_NoMedatataSyncRequired">
    <vt:lpwstr>False</vt:lpwstr>
  </property>
</Properties>
</file>