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C92D5C">
        <w:rPr>
          <w:sz w:val="24"/>
        </w:rPr>
        <w:t>Ju</w:t>
      </w:r>
      <w:r w:rsidR="00A3406B">
        <w:rPr>
          <w:sz w:val="24"/>
        </w:rPr>
        <w:t>ne</w:t>
      </w:r>
      <w:r w:rsidR="00C92D5C">
        <w:rPr>
          <w:sz w:val="24"/>
        </w:rPr>
        <w:t xml:space="preserve"> </w:t>
      </w:r>
      <w:r w:rsidR="00A3406B">
        <w:rPr>
          <w:sz w:val="24"/>
        </w:rPr>
        <w:t>25</w:t>
      </w:r>
      <w:r>
        <w:rPr>
          <w:sz w:val="24"/>
        </w:rPr>
        <w:t>, 200</w:t>
      </w:r>
      <w:r w:rsidR="00A3406B">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B12018">
        <w:rPr>
          <w:sz w:val="24"/>
        </w:rPr>
        <w:t>A</w:t>
      </w:r>
      <w:r w:rsidR="005F3D6D">
        <w:rPr>
          <w:sz w:val="24"/>
        </w:rPr>
        <w:t>2</w:t>
      </w:r>
      <w:r w:rsidRPr="0042096A">
        <w:rPr>
          <w:sz w:val="24"/>
        </w:rPr>
        <w:tab/>
      </w:r>
      <w:r w:rsidRPr="0042096A">
        <w:rPr>
          <w:sz w:val="24"/>
        </w:rPr>
        <w:tab/>
      </w:r>
      <w:r w:rsidRPr="0042096A">
        <w:rPr>
          <w:sz w:val="24"/>
        </w:rPr>
        <w:tab/>
      </w:r>
      <w:r w:rsidRPr="0042096A">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B12018">
        <w:rPr>
          <w:b/>
          <w:bCs/>
          <w:sz w:val="24"/>
        </w:rPr>
        <w:t>UW</w:t>
      </w:r>
      <w:r w:rsidRPr="0042096A">
        <w:rPr>
          <w:b/>
          <w:bCs/>
          <w:sz w:val="24"/>
        </w:rPr>
        <w:t>-</w:t>
      </w:r>
      <w:r w:rsidR="00A3406B">
        <w:rPr>
          <w:b/>
          <w:bCs/>
          <w:sz w:val="24"/>
        </w:rPr>
        <w:t>090</w:t>
      </w:r>
      <w:r w:rsidR="009D09DE">
        <w:rPr>
          <w:b/>
          <w:bCs/>
          <w:sz w:val="24"/>
        </w:rPr>
        <w:t>733</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9D09DE">
        <w:rPr>
          <w:sz w:val="24"/>
        </w:rPr>
        <w:t>Washington Water Service Company</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774E5D">
        <w:rPr>
          <w:sz w:val="24"/>
        </w:rPr>
        <w:t>Chris Mickelson</w:t>
      </w:r>
      <w:r w:rsidRPr="0042096A">
        <w:rPr>
          <w:sz w:val="24"/>
        </w:rPr>
        <w:t>, Regulatory Analyst</w:t>
      </w: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3406B">
        <w:rPr>
          <w:sz w:val="24"/>
        </w:rPr>
        <w:tab/>
      </w:r>
      <w:r w:rsidRPr="00A3406B">
        <w:rPr>
          <w:sz w:val="24"/>
        </w:rPr>
        <w:tab/>
      </w:r>
      <w:r w:rsidRPr="00A3406B">
        <w:rPr>
          <w:sz w:val="24"/>
        </w:rPr>
        <w:tab/>
        <w:t xml:space="preserve">Dennis Shutler, </w:t>
      </w:r>
      <w:r w:rsidR="00F061F8" w:rsidRPr="00A3406B">
        <w:rPr>
          <w:sz w:val="24"/>
        </w:rPr>
        <w:t xml:space="preserve">Consumer </w:t>
      </w:r>
      <w:r w:rsidR="00A3406B" w:rsidRPr="00A3406B">
        <w:rPr>
          <w:sz w:val="24"/>
        </w:rPr>
        <w:t xml:space="preserve">Protection Staff </w:t>
      </w:r>
    </w:p>
    <w:p w:rsidR="00A56E62" w:rsidRPr="00A3406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Pr="001C2403" w:rsidRDefault="002D3C9C" w:rsidP="0074693E">
      <w:pPr>
        <w:pStyle w:val="BodyText"/>
        <w:rPr>
          <w:rFonts w:ascii="Times New Roman" w:hAnsi="Times New Roman"/>
          <w:color w:val="000000"/>
        </w:rPr>
      </w:pPr>
      <w:r w:rsidRPr="007C0E67">
        <w:rPr>
          <w:rFonts w:ascii="Times New Roman" w:hAnsi="Times New Roman"/>
          <w:color w:val="000000"/>
        </w:rPr>
        <w:t xml:space="preserve">Issue a Complaint and Order Suspending the Tariff Revisions filed by </w:t>
      </w:r>
      <w:r w:rsidR="009D09DE">
        <w:rPr>
          <w:rFonts w:ascii="Times New Roman" w:hAnsi="Times New Roman"/>
          <w:color w:val="000000"/>
        </w:rPr>
        <w:t>Washington Water Service Company</w:t>
      </w:r>
      <w:r w:rsidR="001C2403">
        <w:rPr>
          <w:rFonts w:ascii="Times New Roman" w:hAnsi="Times New Roman"/>
          <w:color w:val="000000"/>
        </w:rPr>
        <w:t>.</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562E7"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 xml:space="preserve">On </w:t>
      </w:r>
      <w:r w:rsidR="009D09DE">
        <w:rPr>
          <w:sz w:val="24"/>
        </w:rPr>
        <w:t>May 12</w:t>
      </w:r>
      <w:r w:rsidR="001C2403">
        <w:rPr>
          <w:sz w:val="24"/>
        </w:rPr>
        <w:t>, 2009</w:t>
      </w:r>
      <w:r>
        <w:rPr>
          <w:sz w:val="24"/>
        </w:rPr>
        <w:t xml:space="preserve">, </w:t>
      </w:r>
      <w:r w:rsidR="009D09DE">
        <w:rPr>
          <w:sz w:val="24"/>
        </w:rPr>
        <w:t xml:space="preserve">Washington Water Service Company, </w:t>
      </w:r>
      <w:r w:rsidRPr="00B34AE0">
        <w:rPr>
          <w:sz w:val="24"/>
        </w:rPr>
        <w:t>(</w:t>
      </w:r>
      <w:r w:rsidR="009D09DE">
        <w:rPr>
          <w:sz w:val="24"/>
        </w:rPr>
        <w:t>Washington Water</w:t>
      </w:r>
      <w:r>
        <w:rPr>
          <w:sz w:val="24"/>
        </w:rPr>
        <w:t xml:space="preserve"> </w:t>
      </w:r>
      <w:r w:rsidRPr="00B34AE0">
        <w:rPr>
          <w:sz w:val="24"/>
        </w:rPr>
        <w:t>or company)</w:t>
      </w:r>
      <w:r>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9D09DE">
        <w:rPr>
          <w:sz w:val="24"/>
        </w:rPr>
        <w:t>1,874,923</w:t>
      </w:r>
      <w:r w:rsidRPr="00B34AE0">
        <w:rPr>
          <w:sz w:val="24"/>
        </w:rPr>
        <w:t xml:space="preserve"> (</w:t>
      </w:r>
      <w:r w:rsidR="009D09DE">
        <w:rPr>
          <w:sz w:val="24"/>
        </w:rPr>
        <w:t>25.7</w:t>
      </w:r>
      <w:r w:rsidRPr="00B34AE0">
        <w:rPr>
          <w:sz w:val="24"/>
        </w:rPr>
        <w:t xml:space="preserve"> percent) in additional </w:t>
      </w:r>
      <w:r w:rsidR="005F3D6D">
        <w:rPr>
          <w:sz w:val="24"/>
        </w:rPr>
        <w:t xml:space="preserve">annual </w:t>
      </w:r>
      <w:r w:rsidRPr="00B34AE0">
        <w:rPr>
          <w:sz w:val="24"/>
        </w:rPr>
        <w:t xml:space="preserve">revenue. </w:t>
      </w:r>
      <w:r>
        <w:rPr>
          <w:sz w:val="24"/>
        </w:rPr>
        <w:t xml:space="preserve">The company </w:t>
      </w:r>
      <w:r w:rsidRPr="00B34AE0">
        <w:rPr>
          <w:sz w:val="24"/>
        </w:rPr>
        <w:t>serves</w:t>
      </w:r>
      <w:r>
        <w:rPr>
          <w:sz w:val="24"/>
        </w:rPr>
        <w:t xml:space="preserve"> </w:t>
      </w:r>
      <w:r w:rsidR="009D09DE">
        <w:rPr>
          <w:sz w:val="24"/>
        </w:rPr>
        <w:t>about 1</w:t>
      </w:r>
      <w:r w:rsidR="0042497A">
        <w:rPr>
          <w:sz w:val="24"/>
        </w:rPr>
        <w:t>5</w:t>
      </w:r>
      <w:r w:rsidR="009D09DE">
        <w:rPr>
          <w:sz w:val="24"/>
        </w:rPr>
        <w:t>,</w:t>
      </w:r>
      <w:r w:rsidR="0042497A">
        <w:rPr>
          <w:sz w:val="24"/>
        </w:rPr>
        <w:t>766</w:t>
      </w:r>
      <w:r w:rsidR="009D09DE">
        <w:rPr>
          <w:sz w:val="24"/>
        </w:rPr>
        <w:t xml:space="preserve"> </w:t>
      </w:r>
      <w:r w:rsidRPr="00B34AE0">
        <w:rPr>
          <w:sz w:val="24"/>
        </w:rPr>
        <w:t>customers</w:t>
      </w:r>
      <w:r w:rsidR="009D09DE">
        <w:rPr>
          <w:sz w:val="24"/>
        </w:rPr>
        <w:t xml:space="preserve"> on 172 water systems. The systems are located in eight counties in western Washington: </w:t>
      </w:r>
      <w:r>
        <w:rPr>
          <w:sz w:val="24"/>
        </w:rPr>
        <w:t xml:space="preserve">Clallam, </w:t>
      </w:r>
      <w:r w:rsidR="00DF5503">
        <w:rPr>
          <w:sz w:val="24"/>
        </w:rPr>
        <w:t xml:space="preserve">Jefferson, Pierce, San Juan, Thurston, </w:t>
      </w:r>
      <w:r>
        <w:rPr>
          <w:sz w:val="24"/>
        </w:rPr>
        <w:t>Kitsap</w:t>
      </w:r>
      <w:r w:rsidR="00DF5503">
        <w:rPr>
          <w:sz w:val="24"/>
        </w:rPr>
        <w:t>, King</w:t>
      </w:r>
      <w:r>
        <w:rPr>
          <w:sz w:val="24"/>
        </w:rPr>
        <w:t xml:space="preserve"> and Mason c</w:t>
      </w:r>
      <w:r w:rsidRPr="00B34AE0">
        <w:rPr>
          <w:sz w:val="24"/>
        </w:rPr>
        <w:t>ount</w:t>
      </w:r>
      <w:r>
        <w:rPr>
          <w:sz w:val="24"/>
        </w:rPr>
        <w:t>ies</w:t>
      </w:r>
      <w:r w:rsidRPr="00B34AE0">
        <w:rPr>
          <w:sz w:val="24"/>
        </w:rPr>
        <w:t>.</w:t>
      </w:r>
      <w:r w:rsidR="00C55373">
        <w:rPr>
          <w:sz w:val="24"/>
        </w:rPr>
        <w:t xml:space="preserve"> </w:t>
      </w:r>
    </w:p>
    <w:p w:rsidR="001562E7" w:rsidRDefault="001562E7"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5373" w:rsidRDefault="00C92D5C" w:rsidP="005B2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The</w:t>
      </w:r>
      <w:r>
        <w:rPr>
          <w:sz w:val="24"/>
        </w:rPr>
        <w:t xml:space="preserve"> proposed rates are prompted by increases in </w:t>
      </w:r>
      <w:r w:rsidR="00370D83">
        <w:rPr>
          <w:sz w:val="24"/>
        </w:rPr>
        <w:t>operating</w:t>
      </w:r>
      <w:r w:rsidR="00493A07">
        <w:rPr>
          <w:sz w:val="24"/>
        </w:rPr>
        <w:t xml:space="preserve"> and administrative cost </w:t>
      </w:r>
      <w:r w:rsidR="00F4205F">
        <w:rPr>
          <w:sz w:val="24"/>
        </w:rPr>
        <w:t>such as payroll</w:t>
      </w:r>
      <w:r w:rsidR="001562E7">
        <w:rPr>
          <w:sz w:val="24"/>
        </w:rPr>
        <w:t xml:space="preserve"> and benefits,</w:t>
      </w:r>
      <w:r w:rsidR="00F4205F">
        <w:rPr>
          <w:sz w:val="24"/>
        </w:rPr>
        <w:t xml:space="preserve"> insurance</w:t>
      </w:r>
      <w:r w:rsidR="00DF5503">
        <w:rPr>
          <w:sz w:val="24"/>
        </w:rPr>
        <w:t>, property taxes</w:t>
      </w:r>
      <w:r w:rsidR="00F4205F">
        <w:rPr>
          <w:sz w:val="24"/>
        </w:rPr>
        <w:t xml:space="preserve"> and </w:t>
      </w:r>
      <w:r w:rsidR="004F3381">
        <w:rPr>
          <w:sz w:val="24"/>
        </w:rPr>
        <w:t>water</w:t>
      </w:r>
      <w:r w:rsidR="00EA36D3">
        <w:rPr>
          <w:sz w:val="24"/>
        </w:rPr>
        <w:t xml:space="preserve"> </w:t>
      </w:r>
      <w:r w:rsidR="00DF5503">
        <w:rPr>
          <w:sz w:val="24"/>
        </w:rPr>
        <w:t xml:space="preserve">testing </w:t>
      </w:r>
      <w:r w:rsidR="00F4205F">
        <w:rPr>
          <w:sz w:val="24"/>
        </w:rPr>
        <w:t xml:space="preserve">fees </w:t>
      </w:r>
      <w:r w:rsidR="00493A07">
        <w:rPr>
          <w:sz w:val="24"/>
        </w:rPr>
        <w:t>since the last rate increase</w:t>
      </w:r>
      <w:r w:rsidR="00370D83">
        <w:rPr>
          <w:sz w:val="24"/>
        </w:rPr>
        <w:t>.</w:t>
      </w:r>
      <w:r w:rsidR="00665795">
        <w:rPr>
          <w:sz w:val="24"/>
        </w:rPr>
        <w:t xml:space="preserve"> </w:t>
      </w:r>
      <w:r w:rsidR="00C55373" w:rsidRPr="00C55373">
        <w:rPr>
          <w:sz w:val="24"/>
        </w:rPr>
        <w:t>The company’s last general rate increase became effective on September 28, 2006.</w:t>
      </w:r>
    </w:p>
    <w:p w:rsidR="00C55373" w:rsidRDefault="00C55373" w:rsidP="005B2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E73FF" w:rsidRDefault="00665795" w:rsidP="0047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5795">
        <w:rPr>
          <w:sz w:val="24"/>
        </w:rPr>
        <w:t>The company’s filing brings all of its newly acquired systems under the same rate structure</w:t>
      </w:r>
      <w:r w:rsidR="00F23F3C">
        <w:rPr>
          <w:sz w:val="24"/>
        </w:rPr>
        <w:t xml:space="preserve"> (single-tariff pricing)</w:t>
      </w:r>
      <w:r w:rsidR="00C55373">
        <w:rPr>
          <w:sz w:val="24"/>
        </w:rPr>
        <w:t xml:space="preserve">; except for water systems operating on Orcas Island, which will have the same rate structure plus an </w:t>
      </w:r>
      <w:r w:rsidR="00921716">
        <w:rPr>
          <w:sz w:val="24"/>
        </w:rPr>
        <w:t>“I</w:t>
      </w:r>
      <w:r w:rsidR="00C55373">
        <w:rPr>
          <w:sz w:val="24"/>
        </w:rPr>
        <w:t xml:space="preserve">sland </w:t>
      </w:r>
      <w:r w:rsidR="00921716">
        <w:rPr>
          <w:sz w:val="24"/>
        </w:rPr>
        <w:t>F</w:t>
      </w:r>
      <w:r w:rsidR="00C55373">
        <w:rPr>
          <w:sz w:val="24"/>
        </w:rPr>
        <w:t>ee</w:t>
      </w:r>
      <w:r w:rsidR="00921716">
        <w:rPr>
          <w:sz w:val="24"/>
        </w:rPr>
        <w:t>”</w:t>
      </w:r>
      <w:r w:rsidR="00C55373">
        <w:rPr>
          <w:sz w:val="24"/>
        </w:rPr>
        <w:t>.</w:t>
      </w:r>
      <w:r w:rsidR="002176AB">
        <w:rPr>
          <w:sz w:val="24"/>
        </w:rPr>
        <w:t xml:space="preserve"> </w:t>
      </w:r>
      <w:r w:rsidR="009E73FF" w:rsidRPr="009E73FF">
        <w:rPr>
          <w:sz w:val="24"/>
        </w:rPr>
        <w:t>The</w:t>
      </w:r>
      <w:r w:rsidR="009E73FF">
        <w:rPr>
          <w:sz w:val="24"/>
        </w:rPr>
        <w:t xml:space="preserve"> company is seeking to add a new rate</w:t>
      </w:r>
      <w:r w:rsidR="00921716">
        <w:rPr>
          <w:sz w:val="24"/>
        </w:rPr>
        <w:t xml:space="preserve"> that will </w:t>
      </w:r>
      <w:r w:rsidR="009E73FF" w:rsidRPr="009E73FF">
        <w:rPr>
          <w:sz w:val="24"/>
        </w:rPr>
        <w:t>appl</w:t>
      </w:r>
      <w:r w:rsidR="00921716">
        <w:rPr>
          <w:sz w:val="24"/>
        </w:rPr>
        <w:t xml:space="preserve">y to </w:t>
      </w:r>
      <w:r w:rsidR="009E73FF" w:rsidRPr="009E73FF">
        <w:rPr>
          <w:sz w:val="24"/>
        </w:rPr>
        <w:t>only water systems operating on Orcas Island to offset higher operating costs associated with</w:t>
      </w:r>
      <w:r w:rsidR="002176AB">
        <w:rPr>
          <w:sz w:val="24"/>
        </w:rPr>
        <w:t xml:space="preserve"> </w:t>
      </w:r>
      <w:r w:rsidR="00921716">
        <w:rPr>
          <w:sz w:val="24"/>
        </w:rPr>
        <w:t>transportation</w:t>
      </w:r>
      <w:r w:rsidR="002176AB">
        <w:rPr>
          <w:sz w:val="24"/>
        </w:rPr>
        <w:t>,</w:t>
      </w:r>
      <w:r w:rsidR="009E73FF" w:rsidRPr="009E73FF">
        <w:rPr>
          <w:sz w:val="24"/>
        </w:rPr>
        <w:t xml:space="preserve"> the higher chemical cost for the water treatment plant</w:t>
      </w:r>
      <w:r w:rsidR="002176AB">
        <w:rPr>
          <w:sz w:val="24"/>
        </w:rPr>
        <w:t>,</w:t>
      </w:r>
      <w:r w:rsidR="009E73FF" w:rsidRPr="009E73FF">
        <w:rPr>
          <w:sz w:val="24"/>
        </w:rPr>
        <w:t xml:space="preserve"> and the higher cost of labor required to have certified staff available 24 hours a day (7 days a week) in compliance with Washington State Department of Health (DOH) regulations.</w:t>
      </w:r>
    </w:p>
    <w:p w:rsidR="009E73FF" w:rsidRPr="005B2182" w:rsidRDefault="009E73FF" w:rsidP="005B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F701ED" w:rsidRDefault="00687E99"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7E99">
        <w:rPr>
          <w:sz w:val="24"/>
        </w:rPr>
        <w:t>The company is</w:t>
      </w:r>
      <w:r w:rsidR="00F701ED">
        <w:rPr>
          <w:sz w:val="24"/>
        </w:rPr>
        <w:t xml:space="preserve"> seeking to add </w:t>
      </w:r>
      <w:r w:rsidR="009E73FF">
        <w:rPr>
          <w:sz w:val="24"/>
        </w:rPr>
        <w:t>an</w:t>
      </w:r>
      <w:r w:rsidR="00F701ED">
        <w:rPr>
          <w:sz w:val="24"/>
        </w:rPr>
        <w:t xml:space="preserve"> ancillary charge, which </w:t>
      </w:r>
      <w:r w:rsidR="009E73FF">
        <w:rPr>
          <w:sz w:val="24"/>
        </w:rPr>
        <w:t>is a</w:t>
      </w:r>
      <w:r w:rsidR="00F701ED">
        <w:rPr>
          <w:sz w:val="24"/>
        </w:rPr>
        <w:t xml:space="preserve"> credit card convenience fee.</w:t>
      </w:r>
      <w:r w:rsidR="009E73FF">
        <w:rPr>
          <w:sz w:val="24"/>
        </w:rPr>
        <w:t xml:space="preserve"> </w:t>
      </w:r>
      <w:r w:rsidR="00F701ED">
        <w:rPr>
          <w:sz w:val="24"/>
        </w:rPr>
        <w:t>The credit card convenience fee is for credit card transactions for telephone payments; however, the company will continue to offer its auto-payment processing for free.</w:t>
      </w:r>
    </w:p>
    <w:p w:rsidR="00F701ED" w:rsidRDefault="00F701ED"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3C9C" w:rsidRPr="002D3C9C" w:rsidRDefault="002D3C9C" w:rsidP="002D3C9C">
      <w:pPr>
        <w:pStyle w:val="BodyText"/>
        <w:widowControl/>
        <w:tabs>
          <w:tab w:val="left" w:pos="0"/>
        </w:tabs>
        <w:rPr>
          <w:rFonts w:ascii="Times New Roman" w:hAnsi="Times New Roman"/>
          <w:b/>
          <w:u w:val="single"/>
        </w:rPr>
      </w:pPr>
      <w:r w:rsidRPr="002D3C9C">
        <w:rPr>
          <w:rFonts w:ascii="Times New Roman" w:hAnsi="Times New Roman"/>
          <w:b/>
          <w:u w:val="single"/>
        </w:rPr>
        <w:t>Customer Comments</w:t>
      </w:r>
    </w:p>
    <w:p w:rsidR="002D3C9C" w:rsidRPr="00881EA3" w:rsidRDefault="00841334" w:rsidP="002D3C9C">
      <w:pPr>
        <w:rPr>
          <w:sz w:val="24"/>
        </w:rPr>
      </w:pPr>
      <w:r>
        <w:rPr>
          <w:sz w:val="24"/>
        </w:rPr>
        <w:t xml:space="preserve"> </w:t>
      </w:r>
    </w:p>
    <w:p w:rsidR="00763A89" w:rsidRPr="00763A89" w:rsidRDefault="00C92D5C" w:rsidP="00763A89">
      <w:pPr>
        <w:pStyle w:val="BodyText"/>
        <w:widowControl/>
        <w:tabs>
          <w:tab w:val="left" w:pos="0"/>
        </w:tabs>
        <w:rPr>
          <w:rFonts w:ascii="Times New Roman" w:hAnsi="Times New Roman"/>
        </w:rPr>
      </w:pPr>
      <w:r w:rsidRPr="00B21B46">
        <w:rPr>
          <w:rFonts w:ascii="Times New Roman" w:hAnsi="Times New Roman"/>
        </w:rPr>
        <w:t>On Ma</w:t>
      </w:r>
      <w:r w:rsidR="00F4205F">
        <w:rPr>
          <w:rFonts w:ascii="Times New Roman" w:hAnsi="Times New Roman"/>
        </w:rPr>
        <w:t>y</w:t>
      </w:r>
      <w:r w:rsidRPr="00B21B46">
        <w:rPr>
          <w:rFonts w:ascii="Times New Roman" w:hAnsi="Times New Roman"/>
        </w:rPr>
        <w:t xml:space="preserve"> </w:t>
      </w:r>
      <w:r w:rsidR="00DF5503">
        <w:rPr>
          <w:rFonts w:ascii="Times New Roman" w:hAnsi="Times New Roman"/>
        </w:rPr>
        <w:t>1</w:t>
      </w:r>
      <w:r w:rsidR="00F4205F">
        <w:rPr>
          <w:rFonts w:ascii="Times New Roman" w:hAnsi="Times New Roman"/>
        </w:rPr>
        <w:t>2</w:t>
      </w:r>
      <w:r w:rsidRPr="00B21B46">
        <w:rPr>
          <w:rFonts w:ascii="Times New Roman" w:hAnsi="Times New Roman"/>
        </w:rPr>
        <w:t>, 200</w:t>
      </w:r>
      <w:r w:rsidR="00F4205F">
        <w:rPr>
          <w:rFonts w:ascii="Times New Roman" w:hAnsi="Times New Roman"/>
        </w:rPr>
        <w:t>9</w:t>
      </w:r>
      <w:r w:rsidRPr="00B21B46">
        <w:rPr>
          <w:rFonts w:ascii="Times New Roman" w:hAnsi="Times New Roman"/>
        </w:rPr>
        <w:t>, the company notified its customers of the rate increase by mail.</w:t>
      </w:r>
      <w:r w:rsidR="00CB538B">
        <w:rPr>
          <w:rFonts w:ascii="Times New Roman" w:hAnsi="Times New Roman"/>
        </w:rPr>
        <w:t xml:space="preserve"> </w:t>
      </w:r>
      <w:r w:rsidR="00CB538B" w:rsidRPr="00CB538B">
        <w:rPr>
          <w:rFonts w:ascii="Times New Roman" w:hAnsi="Times New Roman"/>
        </w:rPr>
        <w:t>T</w:t>
      </w:r>
      <w:r w:rsidR="00881EA3" w:rsidRPr="00CB538B">
        <w:rPr>
          <w:rFonts w:ascii="Times New Roman" w:hAnsi="Times New Roman"/>
        </w:rPr>
        <w:t xml:space="preserve">he commission has received </w:t>
      </w:r>
      <w:r w:rsidR="0042497A">
        <w:rPr>
          <w:rFonts w:ascii="Times New Roman" w:hAnsi="Times New Roman"/>
        </w:rPr>
        <w:t>74</w:t>
      </w:r>
      <w:r w:rsidR="00881EA3" w:rsidRPr="00CB538B">
        <w:rPr>
          <w:rFonts w:ascii="Times New Roman" w:hAnsi="Times New Roman"/>
        </w:rPr>
        <w:t xml:space="preserve"> customer comment</w:t>
      </w:r>
      <w:r w:rsidR="00DF5503">
        <w:rPr>
          <w:rFonts w:ascii="Times New Roman" w:hAnsi="Times New Roman"/>
        </w:rPr>
        <w:t>s</w:t>
      </w:r>
      <w:r w:rsidR="00881EA3" w:rsidRPr="00CB538B">
        <w:rPr>
          <w:rFonts w:ascii="Times New Roman" w:hAnsi="Times New Roman"/>
        </w:rPr>
        <w:t xml:space="preserve"> </w:t>
      </w:r>
      <w:r w:rsidR="004E22DB">
        <w:rPr>
          <w:rFonts w:ascii="Times New Roman" w:hAnsi="Times New Roman"/>
        </w:rPr>
        <w:t>on</w:t>
      </w:r>
      <w:r w:rsidR="00B10294" w:rsidRPr="00CB538B">
        <w:rPr>
          <w:rFonts w:ascii="Times New Roman" w:hAnsi="Times New Roman"/>
        </w:rPr>
        <w:t xml:space="preserve"> this</w:t>
      </w:r>
      <w:r w:rsidR="00881EA3" w:rsidRPr="00CB538B">
        <w:rPr>
          <w:rFonts w:ascii="Times New Roman" w:hAnsi="Times New Roman"/>
        </w:rPr>
        <w:t xml:space="preserve"> filing</w:t>
      </w:r>
      <w:r w:rsidR="004E3190" w:rsidRPr="004E3190">
        <w:rPr>
          <w:rFonts w:ascii="Times New Roman" w:hAnsi="Times New Roman"/>
        </w:rPr>
        <w:t>; all are opposed to the proposed increase. Please note: Customers often address several issues of concern within one comment. Therefore, subtotals may not equal the total number of comments submitted.</w:t>
      </w:r>
    </w:p>
    <w:p w:rsidR="00763A89" w:rsidRPr="00763A89" w:rsidRDefault="00763A89" w:rsidP="00763A89">
      <w:pPr>
        <w:pStyle w:val="BodyText"/>
        <w:widowControl/>
        <w:tabs>
          <w:tab w:val="left" w:pos="0"/>
        </w:tabs>
        <w:rPr>
          <w:rFonts w:ascii="Times New Roman" w:hAnsi="Times New Roman"/>
        </w:rPr>
      </w:pPr>
    </w:p>
    <w:p w:rsidR="00763A89" w:rsidRPr="00763A89" w:rsidRDefault="004E3190" w:rsidP="00763A89">
      <w:pPr>
        <w:pStyle w:val="BodyText"/>
        <w:widowControl/>
        <w:tabs>
          <w:tab w:val="left" w:pos="0"/>
        </w:tabs>
        <w:rPr>
          <w:rFonts w:ascii="Times New Roman" w:hAnsi="Times New Roman"/>
        </w:rPr>
      </w:pPr>
      <w:r w:rsidRPr="004E3190">
        <w:rPr>
          <w:rFonts w:ascii="Times New Roman" w:hAnsi="Times New Roman"/>
        </w:rPr>
        <w:lastRenderedPageBreak/>
        <w:t xml:space="preserve">Consumer Protection staff advises customers that they may access company documents pertinent to this rate case at </w:t>
      </w:r>
      <w:hyperlink r:id="rId11" w:history="1">
        <w:r w:rsidRPr="009D740A">
          <w:rPr>
            <w:rFonts w:ascii="Times New Roman" w:hAnsi="Times New Roman"/>
          </w:rPr>
          <w:t>www.utc.wa.gov</w:t>
        </w:r>
      </w:hyperlink>
      <w:r w:rsidRPr="004E3190">
        <w:rPr>
          <w:rFonts w:ascii="Times New Roman" w:hAnsi="Times New Roman"/>
        </w:rPr>
        <w:t xml:space="preserve">, and </w:t>
      </w:r>
      <w:hyperlink r:id="rId12" w:history="1">
        <w:r w:rsidRPr="009D740A">
          <w:rPr>
            <w:rFonts w:ascii="Times New Roman" w:hAnsi="Times New Roman"/>
          </w:rPr>
          <w:t>www.utc.wa.gov/water</w:t>
        </w:r>
      </w:hyperlink>
      <w:r w:rsidR="00763A89">
        <w:rPr>
          <w:rFonts w:ascii="Times New Roman" w:hAnsi="Times New Roman"/>
        </w:rPr>
        <w:t xml:space="preserve"> </w:t>
      </w:r>
      <w:r w:rsidRPr="004E3190">
        <w:rPr>
          <w:rFonts w:ascii="Times New Roman" w:hAnsi="Times New Roman"/>
        </w:rPr>
        <w:t>and that they may contact Dennis Shutler at 1-888-333-9882 with questions or concerns.</w:t>
      </w:r>
    </w:p>
    <w:p w:rsidR="00763A89" w:rsidRPr="00763A89" w:rsidRDefault="00763A89" w:rsidP="00763A89">
      <w:pPr>
        <w:pStyle w:val="BodyText"/>
        <w:widowControl/>
        <w:tabs>
          <w:tab w:val="left" w:pos="0"/>
        </w:tabs>
        <w:rPr>
          <w:rFonts w:ascii="Times New Roman" w:hAnsi="Times New Roman"/>
        </w:rPr>
      </w:pPr>
    </w:p>
    <w:p w:rsidR="00763A89" w:rsidRPr="00763A89" w:rsidRDefault="00763A89" w:rsidP="00763A89">
      <w:pPr>
        <w:pStyle w:val="BodyText"/>
        <w:widowControl/>
        <w:tabs>
          <w:tab w:val="left" w:pos="0"/>
        </w:tabs>
        <w:rPr>
          <w:rFonts w:ascii="Times New Roman" w:hAnsi="Times New Roman"/>
          <w:b/>
        </w:rPr>
      </w:pPr>
      <w:r w:rsidRPr="00763A89">
        <w:rPr>
          <w:rFonts w:ascii="Times New Roman" w:hAnsi="Times New Roman"/>
          <w:b/>
        </w:rPr>
        <w:t>Filing Documents and Methodology Comments</w:t>
      </w:r>
    </w:p>
    <w:p w:rsidR="00763A89" w:rsidRPr="00763A89" w:rsidRDefault="004E3190" w:rsidP="00763A89">
      <w:pPr>
        <w:pStyle w:val="BodyText"/>
        <w:numPr>
          <w:ilvl w:val="0"/>
          <w:numId w:val="19"/>
        </w:numPr>
        <w:rPr>
          <w:rFonts w:ascii="Times New Roman" w:hAnsi="Times New Roman"/>
        </w:rPr>
      </w:pPr>
      <w:r w:rsidRPr="004E3190">
        <w:rPr>
          <w:rFonts w:ascii="Times New Roman" w:hAnsi="Times New Roman"/>
        </w:rPr>
        <w:t>Eight customers said they should not have to pay for improvements on systems other than the system serving them.</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Customers were advised single tariff pricing distributes rate base, system upgrades, operating and maintenance costs, and improvements for the entire water company equally across all customers on all systems, and all systems will require capital improvements sooner or later.</w:t>
      </w:r>
    </w:p>
    <w:p w:rsidR="00763A89" w:rsidRPr="00763A89" w:rsidRDefault="00763A89" w:rsidP="00763A89">
      <w:pPr>
        <w:pStyle w:val="BodyText"/>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One customer asked whether there is a standard time period for a company to recuperate capital expenditures.</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Staff contacted this customer and explained that most parts of the system infrastructure have a specified life span. There is no standard time period for the entire system as a whole.</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 xml:space="preserve">One customer asked why rates for large meters are not included in the increased base rate. </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The company filed for a general rate case, which </w:t>
      </w:r>
      <w:r w:rsidR="000D41FB">
        <w:rPr>
          <w:rFonts w:ascii="Times New Roman" w:hAnsi="Times New Roman"/>
        </w:rPr>
        <w:t>a</w:t>
      </w:r>
      <w:r w:rsidRPr="004E3190">
        <w:rPr>
          <w:rFonts w:ascii="Times New Roman" w:hAnsi="Times New Roman"/>
        </w:rPr>
        <w:t>djust</w:t>
      </w:r>
      <w:r w:rsidR="000D41FB">
        <w:rPr>
          <w:rFonts w:ascii="Times New Roman" w:hAnsi="Times New Roman"/>
        </w:rPr>
        <w:t>s</w:t>
      </w:r>
      <w:r w:rsidRPr="004E3190">
        <w:rPr>
          <w:rFonts w:ascii="Times New Roman" w:hAnsi="Times New Roman"/>
        </w:rPr>
        <w:t xml:space="preserve"> rates for all meter sizes.</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Four customers believe the Island Fee is excessive. The Island Fee is intended to offset the higher costs of operations</w:t>
      </w:r>
      <w:r w:rsidR="005B7DDB">
        <w:rPr>
          <w:rFonts w:ascii="Times New Roman" w:hAnsi="Times New Roman"/>
        </w:rPr>
        <w:t>,</w:t>
      </w:r>
      <w:r w:rsidRPr="004E3190">
        <w:rPr>
          <w:rFonts w:ascii="Times New Roman" w:hAnsi="Times New Roman"/>
        </w:rPr>
        <w:t xml:space="preserve"> chemicals and labor necessary to treat the surface water on the island. </w:t>
      </w:r>
    </w:p>
    <w:p w:rsidR="00763A89" w:rsidRPr="00763A89" w:rsidRDefault="00763A89" w:rsidP="00763A89">
      <w:pPr>
        <w:pStyle w:val="BodyText"/>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One customer believes the chemical and labor costs are directly related to consumption, and should be included within the usage rates.</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Staff’s goal is to recommend the “right” rates that will allow the company to recover reasonable operating expenses and provide an opportunity to earn a reasonable return on investment. The “right” rates play a vital part in ensuring that the company can operate the water system efficiently and meet safe drinking water standards.</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One customer asked how the requested increase is allocated to transportation costs, property taxes and employee costs.</w:t>
      </w:r>
    </w:p>
    <w:p w:rsidR="00763A89" w:rsidRPr="00763A89" w:rsidRDefault="00763A89" w:rsidP="00763A89">
      <w:pPr>
        <w:pStyle w:val="BodyText"/>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 xml:space="preserve">One customer asked whether transportation costs associated with 172 water systems in eight counties have increased. </w:t>
      </w:r>
    </w:p>
    <w:p w:rsidR="00763A89" w:rsidRDefault="00763A89" w:rsidP="00763A89">
      <w:pPr>
        <w:pStyle w:val="BodyText"/>
        <w:rPr>
          <w:rFonts w:ascii="Times New Roman" w:hAnsi="Times New Roman"/>
        </w:rPr>
      </w:pPr>
    </w:p>
    <w:p w:rsidR="00E05484" w:rsidRPr="00763A89" w:rsidRDefault="00E05484"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lastRenderedPageBreak/>
        <w:t>Staff Response</w:t>
      </w:r>
    </w:p>
    <w:p w:rsidR="004E3190" w:rsidRPr="004E3190" w:rsidRDefault="000D41FB" w:rsidP="004E3190">
      <w:pPr>
        <w:pStyle w:val="BodyText"/>
        <w:tabs>
          <w:tab w:val="left" w:pos="360"/>
        </w:tabs>
        <w:ind w:left="360"/>
        <w:rPr>
          <w:rFonts w:ascii="Times New Roman" w:hAnsi="Times New Roman"/>
        </w:rPr>
      </w:pPr>
      <w:r>
        <w:rPr>
          <w:rFonts w:ascii="Times New Roman" w:hAnsi="Times New Roman"/>
        </w:rPr>
        <w:t>S</w:t>
      </w:r>
      <w:r w:rsidR="004E3190" w:rsidRPr="004E3190">
        <w:rPr>
          <w:rFonts w:ascii="Times New Roman" w:hAnsi="Times New Roman"/>
        </w:rPr>
        <w:t>taff has not completed its review of the company’s supporting financial documents, books and records; therefore, staff cannot respond on these matters until after staff</w:t>
      </w:r>
      <w:r>
        <w:rPr>
          <w:rFonts w:ascii="Times New Roman" w:hAnsi="Times New Roman"/>
        </w:rPr>
        <w:t xml:space="preserve"> has</w:t>
      </w:r>
      <w:r w:rsidR="004E3190" w:rsidRPr="004E3190">
        <w:rPr>
          <w:rFonts w:ascii="Times New Roman" w:hAnsi="Times New Roman"/>
        </w:rPr>
        <w:t xml:space="preserve"> concluded its review.</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One customer asked whether the company has filed an appeal for a property tax reduction.</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Each company is responsible to operate as best meets its needs. Staff reviews the cost of these day-to-day activities during rate cases.</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rPr>
          <w:rFonts w:ascii="Times New Roman" w:hAnsi="Times New Roman"/>
          <w:b/>
        </w:rPr>
      </w:pPr>
      <w:r w:rsidRPr="004E3190">
        <w:rPr>
          <w:rFonts w:ascii="Times New Roman" w:hAnsi="Times New Roman"/>
          <w:b/>
        </w:rPr>
        <w:t>Service Quality Comments</w:t>
      </w:r>
    </w:p>
    <w:p w:rsidR="00763A89" w:rsidRPr="00763A89" w:rsidRDefault="004E3190" w:rsidP="00763A89">
      <w:pPr>
        <w:pStyle w:val="BodyText"/>
        <w:numPr>
          <w:ilvl w:val="0"/>
          <w:numId w:val="21"/>
        </w:numPr>
        <w:rPr>
          <w:rFonts w:ascii="Times New Roman" w:hAnsi="Times New Roman"/>
        </w:rPr>
      </w:pPr>
      <w:r w:rsidRPr="004E3190">
        <w:rPr>
          <w:rFonts w:ascii="Times New Roman" w:hAnsi="Times New Roman"/>
        </w:rPr>
        <w:t xml:space="preserve">One customer said his water has an unpleasant odor, even though it dissipates after the water runs for a minute. </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 xml:space="preserve">Staff Response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Staff discussed the issue with the customer and offered to open a complaint. The company also discussed the issue with the customer, who decided to work with the company to resolve the issue. </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2"/>
        </w:numPr>
        <w:rPr>
          <w:rFonts w:ascii="Times New Roman" w:hAnsi="Times New Roman"/>
        </w:rPr>
      </w:pPr>
      <w:r w:rsidRPr="004E3190">
        <w:rPr>
          <w:rFonts w:ascii="Times New Roman" w:hAnsi="Times New Roman"/>
        </w:rPr>
        <w:t>One customer said the backup power generator failed on his water system during a power outage.</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 xml:space="preserve">Staff Response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Staff contacted this customer who decided not to pursue the issue at this time. </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2"/>
        </w:numPr>
        <w:rPr>
          <w:rFonts w:ascii="Times New Roman" w:hAnsi="Times New Roman"/>
        </w:rPr>
      </w:pPr>
      <w:r w:rsidRPr="004E3190">
        <w:rPr>
          <w:rFonts w:ascii="Times New Roman" w:hAnsi="Times New Roman"/>
        </w:rPr>
        <w:t>One customer said that public notices were not issued until long after bacteria was found in the water.</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 xml:space="preserve">Staff Response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Staff contacted this customer and offered to open a complaint. This customer decided to not pursue the issue at this time.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 </w:t>
      </w:r>
    </w:p>
    <w:p w:rsidR="00763A89" w:rsidRPr="00763A89" w:rsidRDefault="004E3190" w:rsidP="00763A89">
      <w:pPr>
        <w:pStyle w:val="BodyText"/>
        <w:rPr>
          <w:rFonts w:ascii="Times New Roman" w:hAnsi="Times New Roman"/>
          <w:b/>
        </w:rPr>
      </w:pPr>
      <w:r w:rsidRPr="004E3190">
        <w:rPr>
          <w:rFonts w:ascii="Times New Roman" w:hAnsi="Times New Roman"/>
          <w:b/>
        </w:rPr>
        <w:t>Business Practice Comments</w:t>
      </w:r>
    </w:p>
    <w:p w:rsidR="00763A89" w:rsidRPr="00763A89" w:rsidRDefault="004E3190" w:rsidP="00763A89">
      <w:pPr>
        <w:pStyle w:val="BodyText"/>
        <w:numPr>
          <w:ilvl w:val="0"/>
          <w:numId w:val="19"/>
        </w:numPr>
        <w:rPr>
          <w:rFonts w:ascii="Times New Roman" w:hAnsi="Times New Roman"/>
        </w:rPr>
      </w:pPr>
      <w:r w:rsidRPr="004E3190">
        <w:rPr>
          <w:rFonts w:ascii="Times New Roman" w:hAnsi="Times New Roman"/>
        </w:rPr>
        <w:t xml:space="preserve">One customer believes the company bills for longer periods in the summer than in the winter, causing a customer’s usage/charges to fall into a higher rate block. </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Staff contacted this customer and offered to open a complaint. This customer faxed staff the billings in question and staff will determine whether the billings are in compliance. </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19"/>
        </w:numPr>
        <w:rPr>
          <w:rFonts w:ascii="Times New Roman" w:hAnsi="Times New Roman"/>
        </w:rPr>
      </w:pPr>
      <w:r w:rsidRPr="004E3190">
        <w:rPr>
          <w:rFonts w:ascii="Times New Roman" w:hAnsi="Times New Roman"/>
        </w:rPr>
        <w:t>One customer believes the company is taking advantage of its customers by charging a fee to pay over the telephone by credit card, while two customers support the credit card payment fee.</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lastRenderedPageBreak/>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Staff contacted this customer to explain the purpose of the new fee. The company also talked to this customer and explained that the fee offsets the cost the company incurs by a third party vendor who handles the payments over the phone.</w:t>
      </w:r>
      <w:r w:rsidR="00C55373">
        <w:rPr>
          <w:rFonts w:ascii="Times New Roman" w:hAnsi="Times New Roman"/>
        </w:rPr>
        <w:t xml:space="preserve"> </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widowControl/>
        <w:rPr>
          <w:rFonts w:ascii="Times New Roman" w:hAnsi="Times New Roman"/>
          <w:b/>
        </w:rPr>
      </w:pPr>
      <w:r w:rsidRPr="004E3190">
        <w:rPr>
          <w:rFonts w:ascii="Times New Roman" w:hAnsi="Times New Roman"/>
          <w:b/>
        </w:rPr>
        <w:t>General Comment</w:t>
      </w:r>
    </w:p>
    <w:p w:rsidR="00763A89" w:rsidRPr="00763A89" w:rsidRDefault="004E3190" w:rsidP="00763A89">
      <w:pPr>
        <w:pStyle w:val="BodyText"/>
        <w:numPr>
          <w:ilvl w:val="0"/>
          <w:numId w:val="19"/>
        </w:numPr>
        <w:rPr>
          <w:rFonts w:ascii="Times New Roman" w:hAnsi="Times New Roman"/>
        </w:rPr>
      </w:pPr>
      <w:r w:rsidRPr="004E3190">
        <w:rPr>
          <w:rFonts w:ascii="Times New Roman" w:hAnsi="Times New Roman"/>
        </w:rPr>
        <w:t>Forty-two customers believe the amount of the increase is excessive due to the drastic increase in rates, increased costs of living, high existing rates, and current economic conditions.</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r w:rsidR="00C55373">
        <w:rPr>
          <w:rFonts w:ascii="Times New Roman" w:hAnsi="Times New Roman"/>
          <w:b/>
        </w:rPr>
        <w:t xml:space="preserv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Customers were advised that state law requires rates to be fair and reasonable for customers, and sufficient to allow the company the opportunity to recover reasonable operating expenses and earn a reasonable return on investment.</w:t>
      </w:r>
      <w:r w:rsidR="00C55373">
        <w:rPr>
          <w:rFonts w:ascii="Times New Roman" w:hAnsi="Times New Roman"/>
        </w:rPr>
        <w:t xml:space="preserve"> </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 </w:t>
      </w:r>
    </w:p>
    <w:p w:rsidR="00763A89" w:rsidRPr="00763A89" w:rsidRDefault="004E3190" w:rsidP="00763A89">
      <w:pPr>
        <w:pStyle w:val="BodyText"/>
        <w:numPr>
          <w:ilvl w:val="0"/>
          <w:numId w:val="19"/>
        </w:numPr>
        <w:rPr>
          <w:rFonts w:ascii="Times New Roman" w:hAnsi="Times New Roman"/>
        </w:rPr>
      </w:pPr>
      <w:r w:rsidRPr="004E3190">
        <w:rPr>
          <w:rFonts w:ascii="Times New Roman" w:hAnsi="Times New Roman"/>
        </w:rPr>
        <w:t>Eight customers believe a smaller increase would be more reasonable, similar to the Consumer Price Index.</w:t>
      </w:r>
    </w:p>
    <w:p w:rsidR="00763A89" w:rsidRPr="00763A89" w:rsidRDefault="00763A89" w:rsidP="00763A89">
      <w:pPr>
        <w:pStyle w:val="BodyText"/>
        <w:widowControl/>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Customers were advised that state law requires rates to be fair and reasonable for customers, but sufficient to allow the company the opportunity to recover reasonable operating expenses and earn a reasonable return on investment. </w:t>
      </w:r>
    </w:p>
    <w:p w:rsidR="004E3190" w:rsidRPr="004E3190" w:rsidRDefault="004E3190" w:rsidP="004E3190">
      <w:pPr>
        <w:pStyle w:val="BodyText"/>
        <w:tabs>
          <w:tab w:val="left" w:pos="360"/>
        </w:tabs>
        <w:ind w:left="360"/>
        <w:rPr>
          <w:rFonts w:ascii="Times New Roman" w:hAnsi="Times New Roman"/>
        </w:rPr>
      </w:pPr>
    </w:p>
    <w:p w:rsidR="00763A89" w:rsidRPr="00763A89" w:rsidRDefault="004E3190" w:rsidP="00763A89">
      <w:pPr>
        <w:pStyle w:val="BodyText"/>
        <w:numPr>
          <w:ilvl w:val="0"/>
          <w:numId w:val="20"/>
        </w:numPr>
        <w:rPr>
          <w:rFonts w:ascii="Times New Roman" w:hAnsi="Times New Roman"/>
        </w:rPr>
      </w:pPr>
      <w:r w:rsidRPr="004E3190">
        <w:rPr>
          <w:rFonts w:ascii="Times New Roman" w:hAnsi="Times New Roman"/>
        </w:rPr>
        <w:t>One customer said that he believes the company should offer discounted rates for senior citizens.</w:t>
      </w:r>
    </w:p>
    <w:p w:rsidR="00763A89" w:rsidRPr="00763A89" w:rsidRDefault="00763A89" w:rsidP="00763A89">
      <w:pPr>
        <w:pStyle w:val="BodyText"/>
        <w:rPr>
          <w:rFonts w:ascii="Times New Roman" w:hAnsi="Times New Roman"/>
        </w:rPr>
      </w:pPr>
    </w:p>
    <w:p w:rsidR="004E3190" w:rsidRPr="004E3190" w:rsidRDefault="004E3190" w:rsidP="004E3190">
      <w:pPr>
        <w:pStyle w:val="BodyText"/>
        <w:tabs>
          <w:tab w:val="left" w:pos="360"/>
        </w:tabs>
        <w:ind w:left="360"/>
        <w:rPr>
          <w:rFonts w:ascii="Times New Roman" w:hAnsi="Times New Roman"/>
          <w:b/>
        </w:rPr>
      </w:pPr>
      <w:r w:rsidRPr="004E3190">
        <w:rPr>
          <w:rFonts w:ascii="Times New Roman" w:hAnsi="Times New Roman"/>
          <w:b/>
        </w:rPr>
        <w:t>Staff Response</w:t>
      </w:r>
    </w:p>
    <w:p w:rsidR="004E3190" w:rsidRPr="004E3190" w:rsidRDefault="004E3190" w:rsidP="004E3190">
      <w:pPr>
        <w:pStyle w:val="BodyText"/>
        <w:tabs>
          <w:tab w:val="left" w:pos="360"/>
        </w:tabs>
        <w:ind w:left="360"/>
        <w:rPr>
          <w:rFonts w:ascii="Times New Roman" w:hAnsi="Times New Roman"/>
        </w:rPr>
      </w:pPr>
      <w:r w:rsidRPr="004E3190">
        <w:rPr>
          <w:rFonts w:ascii="Times New Roman" w:hAnsi="Times New Roman"/>
        </w:rPr>
        <w:t xml:space="preserve">Staff contacted this customer and explained that the state statute does not allow for senior discounts at this time. </w:t>
      </w:r>
    </w:p>
    <w:p w:rsidR="004E3190" w:rsidRDefault="004E3190" w:rsidP="004E3190">
      <w:pPr>
        <w:pStyle w:val="BodyText"/>
        <w:tabs>
          <w:tab w:val="left" w:pos="360"/>
        </w:tabs>
      </w:pPr>
    </w:p>
    <w:p w:rsidR="008956A7" w:rsidRPr="008A2603" w:rsidRDefault="008956A7" w:rsidP="008956A7">
      <w:pPr>
        <w:jc w:val="center"/>
        <w:rPr>
          <w:b/>
          <w:sz w:val="24"/>
          <w:u w:val="single"/>
        </w:rPr>
      </w:pPr>
      <w:r w:rsidRPr="008A2603">
        <w:rPr>
          <w:b/>
          <w:sz w:val="24"/>
          <w:u w:val="single"/>
        </w:rPr>
        <w:t>Rate Comparison</w:t>
      </w:r>
    </w:p>
    <w:p w:rsidR="00AF1A52" w:rsidRPr="008A674C" w:rsidRDefault="00AF1A52" w:rsidP="008956A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8B1983" w:rsidRPr="00591778" w:rsidTr="004E22DB">
        <w:tc>
          <w:tcPr>
            <w:tcW w:w="2166" w:type="pct"/>
          </w:tcPr>
          <w:p w:rsidR="008B1983" w:rsidRPr="00591778" w:rsidRDefault="008B1983" w:rsidP="003F5CCC">
            <w:pPr>
              <w:pStyle w:val="Heading1"/>
              <w:rPr>
                <w:b/>
              </w:rPr>
            </w:pPr>
            <w:r w:rsidRPr="00591778">
              <w:rPr>
                <w:b/>
              </w:rPr>
              <w:t>Monthly Rate</w:t>
            </w:r>
          </w:p>
        </w:tc>
        <w:tc>
          <w:tcPr>
            <w:tcW w:w="1285" w:type="pct"/>
            <w:vAlign w:val="center"/>
          </w:tcPr>
          <w:p w:rsidR="008B1983" w:rsidRPr="00591778" w:rsidRDefault="008B1983" w:rsidP="003F5CCC">
            <w:pPr>
              <w:jc w:val="center"/>
              <w:rPr>
                <w:b/>
                <w:sz w:val="24"/>
              </w:rPr>
            </w:pPr>
            <w:r w:rsidRPr="00591778">
              <w:rPr>
                <w:b/>
                <w:sz w:val="24"/>
              </w:rPr>
              <w:t>Current Rate</w:t>
            </w:r>
          </w:p>
        </w:tc>
        <w:tc>
          <w:tcPr>
            <w:tcW w:w="1549" w:type="pct"/>
          </w:tcPr>
          <w:p w:rsidR="008B1983" w:rsidRPr="00591778" w:rsidRDefault="008B1983" w:rsidP="003F5CCC">
            <w:pPr>
              <w:jc w:val="center"/>
              <w:rPr>
                <w:b/>
                <w:sz w:val="24"/>
              </w:rPr>
            </w:pPr>
            <w:r w:rsidRPr="00591778">
              <w:rPr>
                <w:b/>
                <w:sz w:val="24"/>
              </w:rPr>
              <w:t>Proposed Rate</w:t>
            </w:r>
          </w:p>
        </w:tc>
      </w:tr>
      <w:tr w:rsidR="009E73FF" w:rsidRPr="00591778" w:rsidTr="00CB6B75">
        <w:tc>
          <w:tcPr>
            <w:tcW w:w="2166" w:type="pct"/>
          </w:tcPr>
          <w:p w:rsidR="009E73FF" w:rsidRDefault="009E73FF" w:rsidP="00203E19">
            <w:pPr>
              <w:pStyle w:val="Heading1"/>
              <w:jc w:val="left"/>
            </w:pPr>
            <w:r>
              <w:t>Island Fee (</w:t>
            </w:r>
            <w:r w:rsidRPr="00E75AAA">
              <w:t>¾</w:t>
            </w:r>
            <w:r>
              <w:t>-inch meter)</w:t>
            </w:r>
            <w:r w:rsidRPr="00E75AAA">
              <w:rPr>
                <w:vertAlign w:val="superscript"/>
              </w:rPr>
              <w:t xml:space="preserve"> </w:t>
            </w:r>
            <w:r>
              <w:rPr>
                <w:vertAlign w:val="superscript"/>
              </w:rPr>
              <w:t>1</w:t>
            </w:r>
          </w:p>
          <w:p w:rsidR="009E73FF" w:rsidRPr="00E75AAA" w:rsidRDefault="009E73FF" w:rsidP="00203E19">
            <w:pPr>
              <w:rPr>
                <w:sz w:val="16"/>
                <w:szCs w:val="16"/>
              </w:rPr>
            </w:pPr>
            <w:r w:rsidRPr="00E75AAA">
              <w:rPr>
                <w:sz w:val="16"/>
                <w:szCs w:val="16"/>
              </w:rPr>
              <w:t>(</w:t>
            </w:r>
            <w:r>
              <w:rPr>
                <w:sz w:val="16"/>
                <w:szCs w:val="16"/>
              </w:rPr>
              <w:t xml:space="preserve">applies only to </w:t>
            </w:r>
            <w:r w:rsidRPr="00E75AAA">
              <w:rPr>
                <w:sz w:val="16"/>
                <w:szCs w:val="16"/>
              </w:rPr>
              <w:t>systems operated on Orcas Island)</w:t>
            </w:r>
          </w:p>
        </w:tc>
        <w:tc>
          <w:tcPr>
            <w:tcW w:w="1285" w:type="pct"/>
          </w:tcPr>
          <w:p w:rsidR="009E73FF" w:rsidRDefault="009E73FF" w:rsidP="00203E19">
            <w:pPr>
              <w:jc w:val="center"/>
              <w:rPr>
                <w:sz w:val="24"/>
              </w:rPr>
            </w:pPr>
            <w:r>
              <w:rPr>
                <w:sz w:val="24"/>
              </w:rPr>
              <w:t>N/A</w:t>
            </w:r>
          </w:p>
        </w:tc>
        <w:tc>
          <w:tcPr>
            <w:tcW w:w="1549" w:type="pct"/>
          </w:tcPr>
          <w:p w:rsidR="009E73FF" w:rsidRDefault="009E73FF" w:rsidP="00203E19">
            <w:pPr>
              <w:jc w:val="center"/>
              <w:rPr>
                <w:sz w:val="24"/>
              </w:rPr>
            </w:pPr>
            <w:r>
              <w:rPr>
                <w:sz w:val="24"/>
              </w:rPr>
              <w:t>$37.75</w:t>
            </w:r>
          </w:p>
        </w:tc>
      </w:tr>
      <w:tr w:rsidR="009E73FF" w:rsidRPr="00591778" w:rsidTr="004E22DB">
        <w:tc>
          <w:tcPr>
            <w:tcW w:w="2166" w:type="pct"/>
          </w:tcPr>
          <w:p w:rsidR="009E73FF" w:rsidRPr="00A87056" w:rsidRDefault="009E73FF" w:rsidP="00203E19">
            <w:pPr>
              <w:pStyle w:val="Heading1"/>
              <w:jc w:val="left"/>
            </w:pPr>
            <w:r>
              <w:t>Flat Rate (Unmetered)</w:t>
            </w:r>
          </w:p>
        </w:tc>
        <w:tc>
          <w:tcPr>
            <w:tcW w:w="1285" w:type="pct"/>
            <w:vAlign w:val="center"/>
          </w:tcPr>
          <w:p w:rsidR="009E73FF" w:rsidRPr="00A87056" w:rsidRDefault="009E73FF" w:rsidP="00203E19">
            <w:pPr>
              <w:jc w:val="center"/>
              <w:rPr>
                <w:sz w:val="24"/>
              </w:rPr>
            </w:pPr>
            <w:r>
              <w:rPr>
                <w:sz w:val="24"/>
              </w:rPr>
              <w:t>$35.00</w:t>
            </w:r>
          </w:p>
        </w:tc>
        <w:tc>
          <w:tcPr>
            <w:tcW w:w="1549" w:type="pct"/>
          </w:tcPr>
          <w:p w:rsidR="009E73FF" w:rsidRPr="00A87056" w:rsidRDefault="009E73FF" w:rsidP="00203E19">
            <w:pPr>
              <w:jc w:val="center"/>
              <w:rPr>
                <w:sz w:val="24"/>
              </w:rPr>
            </w:pPr>
            <w:r>
              <w:rPr>
                <w:sz w:val="24"/>
              </w:rPr>
              <w:t>$40.00</w:t>
            </w:r>
          </w:p>
        </w:tc>
      </w:tr>
      <w:tr w:rsidR="009E73FF" w:rsidRPr="00591778" w:rsidTr="004E22DB">
        <w:tc>
          <w:tcPr>
            <w:tcW w:w="2166" w:type="pct"/>
          </w:tcPr>
          <w:p w:rsidR="009E73FF" w:rsidRDefault="009E73FF" w:rsidP="009E73FF">
            <w:pPr>
              <w:pStyle w:val="Heading1"/>
              <w:jc w:val="left"/>
            </w:pPr>
            <w:r>
              <w:t xml:space="preserve">Ready-to-Serve (RTS) </w:t>
            </w:r>
            <w:r>
              <w:rPr>
                <w:vertAlign w:val="superscript"/>
              </w:rPr>
              <w:t>2</w:t>
            </w:r>
          </w:p>
        </w:tc>
        <w:tc>
          <w:tcPr>
            <w:tcW w:w="1285" w:type="pct"/>
            <w:vAlign w:val="center"/>
          </w:tcPr>
          <w:p w:rsidR="009E73FF" w:rsidRDefault="009E73FF" w:rsidP="004842DE">
            <w:pPr>
              <w:jc w:val="center"/>
              <w:rPr>
                <w:sz w:val="24"/>
              </w:rPr>
            </w:pPr>
            <w:r>
              <w:rPr>
                <w:sz w:val="24"/>
              </w:rPr>
              <w:t>$15.00</w:t>
            </w:r>
          </w:p>
        </w:tc>
        <w:tc>
          <w:tcPr>
            <w:tcW w:w="1549" w:type="pct"/>
          </w:tcPr>
          <w:p w:rsidR="009E73FF" w:rsidRDefault="009E73FF" w:rsidP="004842DE">
            <w:pPr>
              <w:jc w:val="center"/>
              <w:rPr>
                <w:sz w:val="24"/>
              </w:rPr>
            </w:pPr>
            <w:r>
              <w:rPr>
                <w:sz w:val="24"/>
              </w:rPr>
              <w:t>$22.15</w:t>
            </w:r>
          </w:p>
        </w:tc>
      </w:tr>
      <w:tr w:rsidR="009E73FF" w:rsidRPr="008A674C" w:rsidTr="004E22DB">
        <w:tc>
          <w:tcPr>
            <w:tcW w:w="2166" w:type="pct"/>
          </w:tcPr>
          <w:p w:rsidR="009E73FF" w:rsidRPr="00E25CDB" w:rsidRDefault="009E73FF" w:rsidP="00687E99">
            <w:pPr>
              <w:pStyle w:val="Heading1"/>
              <w:jc w:val="left"/>
            </w:pPr>
            <w:r>
              <w:t>Base Rate (¾-inch meter)</w:t>
            </w:r>
            <w:r w:rsidRPr="00E75AAA">
              <w:rPr>
                <w:vertAlign w:val="superscript"/>
              </w:rPr>
              <w:t xml:space="preserve"> 1</w:t>
            </w:r>
            <w:r>
              <w:rPr>
                <w:vertAlign w:val="superscript"/>
              </w:rPr>
              <w:t>,</w:t>
            </w:r>
            <w:r w:rsidRPr="00687E99">
              <w:rPr>
                <w:sz w:val="20"/>
                <w:vertAlign w:val="superscript"/>
              </w:rPr>
              <w:t xml:space="preserve"> </w:t>
            </w:r>
            <w:r>
              <w:rPr>
                <w:vertAlign w:val="superscript"/>
              </w:rPr>
              <w:t>2</w:t>
            </w:r>
          </w:p>
        </w:tc>
        <w:tc>
          <w:tcPr>
            <w:tcW w:w="1285" w:type="pct"/>
          </w:tcPr>
          <w:p w:rsidR="009E73FF" w:rsidRPr="00E25CDB" w:rsidRDefault="009E73FF" w:rsidP="005E77AF">
            <w:pPr>
              <w:jc w:val="center"/>
              <w:rPr>
                <w:sz w:val="24"/>
              </w:rPr>
            </w:pPr>
            <w:r>
              <w:rPr>
                <w:sz w:val="24"/>
              </w:rPr>
              <w:t>$18.21</w:t>
            </w:r>
          </w:p>
        </w:tc>
        <w:tc>
          <w:tcPr>
            <w:tcW w:w="1549" w:type="pct"/>
          </w:tcPr>
          <w:p w:rsidR="009E73FF" w:rsidRPr="00E25CDB" w:rsidRDefault="009E73FF" w:rsidP="005E77AF">
            <w:pPr>
              <w:jc w:val="center"/>
              <w:rPr>
                <w:sz w:val="24"/>
              </w:rPr>
            </w:pPr>
            <w:r>
              <w:rPr>
                <w:sz w:val="24"/>
              </w:rPr>
              <w:t>$22.15</w:t>
            </w:r>
          </w:p>
        </w:tc>
      </w:tr>
      <w:tr w:rsidR="009E73FF" w:rsidRPr="008A674C" w:rsidTr="004E22DB">
        <w:tc>
          <w:tcPr>
            <w:tcW w:w="2166" w:type="pct"/>
          </w:tcPr>
          <w:p w:rsidR="009E73FF" w:rsidRPr="00E25CDB" w:rsidRDefault="009E73FF" w:rsidP="009E73FF">
            <w:pPr>
              <w:rPr>
                <w:sz w:val="24"/>
              </w:rPr>
            </w:pPr>
            <w:r>
              <w:rPr>
                <w:sz w:val="24"/>
              </w:rPr>
              <w:t xml:space="preserve">0 – 400 Cubic Feet </w:t>
            </w:r>
            <w:r>
              <w:rPr>
                <w:sz w:val="24"/>
                <w:vertAlign w:val="superscript"/>
              </w:rPr>
              <w:t>1</w:t>
            </w:r>
          </w:p>
        </w:tc>
        <w:tc>
          <w:tcPr>
            <w:tcW w:w="1285" w:type="pct"/>
          </w:tcPr>
          <w:p w:rsidR="009E73FF" w:rsidRPr="00E25CDB" w:rsidRDefault="009E73FF" w:rsidP="00687E99">
            <w:pPr>
              <w:jc w:val="center"/>
              <w:rPr>
                <w:sz w:val="24"/>
              </w:rPr>
            </w:pPr>
            <w:r>
              <w:rPr>
                <w:sz w:val="24"/>
              </w:rPr>
              <w:t>$1.65</w:t>
            </w:r>
          </w:p>
        </w:tc>
        <w:tc>
          <w:tcPr>
            <w:tcW w:w="1549" w:type="pct"/>
          </w:tcPr>
          <w:p w:rsidR="009E73FF" w:rsidRPr="00E25CDB" w:rsidRDefault="009E73FF" w:rsidP="008B1983">
            <w:pPr>
              <w:jc w:val="center"/>
              <w:rPr>
                <w:sz w:val="24"/>
              </w:rPr>
            </w:pPr>
            <w:r>
              <w:rPr>
                <w:sz w:val="24"/>
              </w:rPr>
              <w:t>$2.10</w:t>
            </w:r>
          </w:p>
        </w:tc>
      </w:tr>
      <w:tr w:rsidR="009E73FF" w:rsidRPr="008A674C" w:rsidTr="004E22DB">
        <w:tc>
          <w:tcPr>
            <w:tcW w:w="2166" w:type="pct"/>
          </w:tcPr>
          <w:p w:rsidR="009E73FF" w:rsidRDefault="009E73FF" w:rsidP="009E73FF">
            <w:pPr>
              <w:rPr>
                <w:sz w:val="24"/>
              </w:rPr>
            </w:pPr>
            <w:r>
              <w:rPr>
                <w:sz w:val="24"/>
              </w:rPr>
              <w:t xml:space="preserve">401 – 1,400 Cubic Feet </w:t>
            </w:r>
            <w:r>
              <w:rPr>
                <w:sz w:val="24"/>
                <w:vertAlign w:val="superscript"/>
              </w:rPr>
              <w:t>1</w:t>
            </w:r>
          </w:p>
        </w:tc>
        <w:tc>
          <w:tcPr>
            <w:tcW w:w="1285" w:type="pct"/>
          </w:tcPr>
          <w:p w:rsidR="009E73FF" w:rsidRDefault="009E73FF" w:rsidP="008B1983">
            <w:pPr>
              <w:jc w:val="center"/>
              <w:rPr>
                <w:sz w:val="24"/>
              </w:rPr>
            </w:pPr>
            <w:r>
              <w:rPr>
                <w:sz w:val="24"/>
              </w:rPr>
              <w:t>$1.75</w:t>
            </w:r>
          </w:p>
        </w:tc>
        <w:tc>
          <w:tcPr>
            <w:tcW w:w="1549" w:type="pct"/>
          </w:tcPr>
          <w:p w:rsidR="009E73FF" w:rsidRDefault="009E73FF" w:rsidP="008B1983">
            <w:pPr>
              <w:jc w:val="center"/>
              <w:rPr>
                <w:sz w:val="24"/>
              </w:rPr>
            </w:pPr>
            <w:r>
              <w:rPr>
                <w:sz w:val="24"/>
              </w:rPr>
              <w:t>$2.30</w:t>
            </w:r>
          </w:p>
        </w:tc>
      </w:tr>
      <w:tr w:rsidR="009E73FF" w:rsidRPr="008A674C" w:rsidTr="004E22DB">
        <w:tc>
          <w:tcPr>
            <w:tcW w:w="2166" w:type="pct"/>
          </w:tcPr>
          <w:p w:rsidR="009E73FF" w:rsidRDefault="009E73FF" w:rsidP="009E73FF">
            <w:pPr>
              <w:rPr>
                <w:sz w:val="24"/>
              </w:rPr>
            </w:pPr>
            <w:r>
              <w:rPr>
                <w:sz w:val="24"/>
              </w:rPr>
              <w:t xml:space="preserve">Over 1,400 Cubic Feet </w:t>
            </w:r>
            <w:r>
              <w:rPr>
                <w:sz w:val="24"/>
                <w:vertAlign w:val="superscript"/>
              </w:rPr>
              <w:t>1</w:t>
            </w:r>
          </w:p>
        </w:tc>
        <w:tc>
          <w:tcPr>
            <w:tcW w:w="1285" w:type="pct"/>
          </w:tcPr>
          <w:p w:rsidR="009E73FF" w:rsidRDefault="009E73FF" w:rsidP="00687E99">
            <w:pPr>
              <w:jc w:val="center"/>
              <w:rPr>
                <w:sz w:val="24"/>
              </w:rPr>
            </w:pPr>
            <w:r>
              <w:rPr>
                <w:sz w:val="24"/>
              </w:rPr>
              <w:t>$1.90</w:t>
            </w:r>
          </w:p>
        </w:tc>
        <w:tc>
          <w:tcPr>
            <w:tcW w:w="1549" w:type="pct"/>
          </w:tcPr>
          <w:p w:rsidR="009E73FF" w:rsidRDefault="009E73FF" w:rsidP="00687E99">
            <w:pPr>
              <w:jc w:val="center"/>
              <w:rPr>
                <w:sz w:val="24"/>
              </w:rPr>
            </w:pPr>
            <w:r>
              <w:rPr>
                <w:sz w:val="24"/>
              </w:rPr>
              <w:t>$2.75</w:t>
            </w:r>
          </w:p>
        </w:tc>
      </w:tr>
    </w:tbl>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272F2" w:rsidRPr="009E73FF"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1</w:t>
      </w:r>
      <w:r w:rsidRPr="009E73FF">
        <w:rPr>
          <w:sz w:val="24"/>
        </w:rPr>
        <w:t xml:space="preserve"> </w:t>
      </w:r>
      <w:r w:rsidRPr="009E73FF">
        <w:rPr>
          <w:sz w:val="18"/>
          <w:szCs w:val="18"/>
        </w:rPr>
        <w:t>= Based on ¾-inch meter classification, see company’s tariff for upsize meter classification</w:t>
      </w:r>
      <w:r>
        <w:rPr>
          <w:sz w:val="18"/>
          <w:szCs w:val="18"/>
        </w:rPr>
        <w:t>, usage blocks</w:t>
      </w:r>
      <w:r w:rsidRPr="009E73FF">
        <w:rPr>
          <w:sz w:val="18"/>
          <w:szCs w:val="18"/>
        </w:rPr>
        <w:t xml:space="preserve"> and rates.</w:t>
      </w:r>
    </w:p>
    <w:p w:rsidR="000272F2" w:rsidRPr="00F23F3C"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2</w:t>
      </w:r>
      <w:r w:rsidRPr="00F23F3C">
        <w:rPr>
          <w:sz w:val="24"/>
        </w:rPr>
        <w:t xml:space="preserve"> </w:t>
      </w:r>
      <w:r w:rsidRPr="009E73FF">
        <w:rPr>
          <w:sz w:val="18"/>
          <w:szCs w:val="18"/>
        </w:rPr>
        <w:t xml:space="preserve">= </w:t>
      </w:r>
      <w:r w:rsidRPr="00F23F3C">
        <w:rPr>
          <w:sz w:val="18"/>
          <w:szCs w:val="18"/>
        </w:rPr>
        <w:t>Based on ¾-inch meter classification, see company’s tariff for specific water systems going to single-tariff pricing.</w:t>
      </w:r>
    </w:p>
    <w:p w:rsidR="000272F2" w:rsidRDefault="000272F2"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514FA3" w:rsidRPr="00591778" w:rsidTr="004E22DB">
        <w:tc>
          <w:tcPr>
            <w:tcW w:w="2175" w:type="pct"/>
          </w:tcPr>
          <w:p w:rsidR="00514FA3" w:rsidRPr="00591778" w:rsidRDefault="00514FA3" w:rsidP="003F5CCC">
            <w:pPr>
              <w:pStyle w:val="Heading1"/>
              <w:rPr>
                <w:b/>
              </w:rPr>
            </w:pPr>
            <w:r>
              <w:rPr>
                <w:b/>
              </w:rPr>
              <w:lastRenderedPageBreak/>
              <w:t>Ancillary Charges</w:t>
            </w:r>
          </w:p>
        </w:tc>
        <w:tc>
          <w:tcPr>
            <w:tcW w:w="1323" w:type="pct"/>
            <w:vAlign w:val="center"/>
          </w:tcPr>
          <w:p w:rsidR="00514FA3" w:rsidRPr="00591778" w:rsidRDefault="00514FA3" w:rsidP="003F5CCC">
            <w:pPr>
              <w:jc w:val="center"/>
              <w:rPr>
                <w:b/>
                <w:sz w:val="24"/>
              </w:rPr>
            </w:pPr>
            <w:r w:rsidRPr="00591778">
              <w:rPr>
                <w:b/>
                <w:sz w:val="24"/>
              </w:rPr>
              <w:t>Current Rate</w:t>
            </w:r>
          </w:p>
        </w:tc>
        <w:tc>
          <w:tcPr>
            <w:tcW w:w="1502" w:type="pct"/>
          </w:tcPr>
          <w:p w:rsidR="00514FA3" w:rsidRPr="00591778" w:rsidRDefault="00514FA3" w:rsidP="003F5CCC">
            <w:pPr>
              <w:jc w:val="center"/>
              <w:rPr>
                <w:b/>
                <w:sz w:val="24"/>
              </w:rPr>
            </w:pPr>
            <w:r w:rsidRPr="00591778">
              <w:rPr>
                <w:b/>
                <w:sz w:val="24"/>
              </w:rPr>
              <w:t>Proposed Rate</w:t>
            </w:r>
          </w:p>
        </w:tc>
      </w:tr>
      <w:tr w:rsidR="00E75AAA" w:rsidRPr="008A674C" w:rsidTr="004E22DB">
        <w:tc>
          <w:tcPr>
            <w:tcW w:w="2175" w:type="pct"/>
          </w:tcPr>
          <w:p w:rsidR="00E75AAA" w:rsidRDefault="00E75AAA" w:rsidP="005E77AF">
            <w:pPr>
              <w:pStyle w:val="Heading1"/>
              <w:jc w:val="left"/>
            </w:pPr>
            <w:r>
              <w:t>Credit Card Convenience Fee</w:t>
            </w:r>
          </w:p>
        </w:tc>
        <w:tc>
          <w:tcPr>
            <w:tcW w:w="1323" w:type="pct"/>
          </w:tcPr>
          <w:p w:rsidR="00E75AAA" w:rsidRDefault="00E75AAA" w:rsidP="00CB33CF">
            <w:pPr>
              <w:jc w:val="center"/>
              <w:rPr>
                <w:sz w:val="24"/>
              </w:rPr>
            </w:pPr>
            <w:r>
              <w:rPr>
                <w:sz w:val="24"/>
              </w:rPr>
              <w:t>N/A</w:t>
            </w:r>
          </w:p>
        </w:tc>
        <w:tc>
          <w:tcPr>
            <w:tcW w:w="1502" w:type="pct"/>
          </w:tcPr>
          <w:p w:rsidR="00E75AAA" w:rsidRDefault="00E75AAA" w:rsidP="00CB33CF">
            <w:pPr>
              <w:jc w:val="center"/>
              <w:rPr>
                <w:sz w:val="24"/>
              </w:rPr>
            </w:pPr>
            <w:r>
              <w:rPr>
                <w:sz w:val="24"/>
              </w:rPr>
              <w:t>$1.25</w:t>
            </w:r>
          </w:p>
        </w:tc>
      </w:tr>
    </w:tbl>
    <w:p w:rsidR="00E75AAA" w:rsidRDefault="00E75AAA" w:rsidP="00E7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272F2" w:rsidRDefault="000272F2" w:rsidP="00E75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8A2603" w:rsidRDefault="00C92D5C" w:rsidP="00C92D5C">
      <w:pPr>
        <w:jc w:val="center"/>
        <w:rPr>
          <w:b/>
          <w:sz w:val="24"/>
          <w:u w:val="single"/>
        </w:rPr>
      </w:pPr>
      <w:r>
        <w:rPr>
          <w:b/>
          <w:sz w:val="24"/>
          <w:u w:val="single"/>
        </w:rPr>
        <w:t>Average Bill</w:t>
      </w:r>
      <w:r w:rsidRPr="008A2603">
        <w:rPr>
          <w:b/>
          <w:sz w:val="24"/>
          <w:u w:val="single"/>
        </w:rPr>
        <w:t xml:space="preserve"> Comparison</w:t>
      </w:r>
    </w:p>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4F573A" w:rsidRPr="00591778" w:rsidTr="004E22DB">
        <w:tc>
          <w:tcPr>
            <w:tcW w:w="2179" w:type="pct"/>
          </w:tcPr>
          <w:p w:rsidR="004F573A" w:rsidRDefault="004F573A" w:rsidP="003F5CCC">
            <w:pPr>
              <w:pStyle w:val="Heading1"/>
              <w:rPr>
                <w:b/>
              </w:rPr>
            </w:pPr>
            <w:r>
              <w:rPr>
                <w:b/>
              </w:rPr>
              <w:t xml:space="preserve">Average </w:t>
            </w:r>
            <w:r w:rsidRPr="00591778">
              <w:rPr>
                <w:b/>
              </w:rPr>
              <w:t xml:space="preserve">Monthly </w:t>
            </w:r>
            <w:r>
              <w:rPr>
                <w:b/>
              </w:rPr>
              <w:t>Usage</w:t>
            </w:r>
          </w:p>
          <w:p w:rsidR="004F573A" w:rsidRPr="00591778" w:rsidRDefault="005E77AF" w:rsidP="005E77AF">
            <w:pPr>
              <w:pStyle w:val="Heading1"/>
              <w:rPr>
                <w:b/>
              </w:rPr>
            </w:pPr>
            <w:r>
              <w:rPr>
                <w:b/>
              </w:rPr>
              <w:t>1,00</w:t>
            </w:r>
            <w:r w:rsidR="004F573A">
              <w:rPr>
                <w:b/>
              </w:rPr>
              <w:t>5 cubic feet</w:t>
            </w:r>
          </w:p>
        </w:tc>
        <w:tc>
          <w:tcPr>
            <w:tcW w:w="1325" w:type="pct"/>
            <w:vAlign w:val="center"/>
          </w:tcPr>
          <w:p w:rsidR="004F573A" w:rsidRDefault="004F573A" w:rsidP="003F5CCC">
            <w:pPr>
              <w:jc w:val="center"/>
              <w:rPr>
                <w:b/>
                <w:sz w:val="24"/>
              </w:rPr>
            </w:pPr>
          </w:p>
          <w:p w:rsidR="004F573A" w:rsidRPr="00591778" w:rsidRDefault="004F573A" w:rsidP="003F5CCC">
            <w:pPr>
              <w:jc w:val="center"/>
              <w:rPr>
                <w:b/>
                <w:sz w:val="24"/>
              </w:rPr>
            </w:pPr>
            <w:r w:rsidRPr="00591778">
              <w:rPr>
                <w:b/>
                <w:sz w:val="24"/>
              </w:rPr>
              <w:t>Current Rate</w:t>
            </w:r>
          </w:p>
        </w:tc>
        <w:tc>
          <w:tcPr>
            <w:tcW w:w="1496" w:type="pct"/>
          </w:tcPr>
          <w:p w:rsidR="004F573A" w:rsidRDefault="004F573A" w:rsidP="003F5CCC">
            <w:pPr>
              <w:jc w:val="center"/>
              <w:rPr>
                <w:b/>
                <w:sz w:val="24"/>
              </w:rPr>
            </w:pPr>
          </w:p>
          <w:p w:rsidR="004F573A" w:rsidRPr="00591778" w:rsidRDefault="004F573A" w:rsidP="003F5CCC">
            <w:pPr>
              <w:jc w:val="center"/>
              <w:rPr>
                <w:b/>
                <w:sz w:val="24"/>
              </w:rPr>
            </w:pPr>
            <w:r w:rsidRPr="00591778">
              <w:rPr>
                <w:b/>
                <w:sz w:val="24"/>
              </w:rPr>
              <w:t>Proposed Rate</w:t>
            </w:r>
          </w:p>
        </w:tc>
      </w:tr>
      <w:tr w:rsidR="004F573A" w:rsidRPr="008A674C" w:rsidTr="004E22DB">
        <w:tc>
          <w:tcPr>
            <w:tcW w:w="2179" w:type="pct"/>
          </w:tcPr>
          <w:p w:rsidR="004F573A" w:rsidRPr="00E25CDB" w:rsidRDefault="004F573A" w:rsidP="003F5CCC">
            <w:pPr>
              <w:pStyle w:val="Heading1"/>
              <w:jc w:val="left"/>
            </w:pPr>
            <w:r>
              <w:t>Base Rate (¾-inch meter)</w:t>
            </w:r>
          </w:p>
        </w:tc>
        <w:tc>
          <w:tcPr>
            <w:tcW w:w="1325" w:type="pct"/>
          </w:tcPr>
          <w:p w:rsidR="004F573A" w:rsidRPr="00E25CDB" w:rsidRDefault="004F573A" w:rsidP="005E77AF">
            <w:pPr>
              <w:jc w:val="center"/>
              <w:rPr>
                <w:sz w:val="24"/>
              </w:rPr>
            </w:pPr>
            <w:r w:rsidRPr="00E25CDB">
              <w:rPr>
                <w:sz w:val="24"/>
              </w:rPr>
              <w:t>$</w:t>
            </w:r>
            <w:r w:rsidR="005E77AF">
              <w:rPr>
                <w:sz w:val="24"/>
              </w:rPr>
              <w:t>18</w:t>
            </w:r>
            <w:r w:rsidR="00370D83">
              <w:rPr>
                <w:sz w:val="24"/>
              </w:rPr>
              <w:t>.</w:t>
            </w:r>
            <w:r w:rsidR="005E77AF">
              <w:rPr>
                <w:sz w:val="24"/>
              </w:rPr>
              <w:t>21</w:t>
            </w:r>
          </w:p>
        </w:tc>
        <w:tc>
          <w:tcPr>
            <w:tcW w:w="1496" w:type="pct"/>
          </w:tcPr>
          <w:p w:rsidR="004F573A" w:rsidRPr="00E25CDB" w:rsidRDefault="004F573A" w:rsidP="005E77AF">
            <w:pPr>
              <w:jc w:val="center"/>
              <w:rPr>
                <w:sz w:val="24"/>
              </w:rPr>
            </w:pPr>
            <w:r>
              <w:rPr>
                <w:sz w:val="24"/>
              </w:rPr>
              <w:t>$</w:t>
            </w:r>
            <w:r w:rsidR="00370D83">
              <w:rPr>
                <w:sz w:val="24"/>
              </w:rPr>
              <w:t>2</w:t>
            </w:r>
            <w:r w:rsidR="005E77AF">
              <w:rPr>
                <w:sz w:val="24"/>
              </w:rPr>
              <w:t>2</w:t>
            </w:r>
            <w:r w:rsidR="00370D83">
              <w:rPr>
                <w:sz w:val="24"/>
              </w:rPr>
              <w:t>.</w:t>
            </w:r>
            <w:r w:rsidR="005E77AF">
              <w:rPr>
                <w:sz w:val="24"/>
              </w:rPr>
              <w:t>15</w:t>
            </w:r>
          </w:p>
        </w:tc>
      </w:tr>
      <w:tr w:rsidR="005E77AF" w:rsidRPr="008A674C" w:rsidTr="004E22DB">
        <w:tc>
          <w:tcPr>
            <w:tcW w:w="2179" w:type="pct"/>
          </w:tcPr>
          <w:p w:rsidR="005E77AF" w:rsidRPr="00E25CDB" w:rsidRDefault="005E77AF" w:rsidP="005E77AF">
            <w:pPr>
              <w:rPr>
                <w:sz w:val="24"/>
              </w:rPr>
            </w:pPr>
            <w:r>
              <w:rPr>
                <w:sz w:val="24"/>
              </w:rPr>
              <w:t>0 – 400 Cubic Feet</w:t>
            </w:r>
          </w:p>
        </w:tc>
        <w:tc>
          <w:tcPr>
            <w:tcW w:w="1325" w:type="pct"/>
          </w:tcPr>
          <w:p w:rsidR="005E77AF" w:rsidRPr="00E25CDB" w:rsidRDefault="005E77AF" w:rsidP="005E77AF">
            <w:pPr>
              <w:jc w:val="center"/>
              <w:rPr>
                <w:sz w:val="24"/>
              </w:rPr>
            </w:pPr>
            <w:r>
              <w:rPr>
                <w:sz w:val="24"/>
              </w:rPr>
              <w:t>$6.60</w:t>
            </w:r>
          </w:p>
        </w:tc>
        <w:tc>
          <w:tcPr>
            <w:tcW w:w="1496" w:type="pct"/>
          </w:tcPr>
          <w:p w:rsidR="005E77AF" w:rsidRPr="00E25CDB" w:rsidRDefault="005E77AF" w:rsidP="005E77AF">
            <w:pPr>
              <w:jc w:val="center"/>
              <w:rPr>
                <w:sz w:val="24"/>
              </w:rPr>
            </w:pPr>
            <w:r>
              <w:rPr>
                <w:sz w:val="24"/>
              </w:rPr>
              <w:t>$8.40</w:t>
            </w:r>
          </w:p>
        </w:tc>
      </w:tr>
      <w:tr w:rsidR="005E77AF" w:rsidRPr="008A674C" w:rsidTr="009C2402">
        <w:tc>
          <w:tcPr>
            <w:tcW w:w="2179" w:type="pct"/>
          </w:tcPr>
          <w:p w:rsidR="005E77AF" w:rsidRDefault="005E77AF" w:rsidP="005E77AF">
            <w:pPr>
              <w:rPr>
                <w:sz w:val="24"/>
              </w:rPr>
            </w:pPr>
            <w:r>
              <w:rPr>
                <w:sz w:val="24"/>
              </w:rPr>
              <w:t>401 – 1,005 Cubic Feet</w:t>
            </w:r>
          </w:p>
        </w:tc>
        <w:tc>
          <w:tcPr>
            <w:tcW w:w="1325" w:type="pct"/>
            <w:tcBorders>
              <w:bottom w:val="single" w:sz="18" w:space="0" w:color="auto"/>
            </w:tcBorders>
          </w:tcPr>
          <w:p w:rsidR="005E77AF" w:rsidRDefault="005E77AF" w:rsidP="00370D83">
            <w:pPr>
              <w:jc w:val="center"/>
              <w:rPr>
                <w:sz w:val="24"/>
              </w:rPr>
            </w:pPr>
            <w:r>
              <w:rPr>
                <w:sz w:val="24"/>
              </w:rPr>
              <w:t>$10.59</w:t>
            </w:r>
          </w:p>
        </w:tc>
        <w:tc>
          <w:tcPr>
            <w:tcW w:w="1496" w:type="pct"/>
            <w:tcBorders>
              <w:bottom w:val="single" w:sz="18" w:space="0" w:color="auto"/>
            </w:tcBorders>
          </w:tcPr>
          <w:p w:rsidR="005E77AF" w:rsidRDefault="005E77AF" w:rsidP="00370D83">
            <w:pPr>
              <w:jc w:val="center"/>
              <w:rPr>
                <w:sz w:val="24"/>
              </w:rPr>
            </w:pPr>
            <w:r>
              <w:rPr>
                <w:sz w:val="24"/>
              </w:rPr>
              <w:t>$13.92</w:t>
            </w:r>
          </w:p>
        </w:tc>
      </w:tr>
      <w:tr w:rsidR="004F573A" w:rsidRPr="008A674C" w:rsidTr="009C2402">
        <w:tc>
          <w:tcPr>
            <w:tcW w:w="2179" w:type="pct"/>
          </w:tcPr>
          <w:p w:rsidR="004F573A" w:rsidRDefault="004F573A" w:rsidP="003F5CCC">
            <w:pPr>
              <w:rPr>
                <w:sz w:val="24"/>
              </w:rPr>
            </w:pPr>
            <w:r>
              <w:rPr>
                <w:sz w:val="24"/>
              </w:rPr>
              <w:t>Average Monthly Bill</w:t>
            </w:r>
          </w:p>
        </w:tc>
        <w:tc>
          <w:tcPr>
            <w:tcW w:w="1325" w:type="pct"/>
            <w:tcBorders>
              <w:top w:val="single" w:sz="18" w:space="0" w:color="auto"/>
              <w:bottom w:val="double" w:sz="4" w:space="0" w:color="auto"/>
            </w:tcBorders>
          </w:tcPr>
          <w:p w:rsidR="004F573A" w:rsidRDefault="004F573A" w:rsidP="00370D83">
            <w:pPr>
              <w:jc w:val="center"/>
              <w:rPr>
                <w:sz w:val="24"/>
              </w:rPr>
            </w:pPr>
            <w:r>
              <w:rPr>
                <w:sz w:val="24"/>
              </w:rPr>
              <w:t>$</w:t>
            </w:r>
            <w:r w:rsidR="009C2402">
              <w:rPr>
                <w:sz w:val="24"/>
              </w:rPr>
              <w:t>35.40</w:t>
            </w:r>
          </w:p>
        </w:tc>
        <w:tc>
          <w:tcPr>
            <w:tcW w:w="1496" w:type="pct"/>
            <w:tcBorders>
              <w:top w:val="single" w:sz="18" w:space="0" w:color="auto"/>
              <w:bottom w:val="double" w:sz="4" w:space="0" w:color="auto"/>
            </w:tcBorders>
          </w:tcPr>
          <w:p w:rsidR="004F573A" w:rsidRPr="00E25CDB" w:rsidRDefault="004F573A" w:rsidP="00370D83">
            <w:pPr>
              <w:jc w:val="center"/>
              <w:rPr>
                <w:sz w:val="24"/>
              </w:rPr>
            </w:pPr>
            <w:r>
              <w:rPr>
                <w:sz w:val="24"/>
              </w:rPr>
              <w:t>$</w:t>
            </w:r>
            <w:r w:rsidR="00370D83">
              <w:rPr>
                <w:sz w:val="24"/>
              </w:rPr>
              <w:t>4</w:t>
            </w:r>
            <w:r w:rsidR="005E77AF">
              <w:rPr>
                <w:sz w:val="24"/>
              </w:rPr>
              <w:t>4.47</w:t>
            </w:r>
          </w:p>
        </w:tc>
      </w:tr>
      <w:tr w:rsidR="009C2402" w:rsidRPr="008A674C" w:rsidTr="009C2402">
        <w:tc>
          <w:tcPr>
            <w:tcW w:w="3504" w:type="pct"/>
            <w:gridSpan w:val="2"/>
            <w:tcBorders>
              <w:bottom w:val="single" w:sz="4" w:space="0" w:color="auto"/>
            </w:tcBorders>
          </w:tcPr>
          <w:p w:rsidR="009C2402" w:rsidRDefault="009C2402" w:rsidP="009C2402">
            <w:pPr>
              <w:pStyle w:val="Heading1"/>
              <w:jc w:val="left"/>
            </w:pPr>
          </w:p>
        </w:tc>
        <w:tc>
          <w:tcPr>
            <w:tcW w:w="1496" w:type="pct"/>
            <w:tcBorders>
              <w:top w:val="single" w:sz="4" w:space="0" w:color="auto"/>
              <w:bottom w:val="single" w:sz="4" w:space="0" w:color="auto"/>
            </w:tcBorders>
          </w:tcPr>
          <w:p w:rsidR="009C2402" w:rsidRDefault="009C2402" w:rsidP="009C2402">
            <w:pPr>
              <w:pStyle w:val="Heading1"/>
            </w:pPr>
            <w:r>
              <w:t>25.6%</w:t>
            </w:r>
          </w:p>
        </w:tc>
      </w:tr>
    </w:tbl>
    <w:p w:rsidR="00A7532A" w:rsidRDefault="00A7532A"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Default="002D3C9C" w:rsidP="002D3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469D">
        <w:rPr>
          <w:sz w:val="24"/>
        </w:rPr>
        <w:t xml:space="preserve">Commission staff has </w:t>
      </w:r>
      <w:r w:rsidR="004F573A">
        <w:rPr>
          <w:sz w:val="24"/>
        </w:rPr>
        <w:t xml:space="preserve">not </w:t>
      </w:r>
      <w:r w:rsidRPr="00EB469D">
        <w:rPr>
          <w:sz w:val="24"/>
        </w:rPr>
        <w:t>completed its review of the company’s supporting financial documents, books and records</w:t>
      </w:r>
      <w:r w:rsidR="001562E7" w:rsidRPr="001562E7">
        <w:rPr>
          <w:sz w:val="24"/>
        </w:rPr>
        <w:t>.</w:t>
      </w:r>
      <w:r w:rsidR="00921716">
        <w:rPr>
          <w:sz w:val="24"/>
        </w:rPr>
        <w:t xml:space="preserve"> Therefore, the company has not demonstrated that the proposed rates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7114E" w:rsidRDefault="00C92D5C" w:rsidP="0074693E">
      <w:pPr>
        <w:pStyle w:val="BodyText"/>
        <w:rPr>
          <w:rFonts w:ascii="Times New Roman" w:hAnsi="Times New Roman"/>
          <w:color w:val="000000"/>
        </w:rPr>
      </w:pPr>
      <w:r w:rsidRPr="004F573A">
        <w:rPr>
          <w:rFonts w:ascii="Times New Roman" w:hAnsi="Times New Roman"/>
          <w:color w:val="000000"/>
        </w:rPr>
        <w:t xml:space="preserve">Issue a Complaint and Order Suspending the Tariff Revisions filed by </w:t>
      </w:r>
      <w:r w:rsidR="009D09DE">
        <w:rPr>
          <w:rFonts w:ascii="Times New Roman" w:hAnsi="Times New Roman"/>
          <w:color w:val="000000"/>
        </w:rPr>
        <w:t>Washington Water Service Company</w:t>
      </w:r>
      <w:r w:rsidR="004F573A" w:rsidRPr="004F573A">
        <w:rPr>
          <w:rFonts w:ascii="Times New Roman" w:hAnsi="Times New Roman"/>
          <w:color w:val="000000"/>
        </w:rPr>
        <w:t>.</w:t>
      </w:r>
    </w:p>
    <w:p w:rsidR="0074693E" w:rsidRPr="004F573A" w:rsidRDefault="0074693E" w:rsidP="0074693E">
      <w:pPr>
        <w:pStyle w:val="BodyText"/>
        <w:ind w:left="360"/>
        <w:rPr>
          <w:rFonts w:ascii="Times New Roman" w:hAnsi="Times New Roman"/>
          <w:color w:val="000000"/>
        </w:rPr>
      </w:pPr>
    </w:p>
    <w:sectPr w:rsidR="0074693E" w:rsidRPr="004F573A" w:rsidSect="009F7A47">
      <w:headerReference w:type="default" r:id="rId13"/>
      <w:footnotePr>
        <w:numRestart w:val="eachPage"/>
      </w:footnotePr>
      <w:endnotePr>
        <w:numFmt w:val="decimal"/>
        <w:numRestart w:val="eachSect"/>
      </w:endnotePr>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3C" w:rsidRDefault="00F23F3C">
      <w:r>
        <w:separator/>
      </w:r>
    </w:p>
  </w:endnote>
  <w:endnote w:type="continuationSeparator" w:id="0">
    <w:p w:rsidR="00F23F3C" w:rsidRDefault="00F23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3C" w:rsidRDefault="00F23F3C">
      <w:r>
        <w:separator/>
      </w:r>
    </w:p>
  </w:footnote>
  <w:footnote w:type="continuationSeparator" w:id="0">
    <w:p w:rsidR="00F23F3C" w:rsidRDefault="00F23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3C" w:rsidRPr="00FE0AD1" w:rsidRDefault="00F23F3C" w:rsidP="003972A8">
    <w:r w:rsidRPr="00FE0AD1">
      <w:t xml:space="preserve">Docket </w:t>
    </w:r>
    <w:r>
      <w:t>UW</w:t>
    </w:r>
    <w:r w:rsidRPr="00FE0AD1">
      <w:t>-0</w:t>
    </w:r>
    <w:r>
      <w:t>90733</w:t>
    </w:r>
  </w:p>
  <w:p w:rsidR="00F23F3C" w:rsidRDefault="00F23F3C" w:rsidP="003972A8">
    <w:r>
      <w:t>June 25</w:t>
    </w:r>
    <w:r w:rsidRPr="00FE0AD1">
      <w:t>, 200</w:t>
    </w:r>
    <w:r>
      <w:t>9</w:t>
    </w:r>
  </w:p>
  <w:p w:rsidR="00F23F3C" w:rsidRPr="00FE0AD1" w:rsidRDefault="00F23F3C" w:rsidP="003972A8">
    <w:r>
      <w:t xml:space="preserve">Page </w:t>
    </w:r>
    <w:fldSimple w:instr=" PAGE   \* MERGEFORMAT ">
      <w:r w:rsidR="00094F03">
        <w:rPr>
          <w:noProof/>
        </w:rPr>
        <w:t>5</w:t>
      </w:r>
    </w:fldSimple>
  </w:p>
  <w:p w:rsidR="00F23F3C" w:rsidRDefault="00F23F3C" w:rsidP="003972A8">
    <w:pPr>
      <w:rPr>
        <w:rFonts w:ascii="Palatino Linotype" w:hAnsi="Palatino Linotype"/>
      </w:rPr>
    </w:pPr>
  </w:p>
  <w:p w:rsidR="00F23F3C" w:rsidRDefault="00F23F3C" w:rsidP="0039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4"/>
  </w:num>
  <w:num w:numId="2">
    <w:abstractNumId w:val="11"/>
  </w:num>
  <w:num w:numId="3">
    <w:abstractNumId w:val="2"/>
  </w:num>
  <w:num w:numId="4">
    <w:abstractNumId w:val="17"/>
  </w:num>
  <w:num w:numId="5">
    <w:abstractNumId w:val="12"/>
  </w:num>
  <w:num w:numId="6">
    <w:abstractNumId w:val="18"/>
  </w:num>
  <w:num w:numId="7">
    <w:abstractNumId w:val="10"/>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8129"/>
  </w:hdrShapeDefaults>
  <w:footnotePr>
    <w:numRestart w:val="eachPage"/>
    <w:footnote w:id="-1"/>
    <w:footnote w:id="0"/>
  </w:footnotePr>
  <w:endnotePr>
    <w:numFmt w:val="decimal"/>
    <w:numRestart w:val="eachSect"/>
    <w:endnote w:id="-1"/>
    <w:endnote w:id="0"/>
  </w:endnotePr>
  <w:compat/>
  <w:rsids>
    <w:rsidRoot w:val="007155BE"/>
    <w:rsid w:val="000173B0"/>
    <w:rsid w:val="000239EC"/>
    <w:rsid w:val="000272F2"/>
    <w:rsid w:val="00031478"/>
    <w:rsid w:val="0003355F"/>
    <w:rsid w:val="000377B4"/>
    <w:rsid w:val="00037E0B"/>
    <w:rsid w:val="0004008D"/>
    <w:rsid w:val="00041309"/>
    <w:rsid w:val="00043973"/>
    <w:rsid w:val="00046200"/>
    <w:rsid w:val="00047507"/>
    <w:rsid w:val="00055129"/>
    <w:rsid w:val="0005582B"/>
    <w:rsid w:val="00065632"/>
    <w:rsid w:val="00067859"/>
    <w:rsid w:val="00072E8D"/>
    <w:rsid w:val="00074C54"/>
    <w:rsid w:val="00075A42"/>
    <w:rsid w:val="00081B70"/>
    <w:rsid w:val="000827B0"/>
    <w:rsid w:val="000838FA"/>
    <w:rsid w:val="00084C44"/>
    <w:rsid w:val="0008586F"/>
    <w:rsid w:val="00086219"/>
    <w:rsid w:val="0009317F"/>
    <w:rsid w:val="00094B75"/>
    <w:rsid w:val="00094F03"/>
    <w:rsid w:val="000A2FD7"/>
    <w:rsid w:val="000A3702"/>
    <w:rsid w:val="000C4017"/>
    <w:rsid w:val="000D23A6"/>
    <w:rsid w:val="000D41FB"/>
    <w:rsid w:val="000D6EE8"/>
    <w:rsid w:val="000E1243"/>
    <w:rsid w:val="000E5DC6"/>
    <w:rsid w:val="000F23B0"/>
    <w:rsid w:val="000F4ACF"/>
    <w:rsid w:val="001076A0"/>
    <w:rsid w:val="0011212E"/>
    <w:rsid w:val="001135C4"/>
    <w:rsid w:val="00114DD1"/>
    <w:rsid w:val="0011781B"/>
    <w:rsid w:val="00117D13"/>
    <w:rsid w:val="00122EA8"/>
    <w:rsid w:val="00126912"/>
    <w:rsid w:val="001324CB"/>
    <w:rsid w:val="00137FE5"/>
    <w:rsid w:val="00144F9A"/>
    <w:rsid w:val="0015140F"/>
    <w:rsid w:val="001562E7"/>
    <w:rsid w:val="00161E2E"/>
    <w:rsid w:val="00164BEE"/>
    <w:rsid w:val="00170536"/>
    <w:rsid w:val="001742F3"/>
    <w:rsid w:val="00175973"/>
    <w:rsid w:val="00180222"/>
    <w:rsid w:val="00186229"/>
    <w:rsid w:val="00187729"/>
    <w:rsid w:val="0019005A"/>
    <w:rsid w:val="00194D3A"/>
    <w:rsid w:val="001A11EB"/>
    <w:rsid w:val="001A53BD"/>
    <w:rsid w:val="001B4800"/>
    <w:rsid w:val="001B5380"/>
    <w:rsid w:val="001B6123"/>
    <w:rsid w:val="001B710E"/>
    <w:rsid w:val="001C1460"/>
    <w:rsid w:val="001C2403"/>
    <w:rsid w:val="001D28F3"/>
    <w:rsid w:val="001D778D"/>
    <w:rsid w:val="001E641B"/>
    <w:rsid w:val="001E72E0"/>
    <w:rsid w:val="001E75E1"/>
    <w:rsid w:val="001F0C45"/>
    <w:rsid w:val="001F467F"/>
    <w:rsid w:val="00203487"/>
    <w:rsid w:val="00204E23"/>
    <w:rsid w:val="00213BCA"/>
    <w:rsid w:val="0021504E"/>
    <w:rsid w:val="002176AB"/>
    <w:rsid w:val="00217DCB"/>
    <w:rsid w:val="00225605"/>
    <w:rsid w:val="002266B1"/>
    <w:rsid w:val="002305D7"/>
    <w:rsid w:val="002348E0"/>
    <w:rsid w:val="002349CB"/>
    <w:rsid w:val="0024162C"/>
    <w:rsid w:val="002520CC"/>
    <w:rsid w:val="0026637B"/>
    <w:rsid w:val="00266901"/>
    <w:rsid w:val="00266CBB"/>
    <w:rsid w:val="00267644"/>
    <w:rsid w:val="002744F3"/>
    <w:rsid w:val="0027508C"/>
    <w:rsid w:val="0027629F"/>
    <w:rsid w:val="0028656E"/>
    <w:rsid w:val="0029365C"/>
    <w:rsid w:val="002974EA"/>
    <w:rsid w:val="002A1B14"/>
    <w:rsid w:val="002A5D58"/>
    <w:rsid w:val="002A7679"/>
    <w:rsid w:val="002A7DD8"/>
    <w:rsid w:val="002B02AE"/>
    <w:rsid w:val="002B3B6D"/>
    <w:rsid w:val="002B45F3"/>
    <w:rsid w:val="002C1D40"/>
    <w:rsid w:val="002C32B7"/>
    <w:rsid w:val="002C5140"/>
    <w:rsid w:val="002C5D52"/>
    <w:rsid w:val="002C6821"/>
    <w:rsid w:val="002C7517"/>
    <w:rsid w:val="002D3175"/>
    <w:rsid w:val="002D3C9C"/>
    <w:rsid w:val="002D4F2A"/>
    <w:rsid w:val="002E1061"/>
    <w:rsid w:val="002E68BC"/>
    <w:rsid w:val="00302934"/>
    <w:rsid w:val="00303C2C"/>
    <w:rsid w:val="0030716F"/>
    <w:rsid w:val="003114F0"/>
    <w:rsid w:val="0031289C"/>
    <w:rsid w:val="00313EEB"/>
    <w:rsid w:val="003141B2"/>
    <w:rsid w:val="003146BC"/>
    <w:rsid w:val="00314BBD"/>
    <w:rsid w:val="00321781"/>
    <w:rsid w:val="00322689"/>
    <w:rsid w:val="00323666"/>
    <w:rsid w:val="00332584"/>
    <w:rsid w:val="00340D58"/>
    <w:rsid w:val="003438D6"/>
    <w:rsid w:val="00343ABB"/>
    <w:rsid w:val="00344835"/>
    <w:rsid w:val="00347FA8"/>
    <w:rsid w:val="00350743"/>
    <w:rsid w:val="00361D71"/>
    <w:rsid w:val="0036450B"/>
    <w:rsid w:val="00365C95"/>
    <w:rsid w:val="00366F5F"/>
    <w:rsid w:val="00370CA1"/>
    <w:rsid w:val="00370D83"/>
    <w:rsid w:val="00372419"/>
    <w:rsid w:val="00374A1C"/>
    <w:rsid w:val="00376C63"/>
    <w:rsid w:val="00382C0C"/>
    <w:rsid w:val="00391233"/>
    <w:rsid w:val="00393E46"/>
    <w:rsid w:val="003972A8"/>
    <w:rsid w:val="003A0501"/>
    <w:rsid w:val="003A1BCF"/>
    <w:rsid w:val="003A2597"/>
    <w:rsid w:val="003B0895"/>
    <w:rsid w:val="003B3C66"/>
    <w:rsid w:val="003C0088"/>
    <w:rsid w:val="003C01D6"/>
    <w:rsid w:val="003C134F"/>
    <w:rsid w:val="003C18AE"/>
    <w:rsid w:val="003C2175"/>
    <w:rsid w:val="003C3D11"/>
    <w:rsid w:val="003C67A3"/>
    <w:rsid w:val="003C67BF"/>
    <w:rsid w:val="003C686F"/>
    <w:rsid w:val="003D1063"/>
    <w:rsid w:val="003D7349"/>
    <w:rsid w:val="003E071D"/>
    <w:rsid w:val="003E2C21"/>
    <w:rsid w:val="003E4343"/>
    <w:rsid w:val="003E4D88"/>
    <w:rsid w:val="003E79FB"/>
    <w:rsid w:val="003F10C8"/>
    <w:rsid w:val="003F15B9"/>
    <w:rsid w:val="003F5CCC"/>
    <w:rsid w:val="003F5D7F"/>
    <w:rsid w:val="00417BAB"/>
    <w:rsid w:val="0042096A"/>
    <w:rsid w:val="00424712"/>
    <w:rsid w:val="0042476D"/>
    <w:rsid w:val="0042497A"/>
    <w:rsid w:val="0042699C"/>
    <w:rsid w:val="00430463"/>
    <w:rsid w:val="00444293"/>
    <w:rsid w:val="0045500C"/>
    <w:rsid w:val="00456249"/>
    <w:rsid w:val="00461D5F"/>
    <w:rsid w:val="00461E5D"/>
    <w:rsid w:val="004627CC"/>
    <w:rsid w:val="004627D7"/>
    <w:rsid w:val="00464247"/>
    <w:rsid w:val="004721BB"/>
    <w:rsid w:val="00474A84"/>
    <w:rsid w:val="00475ADF"/>
    <w:rsid w:val="00476E39"/>
    <w:rsid w:val="004827C9"/>
    <w:rsid w:val="004842DE"/>
    <w:rsid w:val="004842F7"/>
    <w:rsid w:val="00493A07"/>
    <w:rsid w:val="004A2DA2"/>
    <w:rsid w:val="004A76DF"/>
    <w:rsid w:val="004B0362"/>
    <w:rsid w:val="004B2F58"/>
    <w:rsid w:val="004C113F"/>
    <w:rsid w:val="004D28EE"/>
    <w:rsid w:val="004D4B93"/>
    <w:rsid w:val="004E18AD"/>
    <w:rsid w:val="004E22DB"/>
    <w:rsid w:val="004E3190"/>
    <w:rsid w:val="004E5699"/>
    <w:rsid w:val="004F3381"/>
    <w:rsid w:val="004F4812"/>
    <w:rsid w:val="004F573A"/>
    <w:rsid w:val="0050347B"/>
    <w:rsid w:val="005115A6"/>
    <w:rsid w:val="005127A5"/>
    <w:rsid w:val="00512BB1"/>
    <w:rsid w:val="00514FA3"/>
    <w:rsid w:val="00517610"/>
    <w:rsid w:val="005252F4"/>
    <w:rsid w:val="0054044F"/>
    <w:rsid w:val="00550AE6"/>
    <w:rsid w:val="0055788D"/>
    <w:rsid w:val="005612F3"/>
    <w:rsid w:val="005770E2"/>
    <w:rsid w:val="00577473"/>
    <w:rsid w:val="00584D8E"/>
    <w:rsid w:val="00587C83"/>
    <w:rsid w:val="00591778"/>
    <w:rsid w:val="00592034"/>
    <w:rsid w:val="00597AC3"/>
    <w:rsid w:val="005A144B"/>
    <w:rsid w:val="005B2182"/>
    <w:rsid w:val="005B4AE8"/>
    <w:rsid w:val="005B4B55"/>
    <w:rsid w:val="005B7DDB"/>
    <w:rsid w:val="005C0529"/>
    <w:rsid w:val="005C21E5"/>
    <w:rsid w:val="005C27C6"/>
    <w:rsid w:val="005C479F"/>
    <w:rsid w:val="005C59FC"/>
    <w:rsid w:val="005C629F"/>
    <w:rsid w:val="005E77AF"/>
    <w:rsid w:val="005F3D6D"/>
    <w:rsid w:val="005F4E63"/>
    <w:rsid w:val="005F7ACB"/>
    <w:rsid w:val="0060344F"/>
    <w:rsid w:val="00605346"/>
    <w:rsid w:val="00610C4C"/>
    <w:rsid w:val="00621381"/>
    <w:rsid w:val="00622736"/>
    <w:rsid w:val="0062357E"/>
    <w:rsid w:val="0062405F"/>
    <w:rsid w:val="0062491C"/>
    <w:rsid w:val="006278C9"/>
    <w:rsid w:val="0063667A"/>
    <w:rsid w:val="00640663"/>
    <w:rsid w:val="00640709"/>
    <w:rsid w:val="0065301B"/>
    <w:rsid w:val="006536CD"/>
    <w:rsid w:val="006540D9"/>
    <w:rsid w:val="0065659A"/>
    <w:rsid w:val="00657956"/>
    <w:rsid w:val="00663672"/>
    <w:rsid w:val="00665795"/>
    <w:rsid w:val="00665BFB"/>
    <w:rsid w:val="00666D66"/>
    <w:rsid w:val="00672032"/>
    <w:rsid w:val="00674221"/>
    <w:rsid w:val="0067490D"/>
    <w:rsid w:val="00674E59"/>
    <w:rsid w:val="0067741B"/>
    <w:rsid w:val="006775D8"/>
    <w:rsid w:val="00677AFF"/>
    <w:rsid w:val="0068313F"/>
    <w:rsid w:val="00687E99"/>
    <w:rsid w:val="00693DDD"/>
    <w:rsid w:val="00697E4B"/>
    <w:rsid w:val="006A14CA"/>
    <w:rsid w:val="006B1DAC"/>
    <w:rsid w:val="006B42B1"/>
    <w:rsid w:val="006B626A"/>
    <w:rsid w:val="006C46E4"/>
    <w:rsid w:val="006D15B4"/>
    <w:rsid w:val="006D1974"/>
    <w:rsid w:val="006D1C3C"/>
    <w:rsid w:val="006E03AC"/>
    <w:rsid w:val="006E3010"/>
    <w:rsid w:val="006E4193"/>
    <w:rsid w:val="006E7760"/>
    <w:rsid w:val="006F4481"/>
    <w:rsid w:val="006F4A35"/>
    <w:rsid w:val="00702C6C"/>
    <w:rsid w:val="00705045"/>
    <w:rsid w:val="00705973"/>
    <w:rsid w:val="007155BE"/>
    <w:rsid w:val="00715F9B"/>
    <w:rsid w:val="00717F25"/>
    <w:rsid w:val="007221CB"/>
    <w:rsid w:val="00725C31"/>
    <w:rsid w:val="00731CF5"/>
    <w:rsid w:val="00736665"/>
    <w:rsid w:val="00737B9F"/>
    <w:rsid w:val="0074693E"/>
    <w:rsid w:val="007473F8"/>
    <w:rsid w:val="00754F16"/>
    <w:rsid w:val="007561F4"/>
    <w:rsid w:val="00763A89"/>
    <w:rsid w:val="00772711"/>
    <w:rsid w:val="00774E5D"/>
    <w:rsid w:val="007776FE"/>
    <w:rsid w:val="007854E7"/>
    <w:rsid w:val="00792A0E"/>
    <w:rsid w:val="0079685C"/>
    <w:rsid w:val="0079704F"/>
    <w:rsid w:val="007A2598"/>
    <w:rsid w:val="007A3E61"/>
    <w:rsid w:val="007B0BF1"/>
    <w:rsid w:val="007C0437"/>
    <w:rsid w:val="007C046B"/>
    <w:rsid w:val="007C0E67"/>
    <w:rsid w:val="007C424E"/>
    <w:rsid w:val="007C7312"/>
    <w:rsid w:val="007C7B37"/>
    <w:rsid w:val="007D4591"/>
    <w:rsid w:val="007E5FD2"/>
    <w:rsid w:val="007F0A9C"/>
    <w:rsid w:val="007F14D2"/>
    <w:rsid w:val="007F158A"/>
    <w:rsid w:val="00800185"/>
    <w:rsid w:val="008058FE"/>
    <w:rsid w:val="00807220"/>
    <w:rsid w:val="00824180"/>
    <w:rsid w:val="00832AA3"/>
    <w:rsid w:val="00841334"/>
    <w:rsid w:val="008415D8"/>
    <w:rsid w:val="00842072"/>
    <w:rsid w:val="00846CCD"/>
    <w:rsid w:val="008506EB"/>
    <w:rsid w:val="008540E8"/>
    <w:rsid w:val="00863257"/>
    <w:rsid w:val="008635C8"/>
    <w:rsid w:val="0086429A"/>
    <w:rsid w:val="0087114E"/>
    <w:rsid w:val="00873DC6"/>
    <w:rsid w:val="0087417F"/>
    <w:rsid w:val="00875156"/>
    <w:rsid w:val="00875556"/>
    <w:rsid w:val="0087756D"/>
    <w:rsid w:val="00881EA3"/>
    <w:rsid w:val="00885577"/>
    <w:rsid w:val="00887599"/>
    <w:rsid w:val="00894464"/>
    <w:rsid w:val="008956A7"/>
    <w:rsid w:val="008A49D4"/>
    <w:rsid w:val="008A5620"/>
    <w:rsid w:val="008A674C"/>
    <w:rsid w:val="008A7209"/>
    <w:rsid w:val="008B1983"/>
    <w:rsid w:val="008B1A43"/>
    <w:rsid w:val="008B44FE"/>
    <w:rsid w:val="008B4825"/>
    <w:rsid w:val="008B66BD"/>
    <w:rsid w:val="008B71DB"/>
    <w:rsid w:val="008C1B7B"/>
    <w:rsid w:val="008C3604"/>
    <w:rsid w:val="008D36A8"/>
    <w:rsid w:val="008E5E4C"/>
    <w:rsid w:val="008E7C63"/>
    <w:rsid w:val="008F44F9"/>
    <w:rsid w:val="00901180"/>
    <w:rsid w:val="009056DD"/>
    <w:rsid w:val="00910A43"/>
    <w:rsid w:val="009128D7"/>
    <w:rsid w:val="009141AD"/>
    <w:rsid w:val="00916157"/>
    <w:rsid w:val="00916ABB"/>
    <w:rsid w:val="00916D1D"/>
    <w:rsid w:val="00920E97"/>
    <w:rsid w:val="00921716"/>
    <w:rsid w:val="00921BD9"/>
    <w:rsid w:val="00921DA3"/>
    <w:rsid w:val="00941F35"/>
    <w:rsid w:val="00943F87"/>
    <w:rsid w:val="00951684"/>
    <w:rsid w:val="00953FAB"/>
    <w:rsid w:val="009545EE"/>
    <w:rsid w:val="00957836"/>
    <w:rsid w:val="009579C1"/>
    <w:rsid w:val="00961BA1"/>
    <w:rsid w:val="00963402"/>
    <w:rsid w:val="0096759F"/>
    <w:rsid w:val="00970F01"/>
    <w:rsid w:val="0097434A"/>
    <w:rsid w:val="009745CA"/>
    <w:rsid w:val="00994777"/>
    <w:rsid w:val="00997C0B"/>
    <w:rsid w:val="009A01AB"/>
    <w:rsid w:val="009A1BE3"/>
    <w:rsid w:val="009A33FE"/>
    <w:rsid w:val="009A54A9"/>
    <w:rsid w:val="009B355E"/>
    <w:rsid w:val="009C2402"/>
    <w:rsid w:val="009C4284"/>
    <w:rsid w:val="009C6E3A"/>
    <w:rsid w:val="009D09DE"/>
    <w:rsid w:val="009D4F84"/>
    <w:rsid w:val="009D6AC5"/>
    <w:rsid w:val="009D740A"/>
    <w:rsid w:val="009E73FF"/>
    <w:rsid w:val="009F0527"/>
    <w:rsid w:val="009F7A47"/>
    <w:rsid w:val="00A0489E"/>
    <w:rsid w:val="00A11ABC"/>
    <w:rsid w:val="00A13F6B"/>
    <w:rsid w:val="00A277CA"/>
    <w:rsid w:val="00A31FFB"/>
    <w:rsid w:val="00A33FF0"/>
    <w:rsid w:val="00A3406B"/>
    <w:rsid w:val="00A438FB"/>
    <w:rsid w:val="00A43AB3"/>
    <w:rsid w:val="00A4498E"/>
    <w:rsid w:val="00A511EC"/>
    <w:rsid w:val="00A56E62"/>
    <w:rsid w:val="00A57B8A"/>
    <w:rsid w:val="00A63644"/>
    <w:rsid w:val="00A64D0C"/>
    <w:rsid w:val="00A673E6"/>
    <w:rsid w:val="00A67B95"/>
    <w:rsid w:val="00A73D8D"/>
    <w:rsid w:val="00A7532A"/>
    <w:rsid w:val="00A8224D"/>
    <w:rsid w:val="00A822A5"/>
    <w:rsid w:val="00A84369"/>
    <w:rsid w:val="00A84A6B"/>
    <w:rsid w:val="00A87056"/>
    <w:rsid w:val="00A94F66"/>
    <w:rsid w:val="00AA2A0A"/>
    <w:rsid w:val="00AA3519"/>
    <w:rsid w:val="00AA4A67"/>
    <w:rsid w:val="00AA4B42"/>
    <w:rsid w:val="00AA79AD"/>
    <w:rsid w:val="00AB5CC7"/>
    <w:rsid w:val="00AB63ED"/>
    <w:rsid w:val="00AC7C0E"/>
    <w:rsid w:val="00AC7EC8"/>
    <w:rsid w:val="00AD38B9"/>
    <w:rsid w:val="00AD6225"/>
    <w:rsid w:val="00AE619F"/>
    <w:rsid w:val="00AE6C13"/>
    <w:rsid w:val="00AF1A52"/>
    <w:rsid w:val="00AF2368"/>
    <w:rsid w:val="00AF5710"/>
    <w:rsid w:val="00AF6A63"/>
    <w:rsid w:val="00B07439"/>
    <w:rsid w:val="00B10294"/>
    <w:rsid w:val="00B11E23"/>
    <w:rsid w:val="00B12018"/>
    <w:rsid w:val="00B21B46"/>
    <w:rsid w:val="00B22BD7"/>
    <w:rsid w:val="00B31926"/>
    <w:rsid w:val="00B341A9"/>
    <w:rsid w:val="00B34AE0"/>
    <w:rsid w:val="00B35EA6"/>
    <w:rsid w:val="00B360C9"/>
    <w:rsid w:val="00B36F74"/>
    <w:rsid w:val="00B45A53"/>
    <w:rsid w:val="00B5670F"/>
    <w:rsid w:val="00B567FD"/>
    <w:rsid w:val="00B6188E"/>
    <w:rsid w:val="00B64ACF"/>
    <w:rsid w:val="00B67A7C"/>
    <w:rsid w:val="00B714A0"/>
    <w:rsid w:val="00B81809"/>
    <w:rsid w:val="00B838A5"/>
    <w:rsid w:val="00B86275"/>
    <w:rsid w:val="00B87720"/>
    <w:rsid w:val="00B87F9F"/>
    <w:rsid w:val="00B94DB6"/>
    <w:rsid w:val="00B95D0B"/>
    <w:rsid w:val="00B96882"/>
    <w:rsid w:val="00B97E6F"/>
    <w:rsid w:val="00BA3FA2"/>
    <w:rsid w:val="00BA4D46"/>
    <w:rsid w:val="00BB2373"/>
    <w:rsid w:val="00BB3026"/>
    <w:rsid w:val="00BB7AF1"/>
    <w:rsid w:val="00BC30A3"/>
    <w:rsid w:val="00BC35A3"/>
    <w:rsid w:val="00BC36FC"/>
    <w:rsid w:val="00BC5CEE"/>
    <w:rsid w:val="00BD3F63"/>
    <w:rsid w:val="00BD5689"/>
    <w:rsid w:val="00BD6CD6"/>
    <w:rsid w:val="00BE172A"/>
    <w:rsid w:val="00BE196C"/>
    <w:rsid w:val="00BE6A16"/>
    <w:rsid w:val="00BE6A26"/>
    <w:rsid w:val="00C05186"/>
    <w:rsid w:val="00C13D84"/>
    <w:rsid w:val="00C158F7"/>
    <w:rsid w:val="00C15A82"/>
    <w:rsid w:val="00C23C07"/>
    <w:rsid w:val="00C24635"/>
    <w:rsid w:val="00C2474C"/>
    <w:rsid w:val="00C25C2C"/>
    <w:rsid w:val="00C3245B"/>
    <w:rsid w:val="00C32505"/>
    <w:rsid w:val="00C33DE3"/>
    <w:rsid w:val="00C36D0B"/>
    <w:rsid w:val="00C37DE9"/>
    <w:rsid w:val="00C40C2A"/>
    <w:rsid w:val="00C4158A"/>
    <w:rsid w:val="00C4597F"/>
    <w:rsid w:val="00C4692D"/>
    <w:rsid w:val="00C51415"/>
    <w:rsid w:val="00C55373"/>
    <w:rsid w:val="00C604E4"/>
    <w:rsid w:val="00C60CB2"/>
    <w:rsid w:val="00C6362B"/>
    <w:rsid w:val="00C64550"/>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2B78"/>
    <w:rsid w:val="00CB33CF"/>
    <w:rsid w:val="00CB538B"/>
    <w:rsid w:val="00CC4A9A"/>
    <w:rsid w:val="00CC70B2"/>
    <w:rsid w:val="00CC71A3"/>
    <w:rsid w:val="00CD0E70"/>
    <w:rsid w:val="00CD49AF"/>
    <w:rsid w:val="00CD6A67"/>
    <w:rsid w:val="00CD6BE3"/>
    <w:rsid w:val="00CE2AF5"/>
    <w:rsid w:val="00CE51FF"/>
    <w:rsid w:val="00CE608D"/>
    <w:rsid w:val="00CF0591"/>
    <w:rsid w:val="00CF276E"/>
    <w:rsid w:val="00D058CD"/>
    <w:rsid w:val="00D06249"/>
    <w:rsid w:val="00D10AEA"/>
    <w:rsid w:val="00D234F1"/>
    <w:rsid w:val="00D2759D"/>
    <w:rsid w:val="00D30F2A"/>
    <w:rsid w:val="00D324CC"/>
    <w:rsid w:val="00D44309"/>
    <w:rsid w:val="00D4532D"/>
    <w:rsid w:val="00D50A53"/>
    <w:rsid w:val="00D51005"/>
    <w:rsid w:val="00D67373"/>
    <w:rsid w:val="00D6797B"/>
    <w:rsid w:val="00D80445"/>
    <w:rsid w:val="00D82975"/>
    <w:rsid w:val="00D8355F"/>
    <w:rsid w:val="00D85988"/>
    <w:rsid w:val="00D914B0"/>
    <w:rsid w:val="00D928CE"/>
    <w:rsid w:val="00DA0F38"/>
    <w:rsid w:val="00DA4978"/>
    <w:rsid w:val="00DB34CE"/>
    <w:rsid w:val="00DB7268"/>
    <w:rsid w:val="00DC5B7C"/>
    <w:rsid w:val="00DD195B"/>
    <w:rsid w:val="00DD5104"/>
    <w:rsid w:val="00DD6D79"/>
    <w:rsid w:val="00DE1D10"/>
    <w:rsid w:val="00DE4CB9"/>
    <w:rsid w:val="00DE60A9"/>
    <w:rsid w:val="00DE7B06"/>
    <w:rsid w:val="00DF102E"/>
    <w:rsid w:val="00DF41B3"/>
    <w:rsid w:val="00DF5503"/>
    <w:rsid w:val="00DF714E"/>
    <w:rsid w:val="00E01583"/>
    <w:rsid w:val="00E05484"/>
    <w:rsid w:val="00E25CDB"/>
    <w:rsid w:val="00E3062B"/>
    <w:rsid w:val="00E31F70"/>
    <w:rsid w:val="00E3633C"/>
    <w:rsid w:val="00E41204"/>
    <w:rsid w:val="00E452EA"/>
    <w:rsid w:val="00E45AEB"/>
    <w:rsid w:val="00E54FED"/>
    <w:rsid w:val="00E56D3C"/>
    <w:rsid w:val="00E64636"/>
    <w:rsid w:val="00E7074E"/>
    <w:rsid w:val="00E754AB"/>
    <w:rsid w:val="00E75AAA"/>
    <w:rsid w:val="00E81D12"/>
    <w:rsid w:val="00E85A0E"/>
    <w:rsid w:val="00E86208"/>
    <w:rsid w:val="00E97443"/>
    <w:rsid w:val="00EA3447"/>
    <w:rsid w:val="00EA36D3"/>
    <w:rsid w:val="00EB3969"/>
    <w:rsid w:val="00EC634E"/>
    <w:rsid w:val="00EC7A81"/>
    <w:rsid w:val="00EE1966"/>
    <w:rsid w:val="00EE1F43"/>
    <w:rsid w:val="00EF068A"/>
    <w:rsid w:val="00EF1C9C"/>
    <w:rsid w:val="00F061F8"/>
    <w:rsid w:val="00F11665"/>
    <w:rsid w:val="00F119F2"/>
    <w:rsid w:val="00F20C23"/>
    <w:rsid w:val="00F21617"/>
    <w:rsid w:val="00F220B7"/>
    <w:rsid w:val="00F23F3C"/>
    <w:rsid w:val="00F341DB"/>
    <w:rsid w:val="00F34E7C"/>
    <w:rsid w:val="00F4205F"/>
    <w:rsid w:val="00F45FE9"/>
    <w:rsid w:val="00F462EE"/>
    <w:rsid w:val="00F5484B"/>
    <w:rsid w:val="00F6046F"/>
    <w:rsid w:val="00F66FE7"/>
    <w:rsid w:val="00F674E0"/>
    <w:rsid w:val="00F701ED"/>
    <w:rsid w:val="00F70983"/>
    <w:rsid w:val="00F720D5"/>
    <w:rsid w:val="00F746B5"/>
    <w:rsid w:val="00F82446"/>
    <w:rsid w:val="00F839AE"/>
    <w:rsid w:val="00F84713"/>
    <w:rsid w:val="00F879A2"/>
    <w:rsid w:val="00F920BF"/>
    <w:rsid w:val="00FA43F4"/>
    <w:rsid w:val="00FA775F"/>
    <w:rsid w:val="00FB44E3"/>
    <w:rsid w:val="00FC17DA"/>
    <w:rsid w:val="00FC2E4A"/>
    <w:rsid w:val="00FC4EAF"/>
    <w:rsid w:val="00FD0A61"/>
    <w:rsid w:val="00FD218D"/>
    <w:rsid w:val="00FE0AD1"/>
    <w:rsid w:val="00FE25BF"/>
    <w:rsid w:val="00FE4C70"/>
    <w:rsid w:val="00FE70D3"/>
    <w:rsid w:val="00FF1309"/>
    <w:rsid w:val="00FF34D6"/>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rsid w:val="00A31FFB"/>
    <w:rPr>
      <w:rFonts w:ascii="Courier" w:hAnsi="Courier"/>
      <w:sz w:val="24"/>
    </w:rPr>
  </w:style>
  <w:style w:type="paragraph" w:styleId="Header">
    <w:name w:val="header"/>
    <w:basedOn w:val="Normal"/>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
    <w:name w:val="EmailStyle261"/>
    <w:aliases w:val="EmailStyle261"/>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1226649898">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297949147">
      <w:bodyDiv w:val="1"/>
      <w:marLeft w:val="0"/>
      <w:marRight w:val="0"/>
      <w:marTop w:val="0"/>
      <w:marBottom w:val="0"/>
      <w:divBdr>
        <w:top w:val="none" w:sz="0" w:space="0" w:color="auto"/>
        <w:left w:val="none" w:sz="0" w:space="0" w:color="auto"/>
        <w:bottom w:val="none" w:sz="0" w:space="0" w:color="auto"/>
        <w:right w:val="none" w:sz="0" w:space="0" w:color="auto"/>
      </w:divBdr>
    </w:div>
    <w:div w:id="1692299616">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190999283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073774120">
      <w:bodyDiv w:val="1"/>
      <w:marLeft w:val="0"/>
      <w:marRight w:val="0"/>
      <w:marTop w:val="0"/>
      <w:marBottom w:val="0"/>
      <w:divBdr>
        <w:top w:val="none" w:sz="0" w:space="0" w:color="auto"/>
        <w:left w:val="none" w:sz="0" w:space="0" w:color="auto"/>
        <w:bottom w:val="none" w:sz="0" w:space="0" w:color="auto"/>
        <w:right w:val="none" w:sz="0" w:space="0" w:color="auto"/>
      </w:divBdr>
    </w:div>
    <w:div w:id="21350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water"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CEF36BC86866448DF4FBFE7DD8CA64" ma:contentTypeVersion="123" ma:contentTypeDescription="" ma:contentTypeScope="" ma:versionID="e0ec9b867a0015677a3cd604102f3a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2009-05-12T07:00:00+00:00</OpenedDate>
    <Date1 xmlns="dc463f71-b30c-4ab2-9473-d307f9d35888">2009-06-25T07:00:00+00:00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090733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8FC3-2DC5-4CC1-A3DB-18C6C93CFC12}"/>
</file>

<file path=customXml/itemProps2.xml><?xml version="1.0" encoding="utf-8"?>
<ds:datastoreItem xmlns:ds="http://schemas.openxmlformats.org/officeDocument/2006/customXml" ds:itemID="{88691006-03A1-4DBC-951E-AC9F6611696A}"/>
</file>

<file path=customXml/itemProps3.xml><?xml version="1.0" encoding="utf-8"?>
<ds:datastoreItem xmlns:ds="http://schemas.openxmlformats.org/officeDocument/2006/customXml" ds:itemID="{F84045D8-A4A3-4E69-BAA9-C7CBA1D04F8F}"/>
</file>

<file path=customXml/itemProps4.xml><?xml version="1.0" encoding="utf-8"?>
<ds:datastoreItem xmlns:ds="http://schemas.openxmlformats.org/officeDocument/2006/customXml" ds:itemID="{AB5C8DE8-BB2D-434B-A9A9-44F816E3BC25}"/>
</file>

<file path=customXml/itemProps5.xml><?xml version="1.0" encoding="utf-8"?>
<ds:datastoreItem xmlns:ds="http://schemas.openxmlformats.org/officeDocument/2006/customXml" ds:itemID="{E236F892-7F8D-4FD6-81FF-AFD4CF0E341A}"/>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2009-06-22T17:30:00Z</cp:lastPrinted>
  <dcterms:created xsi:type="dcterms:W3CDTF">2009-06-22T22:34:00Z</dcterms:created>
  <dcterms:modified xsi:type="dcterms:W3CDTF">2009-06-22T22:34:00Z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0x0101006E56B4D1795A2E4DB2F0B01679ED314A000ACEF36BC86866448DF4FBFE7DD8CA64</vt:lpwstr>
  </property>
  <property fmtid="{D5CDD505-2E9C-101B-9397-08002B2CF9AE}" pid="3" name="_docset_NoMedatataSyncRequired">
    <vt:lpwstr>False</vt:lpwstr>
  </property>
</Properties>
</file>