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B62396"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B62396">
        <w:rPr>
          <w:sz w:val="24"/>
        </w:rPr>
        <w:t>Agenda Date:</w:t>
      </w:r>
      <w:r w:rsidRPr="00B62396">
        <w:rPr>
          <w:sz w:val="24"/>
        </w:rPr>
        <w:tab/>
      </w:r>
      <w:r w:rsidRPr="00B62396">
        <w:rPr>
          <w:sz w:val="24"/>
        </w:rPr>
        <w:tab/>
      </w:r>
      <w:r w:rsidR="00956089">
        <w:rPr>
          <w:sz w:val="24"/>
        </w:rPr>
        <w:t xml:space="preserve">March </w:t>
      </w:r>
      <w:r w:rsidR="00B62396">
        <w:rPr>
          <w:sz w:val="24"/>
        </w:rPr>
        <w:t>1</w:t>
      </w:r>
      <w:r w:rsidR="005F677C">
        <w:rPr>
          <w:sz w:val="24"/>
        </w:rPr>
        <w:t>2</w:t>
      </w:r>
      <w:r w:rsidR="00B62396">
        <w:rPr>
          <w:sz w:val="24"/>
        </w:rPr>
        <w:t>, 200</w:t>
      </w:r>
      <w:r w:rsidR="006C590E">
        <w:rPr>
          <w:sz w:val="24"/>
        </w:rPr>
        <w:t>9</w:t>
      </w:r>
      <w:r w:rsidRPr="00B62396">
        <w:rPr>
          <w:sz w:val="24"/>
        </w:rPr>
        <w:tab/>
      </w:r>
    </w:p>
    <w:p w:rsidR="008956A7" w:rsidRPr="00B62396"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2396">
        <w:rPr>
          <w:sz w:val="24"/>
        </w:rPr>
        <w:t>Item Number:</w:t>
      </w:r>
      <w:r w:rsidRPr="00B62396">
        <w:rPr>
          <w:sz w:val="24"/>
        </w:rPr>
        <w:tab/>
      </w:r>
      <w:r w:rsidRPr="00B62396">
        <w:rPr>
          <w:sz w:val="24"/>
        </w:rPr>
        <w:tab/>
      </w:r>
      <w:r w:rsidR="00D85C98">
        <w:rPr>
          <w:sz w:val="24"/>
        </w:rPr>
        <w:t>B</w:t>
      </w:r>
      <w:r w:rsidR="006E1232">
        <w:rPr>
          <w:sz w:val="24"/>
        </w:rPr>
        <w:t>2</w:t>
      </w:r>
    </w:p>
    <w:p w:rsidR="008956A7" w:rsidRPr="00B62396"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B62396"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2396">
        <w:rPr>
          <w:b/>
          <w:bCs/>
          <w:sz w:val="24"/>
        </w:rPr>
        <w:t xml:space="preserve">Docket: </w:t>
      </w:r>
      <w:r w:rsidRPr="00B62396">
        <w:rPr>
          <w:b/>
          <w:bCs/>
          <w:sz w:val="24"/>
        </w:rPr>
        <w:tab/>
      </w:r>
      <w:r w:rsidRPr="00B62396">
        <w:rPr>
          <w:b/>
          <w:bCs/>
          <w:sz w:val="24"/>
        </w:rPr>
        <w:tab/>
      </w:r>
      <w:r w:rsidR="0049329F">
        <w:rPr>
          <w:b/>
          <w:bCs/>
          <w:sz w:val="24"/>
        </w:rPr>
        <w:t>TG</w:t>
      </w:r>
      <w:r w:rsidRPr="00B62396">
        <w:rPr>
          <w:b/>
          <w:bCs/>
          <w:sz w:val="24"/>
        </w:rPr>
        <w:t>-</w:t>
      </w:r>
      <w:r w:rsidR="00D7226B">
        <w:rPr>
          <w:b/>
          <w:bCs/>
          <w:sz w:val="24"/>
        </w:rPr>
        <w:t>090</w:t>
      </w:r>
      <w:r w:rsidR="00956089">
        <w:rPr>
          <w:b/>
          <w:bCs/>
          <w:sz w:val="24"/>
        </w:rPr>
        <w:t>272</w:t>
      </w: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2396">
        <w:rPr>
          <w:sz w:val="24"/>
        </w:rPr>
        <w:t>Company Name:</w:t>
      </w:r>
      <w:r w:rsidRPr="00B62396">
        <w:rPr>
          <w:sz w:val="24"/>
        </w:rPr>
        <w:tab/>
      </w:r>
      <w:r w:rsidR="00956089">
        <w:rPr>
          <w:sz w:val="24"/>
        </w:rPr>
        <w:t>Carroll-Naslund Disposal Service, Inc.</w:t>
      </w:r>
      <w:r w:rsidR="006C590E">
        <w:rPr>
          <w:sz w:val="24"/>
        </w:rPr>
        <w:t>, G-</w:t>
      </w:r>
      <w:r w:rsidR="00956089">
        <w:rPr>
          <w:sz w:val="24"/>
        </w:rPr>
        <w:t>37</w:t>
      </w:r>
    </w:p>
    <w:p w:rsidR="002F4B3C" w:rsidRDefault="002F4B3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proofErr w:type="gramStart"/>
      <w:r w:rsidR="00956089">
        <w:rPr>
          <w:sz w:val="24"/>
        </w:rPr>
        <w:t>d/b/a</w:t>
      </w:r>
      <w:proofErr w:type="gramEnd"/>
      <w:r w:rsidR="00956089">
        <w:rPr>
          <w:sz w:val="24"/>
        </w:rPr>
        <w:t xml:space="preserve"> Naslund Disposal Service</w:t>
      </w:r>
    </w:p>
    <w:p w:rsidR="00956089" w:rsidRPr="00B62396" w:rsidRDefault="00956089"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B62396"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2396">
        <w:rPr>
          <w:sz w:val="24"/>
          <w:u w:val="single"/>
        </w:rPr>
        <w:t>Staff:</w:t>
      </w:r>
      <w:r w:rsidRPr="00B62396">
        <w:rPr>
          <w:sz w:val="24"/>
        </w:rPr>
        <w:tab/>
      </w:r>
      <w:r w:rsidRPr="00B62396">
        <w:rPr>
          <w:sz w:val="24"/>
        </w:rPr>
        <w:tab/>
      </w:r>
      <w:r w:rsidRPr="00B62396">
        <w:rPr>
          <w:sz w:val="24"/>
        </w:rPr>
        <w:tab/>
      </w:r>
      <w:r w:rsidR="0049329F">
        <w:rPr>
          <w:sz w:val="24"/>
        </w:rPr>
        <w:t>Nicki Johnson</w:t>
      </w:r>
      <w:r w:rsidRPr="00B62396">
        <w:rPr>
          <w:sz w:val="24"/>
        </w:rPr>
        <w:t>, Regulatory Analyst</w:t>
      </w:r>
    </w:p>
    <w:p w:rsidR="008956A7" w:rsidRPr="00B62396"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2396">
        <w:rPr>
          <w:sz w:val="24"/>
        </w:rPr>
        <w:tab/>
      </w:r>
      <w:r w:rsidRPr="00B62396">
        <w:rPr>
          <w:sz w:val="24"/>
        </w:rPr>
        <w:tab/>
      </w:r>
      <w:r w:rsidRPr="00B62396">
        <w:rPr>
          <w:sz w:val="24"/>
        </w:rPr>
        <w:tab/>
      </w:r>
      <w:r w:rsidR="00956089">
        <w:rPr>
          <w:sz w:val="24"/>
        </w:rPr>
        <w:t>Nancy Paulson</w:t>
      </w:r>
      <w:r w:rsidRPr="00B62396">
        <w:rPr>
          <w:sz w:val="24"/>
        </w:rPr>
        <w:t xml:space="preserve">, </w:t>
      </w:r>
      <w:r w:rsidR="00023BF4">
        <w:rPr>
          <w:sz w:val="24"/>
        </w:rPr>
        <w:t>Consumer Protection Staff</w:t>
      </w:r>
    </w:p>
    <w:p w:rsidR="0045500C" w:rsidRPr="00B62396"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B62396"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2396">
        <w:rPr>
          <w:b/>
          <w:sz w:val="24"/>
          <w:u w:val="single"/>
        </w:rPr>
        <w:t>Recommendation</w:t>
      </w:r>
    </w:p>
    <w:p w:rsidR="00697E4B" w:rsidRPr="00B62396"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Pr="00B62396"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2396">
        <w:rPr>
          <w:sz w:val="24"/>
        </w:rPr>
        <w:t>Take no action on this filing at this time</w:t>
      </w:r>
      <w:r w:rsidR="001B4800" w:rsidRPr="00B62396">
        <w:rPr>
          <w:sz w:val="24"/>
        </w:rPr>
        <w:t xml:space="preserve"> to allow for customer comments</w:t>
      </w:r>
      <w:r w:rsidRPr="00B62396">
        <w:rPr>
          <w:sz w:val="24"/>
        </w:rPr>
        <w:t>.</w:t>
      </w:r>
    </w:p>
    <w:p w:rsidR="00A277CA" w:rsidRPr="00B62396"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B62396"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2396">
        <w:rPr>
          <w:b/>
          <w:bCs/>
          <w:sz w:val="24"/>
          <w:u w:val="single"/>
        </w:rPr>
        <w:t>Discussion</w:t>
      </w:r>
    </w:p>
    <w:p w:rsidR="0045500C" w:rsidRPr="00B62396"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Pr="00B62396" w:rsidRDefault="00B34AE0"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2396">
        <w:rPr>
          <w:sz w:val="24"/>
        </w:rPr>
        <w:t xml:space="preserve">On </w:t>
      </w:r>
      <w:r w:rsidR="00956089">
        <w:rPr>
          <w:sz w:val="24"/>
        </w:rPr>
        <w:t xml:space="preserve">February </w:t>
      </w:r>
      <w:r w:rsidR="0049329F">
        <w:rPr>
          <w:sz w:val="24"/>
        </w:rPr>
        <w:t>1</w:t>
      </w:r>
      <w:r w:rsidR="00956089">
        <w:rPr>
          <w:sz w:val="24"/>
        </w:rPr>
        <w:t>7</w:t>
      </w:r>
      <w:r w:rsidR="00575AF1" w:rsidRPr="00B62396">
        <w:rPr>
          <w:sz w:val="24"/>
        </w:rPr>
        <w:t>, 200</w:t>
      </w:r>
      <w:r w:rsidR="005F677C">
        <w:rPr>
          <w:sz w:val="24"/>
        </w:rPr>
        <w:t>9</w:t>
      </w:r>
      <w:r w:rsidR="00B12018" w:rsidRPr="00B62396">
        <w:rPr>
          <w:sz w:val="24"/>
        </w:rPr>
        <w:t xml:space="preserve">, </w:t>
      </w:r>
      <w:r w:rsidR="00956089">
        <w:rPr>
          <w:sz w:val="24"/>
        </w:rPr>
        <w:t>Carroll-Naslund Disposal Service</w:t>
      </w:r>
      <w:r w:rsidR="002F4B3C">
        <w:rPr>
          <w:sz w:val="24"/>
        </w:rPr>
        <w:t xml:space="preserve">, Inc. </w:t>
      </w:r>
      <w:r w:rsidR="00107BED" w:rsidRPr="00B62396">
        <w:rPr>
          <w:sz w:val="24"/>
        </w:rPr>
        <w:t>(</w:t>
      </w:r>
      <w:r w:rsidR="00956089">
        <w:rPr>
          <w:sz w:val="24"/>
        </w:rPr>
        <w:t xml:space="preserve">Naslund Disposal </w:t>
      </w:r>
      <w:r w:rsidR="00107BED" w:rsidRPr="00B62396">
        <w:rPr>
          <w:sz w:val="24"/>
        </w:rPr>
        <w:t>or company)</w:t>
      </w:r>
      <w:r w:rsidR="0067490D" w:rsidRPr="00B62396">
        <w:rPr>
          <w:sz w:val="24"/>
        </w:rPr>
        <w:t>,</w:t>
      </w:r>
      <w:r w:rsidRPr="00B62396">
        <w:rPr>
          <w:sz w:val="24"/>
        </w:rPr>
        <w:t xml:space="preserve"> filed with the Utilities and Transportation Commission (</w:t>
      </w:r>
      <w:r w:rsidR="00C23C07" w:rsidRPr="00B62396">
        <w:rPr>
          <w:sz w:val="24"/>
        </w:rPr>
        <w:t>c</w:t>
      </w:r>
      <w:r w:rsidRPr="00B62396">
        <w:rPr>
          <w:sz w:val="24"/>
        </w:rPr>
        <w:t xml:space="preserve">ommission) </w:t>
      </w:r>
      <w:r w:rsidR="00FE0AD1" w:rsidRPr="00B62396">
        <w:rPr>
          <w:sz w:val="24"/>
        </w:rPr>
        <w:t xml:space="preserve">tariff revisions </w:t>
      </w:r>
      <w:r w:rsidR="00956089">
        <w:rPr>
          <w:sz w:val="24"/>
        </w:rPr>
        <w:t xml:space="preserve">for garbage </w:t>
      </w:r>
      <w:r w:rsidR="00DE0151">
        <w:rPr>
          <w:sz w:val="24"/>
        </w:rPr>
        <w:t xml:space="preserve">collection </w:t>
      </w:r>
      <w:r w:rsidR="00942259">
        <w:rPr>
          <w:sz w:val="24"/>
        </w:rPr>
        <w:t>service</w:t>
      </w:r>
      <w:r w:rsidR="00FE42D6">
        <w:rPr>
          <w:sz w:val="24"/>
        </w:rPr>
        <w:t>s</w:t>
      </w:r>
      <w:r w:rsidR="00942259">
        <w:rPr>
          <w:sz w:val="24"/>
        </w:rPr>
        <w:t xml:space="preserve"> </w:t>
      </w:r>
      <w:r w:rsidR="00FE0AD1" w:rsidRPr="00B62396">
        <w:rPr>
          <w:sz w:val="24"/>
        </w:rPr>
        <w:t xml:space="preserve">that would </w:t>
      </w:r>
      <w:r w:rsidR="00E24471">
        <w:rPr>
          <w:sz w:val="24"/>
        </w:rPr>
        <w:t>generate approximately $</w:t>
      </w:r>
      <w:r w:rsidR="00956089">
        <w:rPr>
          <w:sz w:val="24"/>
        </w:rPr>
        <w:t>76,</w:t>
      </w:r>
      <w:r w:rsidR="00E24471">
        <w:rPr>
          <w:sz w:val="24"/>
        </w:rPr>
        <w:t>5</w:t>
      </w:r>
      <w:r w:rsidR="00956089">
        <w:rPr>
          <w:sz w:val="24"/>
        </w:rPr>
        <w:t>00</w:t>
      </w:r>
      <w:r w:rsidR="00B62396">
        <w:rPr>
          <w:sz w:val="24"/>
        </w:rPr>
        <w:t xml:space="preserve"> (</w:t>
      </w:r>
      <w:r w:rsidR="005F677C">
        <w:rPr>
          <w:sz w:val="24"/>
        </w:rPr>
        <w:t>7</w:t>
      </w:r>
      <w:r w:rsidR="00B62396">
        <w:rPr>
          <w:sz w:val="24"/>
        </w:rPr>
        <w:t>.</w:t>
      </w:r>
      <w:r w:rsidR="00E52454">
        <w:rPr>
          <w:sz w:val="24"/>
        </w:rPr>
        <w:t>4</w:t>
      </w:r>
      <w:r w:rsidR="00B62396">
        <w:rPr>
          <w:sz w:val="24"/>
        </w:rPr>
        <w:t xml:space="preserve"> p</w:t>
      </w:r>
      <w:r w:rsidRPr="00B62396">
        <w:rPr>
          <w:sz w:val="24"/>
        </w:rPr>
        <w:t xml:space="preserve">ercent) in additional </w:t>
      </w:r>
      <w:r w:rsidR="00EC1E13">
        <w:rPr>
          <w:sz w:val="24"/>
        </w:rPr>
        <w:t xml:space="preserve">annual </w:t>
      </w:r>
      <w:r w:rsidRPr="00B62396">
        <w:rPr>
          <w:sz w:val="24"/>
        </w:rPr>
        <w:t>revenue</w:t>
      </w:r>
      <w:r w:rsidR="000B00DF">
        <w:rPr>
          <w:sz w:val="24"/>
        </w:rPr>
        <w:t xml:space="preserve">. </w:t>
      </w:r>
      <w:r w:rsidR="000B00DF" w:rsidRPr="00B62396">
        <w:rPr>
          <w:sz w:val="24"/>
        </w:rPr>
        <w:t xml:space="preserve">The company serves </w:t>
      </w:r>
      <w:r w:rsidR="000B00DF">
        <w:rPr>
          <w:sz w:val="24"/>
        </w:rPr>
        <w:t>approximately 3,</w:t>
      </w:r>
      <w:r w:rsidR="00A745DA">
        <w:rPr>
          <w:sz w:val="24"/>
        </w:rPr>
        <w:t>9</w:t>
      </w:r>
      <w:r w:rsidR="000B00DF">
        <w:rPr>
          <w:sz w:val="24"/>
        </w:rPr>
        <w:t>00 c</w:t>
      </w:r>
      <w:r w:rsidR="000B00DF" w:rsidRPr="00B62396">
        <w:rPr>
          <w:sz w:val="24"/>
        </w:rPr>
        <w:t xml:space="preserve">ustomers in </w:t>
      </w:r>
      <w:r w:rsidR="000B00DF">
        <w:rPr>
          <w:sz w:val="24"/>
        </w:rPr>
        <w:t>Asotin and Garfield counties.</w:t>
      </w:r>
      <w:r w:rsidR="00603233">
        <w:rPr>
          <w:sz w:val="24"/>
        </w:rPr>
        <w:t xml:space="preserve"> </w:t>
      </w:r>
      <w:r w:rsidR="000B00DF">
        <w:rPr>
          <w:sz w:val="24"/>
        </w:rPr>
        <w:t>In this filing, the company proposes to increase rates only</w:t>
      </w:r>
      <w:r w:rsidR="00603233">
        <w:rPr>
          <w:sz w:val="24"/>
        </w:rPr>
        <w:t xml:space="preserve"> in Asotin County</w:t>
      </w:r>
      <w:r w:rsidRPr="00B62396">
        <w:rPr>
          <w:sz w:val="24"/>
        </w:rPr>
        <w:t>.</w:t>
      </w:r>
      <w:r w:rsidR="002742F9" w:rsidRPr="002742F9">
        <w:t xml:space="preserve"> </w:t>
      </w:r>
      <w:r w:rsidR="002742F9" w:rsidRPr="00B62396">
        <w:rPr>
          <w:sz w:val="24"/>
        </w:rPr>
        <w:t xml:space="preserve">The proposed rates are prompted by increases in </w:t>
      </w:r>
      <w:r w:rsidR="002742F9">
        <w:rPr>
          <w:sz w:val="24"/>
        </w:rPr>
        <w:t>disposal fees, labor,</w:t>
      </w:r>
      <w:r w:rsidR="002742F9" w:rsidRPr="00420F7D">
        <w:rPr>
          <w:sz w:val="24"/>
        </w:rPr>
        <w:t xml:space="preserve"> </w:t>
      </w:r>
      <w:r w:rsidR="00956089">
        <w:rPr>
          <w:sz w:val="24"/>
        </w:rPr>
        <w:t>and the additional cost to convert to an automated system</w:t>
      </w:r>
      <w:r w:rsidR="00996916">
        <w:rPr>
          <w:sz w:val="24"/>
        </w:rPr>
        <w:t>.</w:t>
      </w:r>
      <w:r w:rsidR="001D11F2" w:rsidRPr="00413D5A">
        <w:rPr>
          <w:sz w:val="24"/>
        </w:rPr>
        <w:t xml:space="preserve"> </w:t>
      </w:r>
      <w:r w:rsidR="000B5EC2">
        <w:rPr>
          <w:sz w:val="24"/>
        </w:rPr>
        <w:t xml:space="preserve">The proposed effective date is April 1, 2009. The company requested less-than-statutory notice </w:t>
      </w:r>
      <w:r w:rsidR="00776620">
        <w:rPr>
          <w:sz w:val="24"/>
        </w:rPr>
        <w:t xml:space="preserve">for the filing </w:t>
      </w:r>
      <w:r w:rsidR="000B5EC2">
        <w:rPr>
          <w:sz w:val="24"/>
        </w:rPr>
        <w:t xml:space="preserve">because the commission did not receive the filing 45 days before the effective date. </w:t>
      </w:r>
      <w:r w:rsidR="00956089">
        <w:rPr>
          <w:sz w:val="24"/>
        </w:rPr>
        <w:t>Naslund Disposal</w:t>
      </w:r>
      <w:r w:rsidR="00F963A8" w:rsidRPr="00B62396">
        <w:rPr>
          <w:sz w:val="24"/>
        </w:rPr>
        <w:t xml:space="preserve">’s last general rate increase became effective in </w:t>
      </w:r>
      <w:r w:rsidR="00956089">
        <w:rPr>
          <w:sz w:val="24"/>
        </w:rPr>
        <w:t xml:space="preserve">May </w:t>
      </w:r>
      <w:r w:rsidR="00F963A8" w:rsidRPr="00A02800">
        <w:rPr>
          <w:sz w:val="24"/>
        </w:rPr>
        <w:t>200</w:t>
      </w:r>
      <w:r w:rsidR="00956089">
        <w:rPr>
          <w:sz w:val="24"/>
        </w:rPr>
        <w:t>7</w:t>
      </w:r>
      <w:r w:rsidR="00F963A8" w:rsidRPr="00A02800">
        <w:rPr>
          <w:sz w:val="24"/>
        </w:rPr>
        <w:t>.</w:t>
      </w:r>
    </w:p>
    <w:p w:rsidR="00B856BD" w:rsidRPr="00B62396" w:rsidRDefault="00B856BD"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0AD1" w:rsidRPr="00B62396" w:rsidRDefault="00FE0AD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2396">
        <w:rPr>
          <w:sz w:val="24"/>
        </w:rPr>
        <w:t>Today’s presentation allows customers or other parties to make comments to the commission</w:t>
      </w:r>
      <w:r w:rsidR="001B7C55">
        <w:rPr>
          <w:sz w:val="24"/>
        </w:rPr>
        <w:t xml:space="preserve"> concerning the company’s proposed rates</w:t>
      </w:r>
      <w:r w:rsidRPr="00B62396">
        <w:rPr>
          <w:sz w:val="24"/>
        </w:rPr>
        <w:t>. No action is required by the commission.</w:t>
      </w:r>
      <w:r w:rsidR="00656C05" w:rsidRPr="00B62396">
        <w:rPr>
          <w:sz w:val="24"/>
        </w:rPr>
        <w:t xml:space="preserve"> </w:t>
      </w:r>
      <w:r w:rsidRPr="00B62396">
        <w:rPr>
          <w:sz w:val="24"/>
        </w:rPr>
        <w:t xml:space="preserve">Staff will make its recommendation to the commission at the open meeting </w:t>
      </w:r>
      <w:r w:rsidR="00D764B5">
        <w:rPr>
          <w:sz w:val="24"/>
        </w:rPr>
        <w:t>scheduled for</w:t>
      </w:r>
      <w:r w:rsidR="00942259">
        <w:rPr>
          <w:sz w:val="24"/>
        </w:rPr>
        <w:t xml:space="preserve"> </w:t>
      </w:r>
      <w:r w:rsidR="001F4C63">
        <w:rPr>
          <w:sz w:val="24"/>
        </w:rPr>
        <w:t xml:space="preserve">March </w:t>
      </w:r>
      <w:r w:rsidR="00B62396">
        <w:rPr>
          <w:sz w:val="24"/>
        </w:rPr>
        <w:t>2</w:t>
      </w:r>
      <w:r w:rsidR="00F7553F">
        <w:rPr>
          <w:sz w:val="24"/>
        </w:rPr>
        <w:t>6</w:t>
      </w:r>
      <w:r w:rsidR="00B62396">
        <w:rPr>
          <w:sz w:val="24"/>
        </w:rPr>
        <w:t>, 200</w:t>
      </w:r>
      <w:r w:rsidR="006C590E">
        <w:rPr>
          <w:sz w:val="24"/>
        </w:rPr>
        <w:t>9</w:t>
      </w:r>
      <w:r w:rsidRPr="00B62396">
        <w:rPr>
          <w:sz w:val="24"/>
        </w:rPr>
        <w:t>.</w:t>
      </w:r>
      <w:r w:rsidR="003C134F" w:rsidRPr="00B62396">
        <w:rPr>
          <w:sz w:val="24"/>
        </w:rPr>
        <w:t xml:space="preserve"> </w:t>
      </w:r>
    </w:p>
    <w:p w:rsidR="00FE0AD1" w:rsidRDefault="00FE0AD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406C3" w:rsidRDefault="00EC3AD1" w:rsidP="00D406C3">
      <w:pPr>
        <w:pStyle w:val="BodyText"/>
        <w:widowControl/>
        <w:tabs>
          <w:tab w:val="left" w:pos="0"/>
        </w:tabs>
        <w:rPr>
          <w:rFonts w:ascii="Times New Roman" w:hAnsi="Times New Roman"/>
          <w:b/>
          <w:color w:val="000000"/>
          <w:u w:val="single"/>
        </w:rPr>
      </w:pPr>
      <w:r>
        <w:rPr>
          <w:rFonts w:ascii="Times New Roman" w:hAnsi="Times New Roman"/>
          <w:b/>
          <w:color w:val="000000"/>
          <w:u w:val="single"/>
        </w:rPr>
        <w:t>Customer C</w:t>
      </w:r>
      <w:r w:rsidR="00D406C3" w:rsidRPr="009A410C">
        <w:rPr>
          <w:rFonts w:ascii="Times New Roman" w:hAnsi="Times New Roman"/>
          <w:b/>
          <w:color w:val="000000"/>
          <w:u w:val="single"/>
        </w:rPr>
        <w:t>omments</w:t>
      </w:r>
    </w:p>
    <w:p w:rsidR="00D406C3" w:rsidRPr="00B62396" w:rsidRDefault="00D406C3"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1F4C63" w:rsidRPr="001F4C63" w:rsidRDefault="00C64550" w:rsidP="001F4C63">
      <w:pPr>
        <w:pStyle w:val="BodyText"/>
        <w:widowControl/>
        <w:tabs>
          <w:tab w:val="left" w:pos="0"/>
        </w:tabs>
        <w:rPr>
          <w:rFonts w:ascii="Times New Roman" w:hAnsi="Times New Roman"/>
        </w:rPr>
      </w:pPr>
      <w:r w:rsidRPr="00B62396">
        <w:rPr>
          <w:rFonts w:ascii="Times New Roman" w:hAnsi="Times New Roman"/>
        </w:rPr>
        <w:t xml:space="preserve">On </w:t>
      </w:r>
      <w:r w:rsidR="001F4C63">
        <w:rPr>
          <w:rFonts w:ascii="Times New Roman" w:hAnsi="Times New Roman"/>
        </w:rPr>
        <w:t>February 14</w:t>
      </w:r>
      <w:r w:rsidR="005F6200" w:rsidRPr="00257246">
        <w:rPr>
          <w:rFonts w:ascii="Times New Roman" w:hAnsi="Times New Roman"/>
        </w:rPr>
        <w:t>,</w:t>
      </w:r>
      <w:r w:rsidR="005F6200" w:rsidRPr="00B62396">
        <w:rPr>
          <w:rFonts w:ascii="Times New Roman" w:hAnsi="Times New Roman"/>
        </w:rPr>
        <w:t xml:space="preserve"> 200</w:t>
      </w:r>
      <w:r w:rsidR="005F677C">
        <w:rPr>
          <w:rFonts w:ascii="Times New Roman" w:hAnsi="Times New Roman"/>
        </w:rPr>
        <w:t>9</w:t>
      </w:r>
      <w:r w:rsidRPr="00B62396">
        <w:rPr>
          <w:rFonts w:ascii="Times New Roman" w:hAnsi="Times New Roman"/>
        </w:rPr>
        <w:t>, the company</w:t>
      </w:r>
      <w:r w:rsidR="00622736" w:rsidRPr="00B62396">
        <w:rPr>
          <w:rFonts w:ascii="Times New Roman" w:hAnsi="Times New Roman"/>
        </w:rPr>
        <w:t xml:space="preserve"> notified its customers of the rate increase by mail</w:t>
      </w:r>
      <w:r w:rsidRPr="00B62396">
        <w:rPr>
          <w:rFonts w:ascii="Times New Roman" w:hAnsi="Times New Roman"/>
        </w:rPr>
        <w:t>.</w:t>
      </w:r>
      <w:r w:rsidR="00656C05" w:rsidRPr="00B62396">
        <w:rPr>
          <w:rFonts w:ascii="Times New Roman" w:hAnsi="Times New Roman"/>
        </w:rPr>
        <w:t xml:space="preserve"> </w:t>
      </w:r>
      <w:r w:rsidR="001F4C63" w:rsidRPr="001F4C63">
        <w:rPr>
          <w:rFonts w:ascii="Times New Roman" w:hAnsi="Times New Roman"/>
        </w:rPr>
        <w:t xml:space="preserve">A total of </w:t>
      </w:r>
      <w:r w:rsidR="0042206B">
        <w:rPr>
          <w:rFonts w:ascii="Times New Roman" w:hAnsi="Times New Roman"/>
        </w:rPr>
        <w:t>24</w:t>
      </w:r>
      <w:r w:rsidR="001F4C63" w:rsidRPr="001F4C63">
        <w:rPr>
          <w:rFonts w:ascii="Times New Roman" w:hAnsi="Times New Roman"/>
        </w:rPr>
        <w:t xml:space="preserve"> customer comments have been received to date; </w:t>
      </w:r>
      <w:r w:rsidR="0042206B">
        <w:rPr>
          <w:rFonts w:ascii="Times New Roman" w:hAnsi="Times New Roman"/>
        </w:rPr>
        <w:t>2</w:t>
      </w:r>
      <w:r w:rsidR="00A01B47">
        <w:rPr>
          <w:rFonts w:ascii="Times New Roman" w:hAnsi="Times New Roman"/>
        </w:rPr>
        <w:t>2</w:t>
      </w:r>
      <w:r w:rsidR="001F4C63" w:rsidRPr="001F4C63">
        <w:rPr>
          <w:rFonts w:ascii="Times New Roman" w:hAnsi="Times New Roman"/>
        </w:rPr>
        <w:t xml:space="preserve"> </w:t>
      </w:r>
      <w:proofErr w:type="gramStart"/>
      <w:r w:rsidR="001F4C63" w:rsidRPr="001F4C63">
        <w:rPr>
          <w:rFonts w:ascii="Times New Roman" w:hAnsi="Times New Roman"/>
        </w:rPr>
        <w:t>opposed</w:t>
      </w:r>
      <w:r w:rsidR="00A01B47">
        <w:rPr>
          <w:rFonts w:ascii="Times New Roman" w:hAnsi="Times New Roman"/>
        </w:rPr>
        <w:t>,</w:t>
      </w:r>
      <w:proofErr w:type="gramEnd"/>
      <w:r w:rsidR="00A01B47">
        <w:rPr>
          <w:rFonts w:ascii="Times New Roman" w:hAnsi="Times New Roman"/>
        </w:rPr>
        <w:t xml:space="preserve"> one in favor</w:t>
      </w:r>
      <w:r w:rsidR="001F4C63" w:rsidRPr="001F4C63">
        <w:rPr>
          <w:rFonts w:ascii="Times New Roman" w:hAnsi="Times New Roman"/>
        </w:rPr>
        <w:t xml:space="preserve"> and one undecided. Please note: Customers often address several issues of concern within one comment. Therefore, subtotals may not equal the total number of comments submitted.</w:t>
      </w:r>
    </w:p>
    <w:p w:rsidR="001F4C63" w:rsidRPr="001F4C63" w:rsidRDefault="001F4C63" w:rsidP="001F4C63">
      <w:pPr>
        <w:pStyle w:val="PlainText"/>
        <w:rPr>
          <w:rFonts w:eastAsia="Times New Roman"/>
        </w:rPr>
      </w:pPr>
    </w:p>
    <w:p w:rsidR="001F4C63" w:rsidRPr="001F4C63" w:rsidRDefault="001F4C63" w:rsidP="001F4C63">
      <w:pPr>
        <w:rPr>
          <w:sz w:val="24"/>
        </w:rPr>
      </w:pPr>
      <w:r w:rsidRPr="001F4C63">
        <w:rPr>
          <w:sz w:val="24"/>
        </w:rPr>
        <w:t>Some comments regarding rates will not be responded to until the audit is complete. The results of the audit will be available when the staff recommendation is presented to the commissioners.</w:t>
      </w:r>
    </w:p>
    <w:p w:rsidR="001F4C63" w:rsidRPr="001F4C63" w:rsidRDefault="001F4C63" w:rsidP="001F4C63">
      <w:pPr>
        <w:pStyle w:val="ListParagraph"/>
      </w:pPr>
    </w:p>
    <w:p w:rsidR="001F4C63" w:rsidRPr="001F4C63" w:rsidRDefault="001F4C63" w:rsidP="001F4C63">
      <w:pPr>
        <w:rPr>
          <w:sz w:val="24"/>
        </w:rPr>
      </w:pPr>
      <w:r w:rsidRPr="001F4C63">
        <w:rPr>
          <w:sz w:val="24"/>
        </w:rPr>
        <w:t>Consumer Protection staff advised customers that they have access to all company documents pertinent to this rate case at</w:t>
      </w:r>
      <w:r w:rsidR="0042206B">
        <w:rPr>
          <w:sz w:val="24"/>
        </w:rPr>
        <w:t>.</w:t>
      </w:r>
      <w:r w:rsidR="0042206B">
        <w:t> </w:t>
      </w:r>
      <w:hyperlink r:id="rId12" w:history="1">
        <w:proofErr w:type="gramStart"/>
        <w:r w:rsidR="0042206B" w:rsidRPr="0042206B">
          <w:rPr>
            <w:rStyle w:val="Hyperlink"/>
            <w:sz w:val="24"/>
          </w:rPr>
          <w:t>utc.wa.gov</w:t>
        </w:r>
        <w:proofErr w:type="gramEnd"/>
      </w:hyperlink>
      <w:r w:rsidR="0042206B">
        <w:t xml:space="preserve"> </w:t>
      </w:r>
      <w:r w:rsidRPr="001F4C63">
        <w:rPr>
          <w:sz w:val="24"/>
        </w:rPr>
        <w:t xml:space="preserve">and that they may contact Nancy Paulson toll-free at </w:t>
      </w:r>
    </w:p>
    <w:p w:rsidR="001F4C63" w:rsidRPr="001F4C63" w:rsidRDefault="001F4C63" w:rsidP="001F4C63">
      <w:pPr>
        <w:rPr>
          <w:sz w:val="24"/>
        </w:rPr>
      </w:pPr>
      <w:proofErr w:type="gramStart"/>
      <w:r w:rsidRPr="001F4C63">
        <w:rPr>
          <w:sz w:val="24"/>
        </w:rPr>
        <w:t>1-888-333-9882 with questions or concerns.</w:t>
      </w:r>
      <w:proofErr w:type="gramEnd"/>
    </w:p>
    <w:p w:rsidR="001F4C63" w:rsidRDefault="001F4C63" w:rsidP="001F4C63">
      <w:pPr>
        <w:pStyle w:val="ListParagraph"/>
      </w:pPr>
    </w:p>
    <w:p w:rsidR="001F4C63" w:rsidRDefault="001F4C63" w:rsidP="001F4C63">
      <w:pPr>
        <w:pStyle w:val="NoSpacing"/>
        <w:rPr>
          <w:b/>
          <w:szCs w:val="24"/>
        </w:rPr>
      </w:pPr>
      <w:r w:rsidRPr="007B7C90">
        <w:rPr>
          <w:b/>
          <w:szCs w:val="24"/>
        </w:rPr>
        <w:t>Filing Documents and Methodology</w:t>
      </w:r>
      <w:r>
        <w:rPr>
          <w:b/>
          <w:szCs w:val="24"/>
        </w:rPr>
        <w:t xml:space="preserve"> Comments</w:t>
      </w:r>
    </w:p>
    <w:p w:rsidR="001F4C63" w:rsidRDefault="002B4DF8" w:rsidP="001F4C63">
      <w:pPr>
        <w:pStyle w:val="NoSpacing"/>
        <w:numPr>
          <w:ilvl w:val="0"/>
          <w:numId w:val="6"/>
        </w:numPr>
        <w:ind w:left="720"/>
        <w:rPr>
          <w:szCs w:val="24"/>
        </w:rPr>
      </w:pPr>
      <w:r>
        <w:rPr>
          <w:szCs w:val="24"/>
        </w:rPr>
        <w:t xml:space="preserve">Thirteen </w:t>
      </w:r>
      <w:r w:rsidR="001F4C63" w:rsidRPr="007A1575">
        <w:rPr>
          <w:szCs w:val="24"/>
        </w:rPr>
        <w:t xml:space="preserve">customers </w:t>
      </w:r>
      <w:r w:rsidR="001F4C63">
        <w:rPr>
          <w:szCs w:val="24"/>
        </w:rPr>
        <w:t xml:space="preserve">calculated that the proposed rate increase ranges from 16 to </w:t>
      </w:r>
    </w:p>
    <w:p w:rsidR="001F4C63" w:rsidRDefault="001F4C63" w:rsidP="001F4C63">
      <w:pPr>
        <w:pStyle w:val="NoSpacing"/>
        <w:ind w:left="720"/>
        <w:rPr>
          <w:szCs w:val="24"/>
        </w:rPr>
      </w:pPr>
      <w:r>
        <w:rPr>
          <w:szCs w:val="24"/>
        </w:rPr>
        <w:lastRenderedPageBreak/>
        <w:t>58 percent, due to the changes in service levels, not the 5 to 13 percent stated by the company.</w:t>
      </w:r>
    </w:p>
    <w:p w:rsidR="001F4C63" w:rsidRPr="007A1575" w:rsidRDefault="001F4C63" w:rsidP="001F4C63">
      <w:pPr>
        <w:pStyle w:val="NoSpacing"/>
        <w:ind w:left="720"/>
        <w:rPr>
          <w:szCs w:val="24"/>
        </w:rPr>
      </w:pPr>
    </w:p>
    <w:p w:rsidR="001F4C63" w:rsidRPr="008A5D92" w:rsidRDefault="001F4C63" w:rsidP="001F4C63">
      <w:pPr>
        <w:pStyle w:val="NoSpacing"/>
        <w:ind w:left="720"/>
        <w:rPr>
          <w:b/>
          <w:szCs w:val="24"/>
        </w:rPr>
      </w:pPr>
      <w:r>
        <w:rPr>
          <w:b/>
          <w:szCs w:val="24"/>
        </w:rPr>
        <w:t>Staff Response</w:t>
      </w:r>
    </w:p>
    <w:p w:rsidR="001F4C63" w:rsidRPr="00AF6415" w:rsidRDefault="001F4C63" w:rsidP="001F4C63">
      <w:pPr>
        <w:pStyle w:val="NoSpacing"/>
        <w:ind w:left="720"/>
        <w:rPr>
          <w:szCs w:val="24"/>
        </w:rPr>
      </w:pPr>
      <w:r>
        <w:rPr>
          <w:szCs w:val="24"/>
        </w:rPr>
        <w:t>Regulatory staff will respond to these comments when the audit is complete.</w:t>
      </w:r>
    </w:p>
    <w:p w:rsidR="001F4C63" w:rsidRDefault="001F4C63" w:rsidP="001F4C63">
      <w:pPr>
        <w:pStyle w:val="NoSpacing"/>
        <w:rPr>
          <w:color w:val="000000"/>
          <w:szCs w:val="24"/>
        </w:rPr>
      </w:pPr>
    </w:p>
    <w:p w:rsidR="001F4C63" w:rsidRDefault="001F4C63" w:rsidP="001F4C63">
      <w:pPr>
        <w:pStyle w:val="NoSpacing"/>
        <w:rPr>
          <w:b/>
          <w:szCs w:val="24"/>
        </w:rPr>
      </w:pPr>
      <w:r>
        <w:rPr>
          <w:b/>
          <w:szCs w:val="24"/>
        </w:rPr>
        <w:t>Business Practice Comments</w:t>
      </w:r>
    </w:p>
    <w:p w:rsidR="001F4C63" w:rsidRPr="0059066A" w:rsidRDefault="002B4DF8" w:rsidP="001F4C63">
      <w:pPr>
        <w:pStyle w:val="NoSpacing"/>
        <w:numPr>
          <w:ilvl w:val="0"/>
          <w:numId w:val="6"/>
        </w:numPr>
        <w:ind w:left="720"/>
      </w:pPr>
      <w:r>
        <w:rPr>
          <w:szCs w:val="24"/>
        </w:rPr>
        <w:t xml:space="preserve">Twelve </w:t>
      </w:r>
      <w:r w:rsidR="001F4C63" w:rsidRPr="0059066A">
        <w:rPr>
          <w:szCs w:val="24"/>
        </w:rPr>
        <w:t>customers oppose the service level changes. Several of these customers mentioned they will need to halve their frequency of pick-up to keep the</w:t>
      </w:r>
      <w:r w:rsidR="001F4C63">
        <w:rPr>
          <w:szCs w:val="24"/>
        </w:rPr>
        <w:t>ir</w:t>
      </w:r>
      <w:r w:rsidR="001F4C63" w:rsidRPr="0059066A">
        <w:rPr>
          <w:szCs w:val="24"/>
        </w:rPr>
        <w:t xml:space="preserve"> cost similar to their current rate. They hesitate to decrease the service level </w:t>
      </w:r>
      <w:r w:rsidR="001F4C63">
        <w:rPr>
          <w:szCs w:val="24"/>
        </w:rPr>
        <w:t xml:space="preserve">because </w:t>
      </w:r>
      <w:r w:rsidR="001F4C63" w:rsidRPr="0059066A">
        <w:rPr>
          <w:szCs w:val="24"/>
        </w:rPr>
        <w:t xml:space="preserve">hot temperatures in </w:t>
      </w:r>
      <w:r w:rsidR="001F4C63">
        <w:rPr>
          <w:szCs w:val="24"/>
        </w:rPr>
        <w:t>summer</w:t>
      </w:r>
      <w:r w:rsidR="001F4C63" w:rsidRPr="0059066A">
        <w:rPr>
          <w:szCs w:val="24"/>
        </w:rPr>
        <w:t xml:space="preserve"> pose sanitation concerns. </w:t>
      </w:r>
      <w:r>
        <w:rPr>
          <w:szCs w:val="24"/>
        </w:rPr>
        <w:t xml:space="preserve">Two customers </w:t>
      </w:r>
      <w:r w:rsidR="001F4C63">
        <w:rPr>
          <w:szCs w:val="24"/>
        </w:rPr>
        <w:t>said the containers are too large and bulky, especially for senior citizens to handle.</w:t>
      </w:r>
    </w:p>
    <w:p w:rsidR="001F4C63" w:rsidRDefault="001F4C63" w:rsidP="001F4C63">
      <w:pPr>
        <w:pStyle w:val="NoSpacing"/>
        <w:ind w:firstLine="720"/>
        <w:rPr>
          <w:b/>
          <w:szCs w:val="24"/>
        </w:rPr>
      </w:pPr>
    </w:p>
    <w:p w:rsidR="001F4C63" w:rsidRPr="008A5D92" w:rsidRDefault="001F4C63" w:rsidP="001F4C63">
      <w:pPr>
        <w:pStyle w:val="NoSpacing"/>
        <w:ind w:firstLine="720"/>
        <w:rPr>
          <w:b/>
          <w:szCs w:val="24"/>
        </w:rPr>
      </w:pPr>
      <w:r>
        <w:rPr>
          <w:b/>
          <w:szCs w:val="24"/>
        </w:rPr>
        <w:t>Staff Response</w:t>
      </w:r>
    </w:p>
    <w:p w:rsidR="001F4C63" w:rsidRPr="001F3353" w:rsidRDefault="001F4C63" w:rsidP="001F4C63">
      <w:pPr>
        <w:ind w:left="720"/>
        <w:rPr>
          <w:rFonts w:eastAsia="Calibri"/>
          <w:sz w:val="24"/>
        </w:rPr>
      </w:pPr>
      <w:r w:rsidRPr="001F3353">
        <w:rPr>
          <w:rFonts w:eastAsia="Calibri"/>
          <w:sz w:val="24"/>
        </w:rPr>
        <w:t>The company made the decision to switch to carts as a cost-saving measure and for easier handling by the solid waste workers.</w:t>
      </w:r>
    </w:p>
    <w:p w:rsidR="001F4C63" w:rsidRPr="001F3353" w:rsidRDefault="001F4C63" w:rsidP="001F4C63">
      <w:pPr>
        <w:ind w:left="720"/>
        <w:rPr>
          <w:rFonts w:eastAsia="Calibri"/>
          <w:sz w:val="24"/>
        </w:rPr>
      </w:pPr>
    </w:p>
    <w:p w:rsidR="001F4C63" w:rsidRDefault="001F4C63" w:rsidP="001F4C63">
      <w:pPr>
        <w:pStyle w:val="NoSpacing"/>
        <w:rPr>
          <w:b/>
          <w:szCs w:val="24"/>
        </w:rPr>
      </w:pPr>
      <w:r w:rsidRPr="007B7C90">
        <w:rPr>
          <w:b/>
          <w:color w:val="000000"/>
          <w:szCs w:val="24"/>
        </w:rPr>
        <w:t>General</w:t>
      </w:r>
      <w:r>
        <w:rPr>
          <w:b/>
          <w:color w:val="000000"/>
          <w:szCs w:val="24"/>
        </w:rPr>
        <w:t xml:space="preserve"> Comments</w:t>
      </w:r>
    </w:p>
    <w:p w:rsidR="001F4C63" w:rsidRDefault="001F4C63" w:rsidP="001F4C63">
      <w:pPr>
        <w:pStyle w:val="NoSpacing"/>
        <w:numPr>
          <w:ilvl w:val="0"/>
          <w:numId w:val="6"/>
        </w:numPr>
        <w:ind w:left="720"/>
        <w:rPr>
          <w:szCs w:val="24"/>
        </w:rPr>
      </w:pPr>
      <w:r>
        <w:rPr>
          <w:szCs w:val="24"/>
        </w:rPr>
        <w:t xml:space="preserve">One customer said the current rate is fair. One customer doesn’t believe she should pay for company equipment through a rate increase. </w:t>
      </w:r>
      <w:r w:rsidR="00A01B47">
        <w:rPr>
          <w:szCs w:val="24"/>
        </w:rPr>
        <w:t xml:space="preserve">One customer said the company is entitled to the rate increase. Naslund Disposal is still giving service level options to suit customers’ needs. </w:t>
      </w:r>
      <w:r>
        <w:rPr>
          <w:szCs w:val="24"/>
        </w:rPr>
        <w:t>T</w:t>
      </w:r>
      <w:r w:rsidR="002B4DF8">
        <w:rPr>
          <w:szCs w:val="24"/>
        </w:rPr>
        <w:t>hree</w:t>
      </w:r>
      <w:r>
        <w:rPr>
          <w:szCs w:val="24"/>
        </w:rPr>
        <w:t xml:space="preserve"> customers wouldn’t mind a smaller increase as costs should decrease with more efficient equipment. </w:t>
      </w:r>
      <w:r w:rsidR="002B4DF8">
        <w:rPr>
          <w:szCs w:val="24"/>
        </w:rPr>
        <w:t xml:space="preserve">Eight </w:t>
      </w:r>
      <w:r>
        <w:rPr>
          <w:szCs w:val="24"/>
        </w:rPr>
        <w:t xml:space="preserve">customers are opposed to a rate increase because of the poor economy. </w:t>
      </w:r>
      <w:r w:rsidR="002B4DF8">
        <w:rPr>
          <w:szCs w:val="24"/>
        </w:rPr>
        <w:t xml:space="preserve">Eight </w:t>
      </w:r>
      <w:r>
        <w:rPr>
          <w:szCs w:val="24"/>
        </w:rPr>
        <w:t>customers mentioned they are opposed to an increase as they are senior citizens and/or on a fixed income.</w:t>
      </w:r>
    </w:p>
    <w:p w:rsidR="001F4C63" w:rsidRDefault="001F4C63" w:rsidP="001F4C63">
      <w:pPr>
        <w:pStyle w:val="NoSpacing"/>
        <w:ind w:left="720"/>
        <w:rPr>
          <w:szCs w:val="24"/>
        </w:rPr>
      </w:pPr>
    </w:p>
    <w:p w:rsidR="001F4C63" w:rsidRPr="008A5D92" w:rsidRDefault="001F4C63" w:rsidP="001F4C63">
      <w:pPr>
        <w:pStyle w:val="NoSpacing"/>
        <w:ind w:left="720"/>
        <w:rPr>
          <w:b/>
          <w:szCs w:val="24"/>
        </w:rPr>
      </w:pPr>
      <w:r>
        <w:rPr>
          <w:b/>
          <w:szCs w:val="24"/>
        </w:rPr>
        <w:t>Staff Response</w:t>
      </w:r>
    </w:p>
    <w:p w:rsidR="001F4C63" w:rsidRDefault="001F4C63" w:rsidP="001F4C63">
      <w:pPr>
        <w:pStyle w:val="NoSpacing"/>
        <w:ind w:left="720"/>
        <w:rPr>
          <w:szCs w:val="24"/>
        </w:rPr>
      </w:pPr>
      <w:r w:rsidRPr="00146FB9">
        <w:rPr>
          <w:color w:val="000000"/>
        </w:rPr>
        <w:t xml:space="preserve">Consumer Protection </w:t>
      </w:r>
      <w:r>
        <w:rPr>
          <w:color w:val="000000"/>
        </w:rPr>
        <w:t>s</w:t>
      </w:r>
      <w:r w:rsidRPr="00146FB9">
        <w:rPr>
          <w:color w:val="000000"/>
        </w:rPr>
        <w:t>taff advised customer</w:t>
      </w:r>
      <w:r w:rsidRPr="00146FB9">
        <w:t xml:space="preserve">s that state law requires rates to be fair and reasonable for customers, but </w:t>
      </w:r>
      <w:r>
        <w:t>sufficient</w:t>
      </w:r>
      <w:r w:rsidRPr="00146FB9">
        <w:t xml:space="preserve"> to allow the company a chance to recover operating expenses and earn a return on investment.</w:t>
      </w:r>
    </w:p>
    <w:p w:rsidR="00423671" w:rsidRDefault="00423671" w:rsidP="00F54A4F">
      <w:pPr>
        <w:tabs>
          <w:tab w:val="left" w:pos="6210"/>
          <w:tab w:val="left" w:pos="6480"/>
        </w:tabs>
        <w:jc w:val="center"/>
        <w:rPr>
          <w:b/>
          <w:sz w:val="24"/>
          <w:u w:val="single"/>
        </w:rPr>
      </w:pPr>
    </w:p>
    <w:p w:rsidR="008956A7" w:rsidRPr="00B62396" w:rsidRDefault="008956A7" w:rsidP="00F54A4F">
      <w:pPr>
        <w:tabs>
          <w:tab w:val="left" w:pos="6210"/>
          <w:tab w:val="left" w:pos="6480"/>
        </w:tabs>
        <w:jc w:val="center"/>
        <w:rPr>
          <w:b/>
          <w:sz w:val="24"/>
          <w:u w:val="single"/>
        </w:rPr>
      </w:pPr>
      <w:r w:rsidRPr="00B62396">
        <w:rPr>
          <w:b/>
          <w:sz w:val="24"/>
          <w:u w:val="single"/>
        </w:rPr>
        <w:t>Rate Comparison</w:t>
      </w:r>
    </w:p>
    <w:p w:rsidR="00AF1A52" w:rsidRPr="00B62396" w:rsidRDefault="00AF1A52" w:rsidP="008956A7">
      <w:pPr>
        <w:rPr>
          <w:sz w:val="24"/>
        </w:rPr>
      </w:pPr>
    </w:p>
    <w:p w:rsidR="00267644" w:rsidRPr="00B62396" w:rsidRDefault="00267644" w:rsidP="002D3175">
      <w:pPr>
        <w:pStyle w:val="Heading1"/>
        <w:jc w:val="left"/>
        <w:sectPr w:rsidR="00267644" w:rsidRPr="00B62396">
          <w:headerReference w:type="default" r:id="rId13"/>
          <w:endnotePr>
            <w:numFmt w:val="decimal"/>
            <w:numRestart w:val="eachSect"/>
          </w:endnotePr>
          <w:pgSz w:w="12240" w:h="15840" w:code="1"/>
          <w:pgMar w:top="1440" w:right="1440" w:bottom="1440" w:left="1440" w:header="1008" w:footer="720" w:gutter="0"/>
          <w:cols w:space="720"/>
          <w:noEndnote/>
          <w:titlePg/>
        </w:sect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0"/>
        <w:gridCol w:w="1710"/>
        <w:gridCol w:w="1620"/>
      </w:tblGrid>
      <w:tr w:rsidR="00513587" w:rsidRPr="00D23814" w:rsidTr="00411B84">
        <w:trPr>
          <w:trHeight w:val="269"/>
        </w:trPr>
        <w:tc>
          <w:tcPr>
            <w:tcW w:w="4950" w:type="dxa"/>
            <w:shd w:val="clear" w:color="auto" w:fill="auto"/>
          </w:tcPr>
          <w:p w:rsidR="00513587" w:rsidRPr="00424780" w:rsidRDefault="00513587" w:rsidP="008E64C1">
            <w:pPr>
              <w:rPr>
                <w:b/>
                <w:iCs/>
              </w:rPr>
            </w:pPr>
          </w:p>
        </w:tc>
        <w:tc>
          <w:tcPr>
            <w:tcW w:w="1710" w:type="dxa"/>
            <w:shd w:val="clear" w:color="auto" w:fill="auto"/>
            <w:vAlign w:val="bottom"/>
          </w:tcPr>
          <w:p w:rsidR="00513587" w:rsidRPr="002739B0" w:rsidRDefault="00513587" w:rsidP="00461F96">
            <w:pPr>
              <w:jc w:val="center"/>
              <w:rPr>
                <w:b/>
                <w:iCs/>
                <w:sz w:val="24"/>
              </w:rPr>
            </w:pPr>
            <w:r w:rsidRPr="002739B0">
              <w:rPr>
                <w:b/>
                <w:iCs/>
                <w:sz w:val="24"/>
              </w:rPr>
              <w:t>Present</w:t>
            </w:r>
          </w:p>
        </w:tc>
        <w:tc>
          <w:tcPr>
            <w:tcW w:w="1620" w:type="dxa"/>
            <w:shd w:val="clear" w:color="auto" w:fill="auto"/>
            <w:vAlign w:val="bottom"/>
          </w:tcPr>
          <w:p w:rsidR="00513587" w:rsidRPr="002739B0" w:rsidRDefault="00513587" w:rsidP="00461F96">
            <w:pPr>
              <w:jc w:val="center"/>
              <w:rPr>
                <w:b/>
                <w:iCs/>
                <w:sz w:val="24"/>
              </w:rPr>
            </w:pPr>
            <w:r w:rsidRPr="002739B0">
              <w:rPr>
                <w:b/>
                <w:iCs/>
                <w:sz w:val="24"/>
              </w:rPr>
              <w:t>Proposed</w:t>
            </w:r>
          </w:p>
        </w:tc>
      </w:tr>
      <w:tr w:rsidR="00513587" w:rsidRPr="004F4765" w:rsidTr="00411B84">
        <w:tc>
          <w:tcPr>
            <w:tcW w:w="4950" w:type="dxa"/>
            <w:shd w:val="clear" w:color="auto" w:fill="auto"/>
          </w:tcPr>
          <w:p w:rsidR="00513587" w:rsidRPr="00513587" w:rsidRDefault="00513587" w:rsidP="00424780">
            <w:pPr>
              <w:rPr>
                <w:b/>
                <w:sz w:val="24"/>
              </w:rPr>
            </w:pPr>
            <w:r w:rsidRPr="00513587">
              <w:rPr>
                <w:b/>
                <w:sz w:val="24"/>
              </w:rPr>
              <w:t xml:space="preserve">Residential </w:t>
            </w:r>
            <w:r w:rsidR="00913114" w:rsidRPr="00424780">
              <w:rPr>
                <w:b/>
                <w:iCs/>
                <w:sz w:val="24"/>
              </w:rPr>
              <w:t>Monthly Rates</w:t>
            </w:r>
          </w:p>
        </w:tc>
        <w:tc>
          <w:tcPr>
            <w:tcW w:w="1710" w:type="dxa"/>
            <w:shd w:val="clear" w:color="auto" w:fill="auto"/>
            <w:vAlign w:val="bottom"/>
          </w:tcPr>
          <w:p w:rsidR="00513587" w:rsidRPr="00513587" w:rsidRDefault="00513587" w:rsidP="008E64C1">
            <w:pPr>
              <w:jc w:val="center"/>
              <w:rPr>
                <w:sz w:val="24"/>
              </w:rPr>
            </w:pPr>
          </w:p>
        </w:tc>
        <w:tc>
          <w:tcPr>
            <w:tcW w:w="1620" w:type="dxa"/>
            <w:shd w:val="clear" w:color="auto" w:fill="auto"/>
            <w:vAlign w:val="bottom"/>
          </w:tcPr>
          <w:p w:rsidR="00513587" w:rsidRPr="00513587" w:rsidRDefault="00513587" w:rsidP="008E64C1">
            <w:pPr>
              <w:jc w:val="center"/>
              <w:rPr>
                <w:sz w:val="24"/>
              </w:rPr>
            </w:pPr>
          </w:p>
        </w:tc>
      </w:tr>
      <w:tr w:rsidR="00A745DA" w:rsidRPr="004F4765" w:rsidTr="00411B84">
        <w:tc>
          <w:tcPr>
            <w:tcW w:w="4950" w:type="dxa"/>
            <w:shd w:val="clear" w:color="auto" w:fill="auto"/>
          </w:tcPr>
          <w:p w:rsidR="00A745DA" w:rsidRDefault="00A745DA" w:rsidP="00E5673B">
            <w:pPr>
              <w:rPr>
                <w:sz w:val="24"/>
              </w:rPr>
            </w:pPr>
            <w:r>
              <w:rPr>
                <w:sz w:val="24"/>
              </w:rPr>
              <w:t>Mini-Can Weekly Service</w:t>
            </w:r>
          </w:p>
        </w:tc>
        <w:tc>
          <w:tcPr>
            <w:tcW w:w="1710" w:type="dxa"/>
            <w:shd w:val="clear" w:color="auto" w:fill="auto"/>
            <w:vAlign w:val="bottom"/>
          </w:tcPr>
          <w:p w:rsidR="00A745DA" w:rsidRDefault="00A745DA" w:rsidP="00A745DA">
            <w:pPr>
              <w:jc w:val="center"/>
              <w:rPr>
                <w:sz w:val="24"/>
              </w:rPr>
            </w:pPr>
            <w:r>
              <w:rPr>
                <w:sz w:val="24"/>
              </w:rPr>
              <w:t xml:space="preserve">  $8.97</w:t>
            </w:r>
          </w:p>
        </w:tc>
        <w:tc>
          <w:tcPr>
            <w:tcW w:w="1620" w:type="dxa"/>
            <w:shd w:val="clear" w:color="auto" w:fill="auto"/>
            <w:vAlign w:val="bottom"/>
          </w:tcPr>
          <w:p w:rsidR="00A745DA" w:rsidRDefault="00A745DA" w:rsidP="00E5673B">
            <w:pPr>
              <w:jc w:val="center"/>
              <w:rPr>
                <w:sz w:val="24"/>
              </w:rPr>
            </w:pPr>
            <w:r>
              <w:rPr>
                <w:sz w:val="24"/>
              </w:rPr>
              <w:t>Not Available</w:t>
            </w:r>
          </w:p>
        </w:tc>
      </w:tr>
      <w:tr w:rsidR="00A745DA" w:rsidRPr="004F4765" w:rsidTr="00411B84">
        <w:tc>
          <w:tcPr>
            <w:tcW w:w="4950" w:type="dxa"/>
            <w:shd w:val="clear" w:color="auto" w:fill="auto"/>
          </w:tcPr>
          <w:p w:rsidR="00A745DA" w:rsidRDefault="00A745DA" w:rsidP="00C81EA8">
            <w:pPr>
              <w:rPr>
                <w:sz w:val="24"/>
              </w:rPr>
            </w:pPr>
            <w:r>
              <w:rPr>
                <w:sz w:val="24"/>
              </w:rPr>
              <w:t>One Can Weekly Service</w:t>
            </w:r>
          </w:p>
        </w:tc>
        <w:tc>
          <w:tcPr>
            <w:tcW w:w="1710" w:type="dxa"/>
            <w:shd w:val="clear" w:color="auto" w:fill="auto"/>
            <w:vAlign w:val="bottom"/>
          </w:tcPr>
          <w:p w:rsidR="00A745DA" w:rsidRDefault="00A745DA" w:rsidP="00A745DA">
            <w:pPr>
              <w:jc w:val="center"/>
              <w:rPr>
                <w:sz w:val="24"/>
              </w:rPr>
            </w:pPr>
            <w:r>
              <w:rPr>
                <w:sz w:val="24"/>
              </w:rPr>
              <w:t>$11.54</w:t>
            </w:r>
          </w:p>
        </w:tc>
        <w:tc>
          <w:tcPr>
            <w:tcW w:w="1620" w:type="dxa"/>
            <w:shd w:val="clear" w:color="auto" w:fill="auto"/>
            <w:vAlign w:val="bottom"/>
          </w:tcPr>
          <w:p w:rsidR="00A745DA" w:rsidRDefault="00A745DA" w:rsidP="0020727A">
            <w:pPr>
              <w:jc w:val="center"/>
              <w:rPr>
                <w:sz w:val="24"/>
              </w:rPr>
            </w:pPr>
            <w:r>
              <w:rPr>
                <w:sz w:val="24"/>
              </w:rPr>
              <w:t>Not Available</w:t>
            </w:r>
          </w:p>
        </w:tc>
      </w:tr>
      <w:tr w:rsidR="00A745DA" w:rsidRPr="004F4765" w:rsidTr="00411B84">
        <w:tc>
          <w:tcPr>
            <w:tcW w:w="4950" w:type="dxa"/>
            <w:shd w:val="clear" w:color="auto" w:fill="auto"/>
          </w:tcPr>
          <w:p w:rsidR="00A745DA" w:rsidRDefault="00A745DA" w:rsidP="00C81EA8">
            <w:pPr>
              <w:rPr>
                <w:sz w:val="24"/>
              </w:rPr>
            </w:pPr>
            <w:r>
              <w:rPr>
                <w:sz w:val="24"/>
              </w:rPr>
              <w:t>Two Can Weekly Service</w:t>
            </w:r>
          </w:p>
        </w:tc>
        <w:tc>
          <w:tcPr>
            <w:tcW w:w="1710" w:type="dxa"/>
            <w:shd w:val="clear" w:color="auto" w:fill="auto"/>
            <w:vAlign w:val="bottom"/>
          </w:tcPr>
          <w:p w:rsidR="00A745DA" w:rsidRDefault="00A745DA" w:rsidP="00A745DA">
            <w:pPr>
              <w:jc w:val="center"/>
              <w:rPr>
                <w:sz w:val="24"/>
              </w:rPr>
            </w:pPr>
            <w:r>
              <w:rPr>
                <w:sz w:val="24"/>
              </w:rPr>
              <w:t>$16.21</w:t>
            </w:r>
          </w:p>
        </w:tc>
        <w:tc>
          <w:tcPr>
            <w:tcW w:w="1620" w:type="dxa"/>
            <w:shd w:val="clear" w:color="auto" w:fill="auto"/>
            <w:vAlign w:val="bottom"/>
          </w:tcPr>
          <w:p w:rsidR="00A745DA" w:rsidRDefault="00A745DA" w:rsidP="0020727A">
            <w:pPr>
              <w:jc w:val="center"/>
              <w:rPr>
                <w:sz w:val="24"/>
              </w:rPr>
            </w:pPr>
            <w:r>
              <w:rPr>
                <w:sz w:val="24"/>
              </w:rPr>
              <w:t>Not Available</w:t>
            </w:r>
          </w:p>
        </w:tc>
      </w:tr>
      <w:tr w:rsidR="00A745DA" w:rsidRPr="004F4765" w:rsidTr="00411B84">
        <w:tc>
          <w:tcPr>
            <w:tcW w:w="4950" w:type="dxa"/>
            <w:shd w:val="clear" w:color="auto" w:fill="auto"/>
          </w:tcPr>
          <w:p w:rsidR="00A745DA" w:rsidRPr="002739B0" w:rsidRDefault="00A745DA" w:rsidP="005D40A5">
            <w:pPr>
              <w:rPr>
                <w:b/>
                <w:sz w:val="24"/>
              </w:rPr>
            </w:pPr>
            <w:r>
              <w:rPr>
                <w:sz w:val="24"/>
              </w:rPr>
              <w:t xml:space="preserve">64 Gallon Cart </w:t>
            </w:r>
            <w:r w:rsidR="005D40A5">
              <w:rPr>
                <w:sz w:val="24"/>
              </w:rPr>
              <w:t>Every-Other-</w:t>
            </w:r>
            <w:r>
              <w:rPr>
                <w:sz w:val="24"/>
              </w:rPr>
              <w:t>Week Service</w:t>
            </w:r>
          </w:p>
        </w:tc>
        <w:tc>
          <w:tcPr>
            <w:tcW w:w="1710" w:type="dxa"/>
            <w:shd w:val="clear" w:color="auto" w:fill="auto"/>
            <w:vAlign w:val="bottom"/>
          </w:tcPr>
          <w:p w:rsidR="00A745DA" w:rsidRPr="00513587" w:rsidRDefault="005D40A5" w:rsidP="00327797">
            <w:pPr>
              <w:jc w:val="center"/>
              <w:rPr>
                <w:sz w:val="24"/>
              </w:rPr>
            </w:pPr>
            <w:r>
              <w:rPr>
                <w:sz w:val="24"/>
              </w:rPr>
              <w:t>Not Available</w:t>
            </w:r>
          </w:p>
        </w:tc>
        <w:tc>
          <w:tcPr>
            <w:tcW w:w="1620" w:type="dxa"/>
            <w:shd w:val="clear" w:color="auto" w:fill="auto"/>
            <w:vAlign w:val="bottom"/>
          </w:tcPr>
          <w:p w:rsidR="00A745DA" w:rsidRPr="00513587" w:rsidRDefault="00A745DA" w:rsidP="005D40A5">
            <w:pPr>
              <w:jc w:val="center"/>
              <w:rPr>
                <w:sz w:val="24"/>
              </w:rPr>
            </w:pPr>
            <w:r>
              <w:rPr>
                <w:sz w:val="24"/>
              </w:rPr>
              <w:t>$1</w:t>
            </w:r>
            <w:r w:rsidR="005D40A5">
              <w:rPr>
                <w:sz w:val="24"/>
              </w:rPr>
              <w:t>3</w:t>
            </w:r>
            <w:r>
              <w:rPr>
                <w:sz w:val="24"/>
              </w:rPr>
              <w:t>.</w:t>
            </w:r>
            <w:r w:rsidR="005D40A5">
              <w:rPr>
                <w:sz w:val="24"/>
              </w:rPr>
              <w:t>42</w:t>
            </w:r>
          </w:p>
        </w:tc>
      </w:tr>
      <w:tr w:rsidR="00A745DA" w:rsidRPr="004F4765" w:rsidTr="00411B84">
        <w:tc>
          <w:tcPr>
            <w:tcW w:w="4950" w:type="dxa"/>
            <w:shd w:val="clear" w:color="auto" w:fill="auto"/>
          </w:tcPr>
          <w:p w:rsidR="00A745DA" w:rsidRPr="002739B0" w:rsidRDefault="00A745DA" w:rsidP="00423671">
            <w:pPr>
              <w:rPr>
                <w:b/>
                <w:sz w:val="24"/>
              </w:rPr>
            </w:pPr>
            <w:r>
              <w:rPr>
                <w:sz w:val="24"/>
              </w:rPr>
              <w:t>64 Gallon Cart Weekly Service</w:t>
            </w:r>
          </w:p>
        </w:tc>
        <w:tc>
          <w:tcPr>
            <w:tcW w:w="1710" w:type="dxa"/>
            <w:shd w:val="clear" w:color="auto" w:fill="auto"/>
            <w:vAlign w:val="bottom"/>
          </w:tcPr>
          <w:p w:rsidR="00A745DA" w:rsidRPr="00FA28EB" w:rsidRDefault="005D40A5" w:rsidP="00327797">
            <w:pPr>
              <w:jc w:val="center"/>
              <w:rPr>
                <w:sz w:val="24"/>
              </w:rPr>
            </w:pPr>
            <w:r>
              <w:rPr>
                <w:sz w:val="24"/>
              </w:rPr>
              <w:t>Not Available</w:t>
            </w:r>
          </w:p>
        </w:tc>
        <w:tc>
          <w:tcPr>
            <w:tcW w:w="1620" w:type="dxa"/>
            <w:shd w:val="clear" w:color="auto" w:fill="auto"/>
            <w:vAlign w:val="bottom"/>
          </w:tcPr>
          <w:p w:rsidR="00A745DA" w:rsidRPr="00FA28EB" w:rsidRDefault="00A745DA" w:rsidP="005D40A5">
            <w:pPr>
              <w:jc w:val="center"/>
              <w:rPr>
                <w:sz w:val="24"/>
              </w:rPr>
            </w:pPr>
            <w:r>
              <w:rPr>
                <w:sz w:val="24"/>
              </w:rPr>
              <w:t>$1</w:t>
            </w:r>
            <w:r w:rsidR="005D40A5">
              <w:rPr>
                <w:sz w:val="24"/>
              </w:rPr>
              <w:t>8</w:t>
            </w:r>
            <w:r>
              <w:rPr>
                <w:sz w:val="24"/>
              </w:rPr>
              <w:t>.</w:t>
            </w:r>
            <w:r w:rsidR="005D40A5">
              <w:rPr>
                <w:sz w:val="24"/>
              </w:rPr>
              <w:t>27</w:t>
            </w:r>
          </w:p>
        </w:tc>
      </w:tr>
      <w:tr w:rsidR="00A745DA" w:rsidRPr="004F4765" w:rsidTr="00411B84">
        <w:tc>
          <w:tcPr>
            <w:tcW w:w="4950" w:type="dxa"/>
            <w:shd w:val="clear" w:color="auto" w:fill="auto"/>
          </w:tcPr>
          <w:p w:rsidR="00A745DA" w:rsidRDefault="00072BF7" w:rsidP="00072BF7">
            <w:pPr>
              <w:rPr>
                <w:sz w:val="24"/>
              </w:rPr>
            </w:pPr>
            <w:r>
              <w:rPr>
                <w:sz w:val="24"/>
              </w:rPr>
              <w:t>9</w:t>
            </w:r>
            <w:r w:rsidR="00A745DA">
              <w:rPr>
                <w:sz w:val="24"/>
              </w:rPr>
              <w:t>6 Gallon Cart Weekly Service</w:t>
            </w:r>
          </w:p>
        </w:tc>
        <w:tc>
          <w:tcPr>
            <w:tcW w:w="1710" w:type="dxa"/>
            <w:shd w:val="clear" w:color="auto" w:fill="auto"/>
            <w:vAlign w:val="bottom"/>
          </w:tcPr>
          <w:p w:rsidR="00A745DA" w:rsidRPr="00FA28EB" w:rsidRDefault="00072BF7" w:rsidP="00072BF7">
            <w:pPr>
              <w:jc w:val="center"/>
              <w:rPr>
                <w:sz w:val="24"/>
              </w:rPr>
            </w:pPr>
            <w:r>
              <w:rPr>
                <w:sz w:val="24"/>
              </w:rPr>
              <w:t>$20.19</w:t>
            </w:r>
          </w:p>
        </w:tc>
        <w:tc>
          <w:tcPr>
            <w:tcW w:w="1620" w:type="dxa"/>
            <w:shd w:val="clear" w:color="auto" w:fill="auto"/>
            <w:vAlign w:val="bottom"/>
          </w:tcPr>
          <w:p w:rsidR="00A745DA" w:rsidRPr="00FA28EB" w:rsidRDefault="00A745DA" w:rsidP="00072BF7">
            <w:pPr>
              <w:jc w:val="center"/>
              <w:rPr>
                <w:sz w:val="24"/>
              </w:rPr>
            </w:pPr>
            <w:r>
              <w:rPr>
                <w:sz w:val="24"/>
              </w:rPr>
              <w:t>$</w:t>
            </w:r>
            <w:r w:rsidR="00072BF7">
              <w:rPr>
                <w:sz w:val="24"/>
              </w:rPr>
              <w:t>2</w:t>
            </w:r>
            <w:r>
              <w:rPr>
                <w:sz w:val="24"/>
              </w:rPr>
              <w:t>1.</w:t>
            </w:r>
            <w:r w:rsidR="00072BF7">
              <w:rPr>
                <w:sz w:val="24"/>
              </w:rPr>
              <w:t>2</w:t>
            </w:r>
            <w:r>
              <w:rPr>
                <w:sz w:val="24"/>
              </w:rPr>
              <w:t>0</w:t>
            </w:r>
          </w:p>
        </w:tc>
      </w:tr>
      <w:tr w:rsidR="00646CAE" w:rsidRPr="004F4765" w:rsidTr="00411B84">
        <w:tc>
          <w:tcPr>
            <w:tcW w:w="4950" w:type="dxa"/>
            <w:shd w:val="clear" w:color="auto" w:fill="auto"/>
          </w:tcPr>
          <w:p w:rsidR="00646CAE" w:rsidRPr="002739B0" w:rsidRDefault="00646CAE" w:rsidP="003C2350">
            <w:pPr>
              <w:rPr>
                <w:b/>
                <w:sz w:val="24"/>
              </w:rPr>
            </w:pPr>
          </w:p>
        </w:tc>
        <w:tc>
          <w:tcPr>
            <w:tcW w:w="1710" w:type="dxa"/>
            <w:shd w:val="clear" w:color="auto" w:fill="auto"/>
          </w:tcPr>
          <w:p w:rsidR="00646CAE" w:rsidRPr="00513587" w:rsidRDefault="00646CAE" w:rsidP="003C2350">
            <w:pPr>
              <w:jc w:val="center"/>
              <w:rPr>
                <w:sz w:val="24"/>
              </w:rPr>
            </w:pPr>
          </w:p>
        </w:tc>
        <w:tc>
          <w:tcPr>
            <w:tcW w:w="1620" w:type="dxa"/>
            <w:shd w:val="clear" w:color="auto" w:fill="auto"/>
          </w:tcPr>
          <w:p w:rsidR="00646CAE" w:rsidRPr="00513587" w:rsidRDefault="00646CAE" w:rsidP="003C2350">
            <w:pPr>
              <w:jc w:val="center"/>
              <w:rPr>
                <w:sz w:val="24"/>
              </w:rPr>
            </w:pPr>
          </w:p>
        </w:tc>
      </w:tr>
      <w:tr w:rsidR="00646CAE" w:rsidRPr="004F4765" w:rsidTr="005809FA">
        <w:tc>
          <w:tcPr>
            <w:tcW w:w="4950" w:type="dxa"/>
            <w:shd w:val="clear" w:color="auto" w:fill="auto"/>
          </w:tcPr>
          <w:p w:rsidR="00646CAE" w:rsidRDefault="00646CAE" w:rsidP="00F7553F">
            <w:pPr>
              <w:rPr>
                <w:sz w:val="24"/>
              </w:rPr>
            </w:pPr>
          </w:p>
        </w:tc>
        <w:tc>
          <w:tcPr>
            <w:tcW w:w="1710" w:type="dxa"/>
            <w:shd w:val="clear" w:color="auto" w:fill="auto"/>
            <w:vAlign w:val="bottom"/>
          </w:tcPr>
          <w:p w:rsidR="00646CAE" w:rsidRPr="002739B0" w:rsidRDefault="00646CAE" w:rsidP="005809FA">
            <w:pPr>
              <w:jc w:val="center"/>
              <w:rPr>
                <w:b/>
                <w:iCs/>
                <w:sz w:val="24"/>
              </w:rPr>
            </w:pPr>
            <w:r w:rsidRPr="002739B0">
              <w:rPr>
                <w:b/>
                <w:iCs/>
                <w:sz w:val="24"/>
              </w:rPr>
              <w:t>Present</w:t>
            </w:r>
          </w:p>
        </w:tc>
        <w:tc>
          <w:tcPr>
            <w:tcW w:w="1620" w:type="dxa"/>
            <w:shd w:val="clear" w:color="auto" w:fill="auto"/>
            <w:vAlign w:val="bottom"/>
          </w:tcPr>
          <w:p w:rsidR="00646CAE" w:rsidRPr="002739B0" w:rsidRDefault="00646CAE" w:rsidP="005809FA">
            <w:pPr>
              <w:jc w:val="center"/>
              <w:rPr>
                <w:b/>
                <w:iCs/>
                <w:sz w:val="24"/>
              </w:rPr>
            </w:pPr>
            <w:r w:rsidRPr="002739B0">
              <w:rPr>
                <w:b/>
                <w:iCs/>
                <w:sz w:val="24"/>
              </w:rPr>
              <w:t>Proposed</w:t>
            </w:r>
          </w:p>
        </w:tc>
      </w:tr>
      <w:tr w:rsidR="00646CAE" w:rsidRPr="004F4765" w:rsidTr="00411B84">
        <w:tc>
          <w:tcPr>
            <w:tcW w:w="4950" w:type="dxa"/>
            <w:shd w:val="clear" w:color="auto" w:fill="auto"/>
          </w:tcPr>
          <w:p w:rsidR="00646CAE" w:rsidRDefault="00646CAE" w:rsidP="00646CAE">
            <w:pPr>
              <w:rPr>
                <w:sz w:val="24"/>
              </w:rPr>
            </w:pPr>
            <w:r w:rsidRPr="002739B0">
              <w:rPr>
                <w:b/>
                <w:sz w:val="24"/>
              </w:rPr>
              <w:t>Commercial</w:t>
            </w:r>
          </w:p>
        </w:tc>
        <w:tc>
          <w:tcPr>
            <w:tcW w:w="1710" w:type="dxa"/>
            <w:shd w:val="clear" w:color="auto" w:fill="auto"/>
          </w:tcPr>
          <w:p w:rsidR="00646CAE" w:rsidRDefault="00646CAE" w:rsidP="008528C4">
            <w:pPr>
              <w:jc w:val="center"/>
              <w:rPr>
                <w:sz w:val="24"/>
              </w:rPr>
            </w:pPr>
          </w:p>
        </w:tc>
        <w:tc>
          <w:tcPr>
            <w:tcW w:w="1620" w:type="dxa"/>
            <w:shd w:val="clear" w:color="auto" w:fill="auto"/>
          </w:tcPr>
          <w:p w:rsidR="00646CAE" w:rsidRDefault="00646CAE" w:rsidP="00FD7643">
            <w:pPr>
              <w:jc w:val="center"/>
              <w:rPr>
                <w:sz w:val="24"/>
              </w:rPr>
            </w:pPr>
          </w:p>
        </w:tc>
      </w:tr>
      <w:tr w:rsidR="00646CAE" w:rsidRPr="004F4765" w:rsidTr="00411B84">
        <w:tc>
          <w:tcPr>
            <w:tcW w:w="4950" w:type="dxa"/>
            <w:shd w:val="clear" w:color="auto" w:fill="auto"/>
          </w:tcPr>
          <w:p w:rsidR="00646CAE" w:rsidRPr="002739B0" w:rsidRDefault="00646CAE" w:rsidP="00F7553F">
            <w:pPr>
              <w:rPr>
                <w:b/>
                <w:sz w:val="24"/>
              </w:rPr>
            </w:pPr>
            <w:r>
              <w:rPr>
                <w:sz w:val="24"/>
              </w:rPr>
              <w:t>Two Y</w:t>
            </w:r>
            <w:r w:rsidRPr="009F31B8">
              <w:rPr>
                <w:sz w:val="24"/>
              </w:rPr>
              <w:t xml:space="preserve">ard </w:t>
            </w:r>
            <w:r>
              <w:rPr>
                <w:sz w:val="24"/>
              </w:rPr>
              <w:t>C</w:t>
            </w:r>
            <w:r w:rsidRPr="009F31B8">
              <w:rPr>
                <w:sz w:val="24"/>
              </w:rPr>
              <w:t xml:space="preserve">ontainer </w:t>
            </w:r>
            <w:r>
              <w:rPr>
                <w:sz w:val="24"/>
              </w:rPr>
              <w:t>S</w:t>
            </w:r>
            <w:r w:rsidRPr="009F31B8">
              <w:rPr>
                <w:sz w:val="24"/>
              </w:rPr>
              <w:t xml:space="preserve">ervice </w:t>
            </w:r>
            <w:r>
              <w:rPr>
                <w:sz w:val="24"/>
              </w:rPr>
              <w:t>P</w:t>
            </w:r>
            <w:r w:rsidRPr="009F31B8">
              <w:rPr>
                <w:sz w:val="24"/>
              </w:rPr>
              <w:t xml:space="preserve">er </w:t>
            </w:r>
            <w:r>
              <w:rPr>
                <w:sz w:val="24"/>
              </w:rPr>
              <w:t>M</w:t>
            </w:r>
            <w:r w:rsidRPr="009F31B8">
              <w:rPr>
                <w:sz w:val="24"/>
              </w:rPr>
              <w:t>onth</w:t>
            </w:r>
          </w:p>
        </w:tc>
        <w:tc>
          <w:tcPr>
            <w:tcW w:w="1710" w:type="dxa"/>
            <w:shd w:val="clear" w:color="auto" w:fill="auto"/>
          </w:tcPr>
          <w:p w:rsidR="00646CAE" w:rsidRPr="00513587" w:rsidRDefault="00646CAE" w:rsidP="008528C4">
            <w:pPr>
              <w:jc w:val="center"/>
              <w:rPr>
                <w:sz w:val="24"/>
              </w:rPr>
            </w:pPr>
            <w:r>
              <w:rPr>
                <w:sz w:val="24"/>
              </w:rPr>
              <w:t>$73.19</w:t>
            </w:r>
          </w:p>
        </w:tc>
        <w:tc>
          <w:tcPr>
            <w:tcW w:w="1620" w:type="dxa"/>
            <w:shd w:val="clear" w:color="auto" w:fill="auto"/>
          </w:tcPr>
          <w:p w:rsidR="00646CAE" w:rsidRPr="00513587" w:rsidRDefault="00646CAE" w:rsidP="00FD7643">
            <w:pPr>
              <w:jc w:val="center"/>
              <w:rPr>
                <w:sz w:val="24"/>
              </w:rPr>
            </w:pPr>
            <w:r>
              <w:rPr>
                <w:sz w:val="24"/>
              </w:rPr>
              <w:t>$76.80</w:t>
            </w:r>
          </w:p>
        </w:tc>
      </w:tr>
      <w:tr w:rsidR="00646CAE" w:rsidRPr="004F4765" w:rsidTr="00411B84">
        <w:tc>
          <w:tcPr>
            <w:tcW w:w="4950" w:type="dxa"/>
            <w:shd w:val="clear" w:color="auto" w:fill="auto"/>
          </w:tcPr>
          <w:p w:rsidR="00646CAE" w:rsidRPr="002739B0" w:rsidRDefault="00646CAE" w:rsidP="003C2350">
            <w:pPr>
              <w:rPr>
                <w:b/>
                <w:sz w:val="24"/>
              </w:rPr>
            </w:pPr>
            <w:r w:rsidRPr="009F31B8">
              <w:rPr>
                <w:sz w:val="24"/>
              </w:rPr>
              <w:t xml:space="preserve">20 </w:t>
            </w:r>
            <w:r>
              <w:rPr>
                <w:sz w:val="24"/>
              </w:rPr>
              <w:t>Yard D</w:t>
            </w:r>
            <w:r w:rsidRPr="009F31B8">
              <w:rPr>
                <w:sz w:val="24"/>
              </w:rPr>
              <w:t xml:space="preserve">rop </w:t>
            </w:r>
            <w:r>
              <w:rPr>
                <w:sz w:val="24"/>
              </w:rPr>
              <w:t>B</w:t>
            </w:r>
            <w:r w:rsidRPr="009F31B8">
              <w:rPr>
                <w:sz w:val="24"/>
              </w:rPr>
              <w:t xml:space="preserve">ox </w:t>
            </w:r>
            <w:r>
              <w:rPr>
                <w:sz w:val="24"/>
              </w:rPr>
              <w:t>S</w:t>
            </w:r>
            <w:r w:rsidRPr="009F31B8">
              <w:rPr>
                <w:sz w:val="24"/>
              </w:rPr>
              <w:t xml:space="preserve">ervice </w:t>
            </w:r>
            <w:r>
              <w:rPr>
                <w:sz w:val="24"/>
              </w:rPr>
              <w:t>P</w:t>
            </w:r>
            <w:r w:rsidRPr="009F31B8">
              <w:rPr>
                <w:sz w:val="24"/>
              </w:rPr>
              <w:t xml:space="preserve">er </w:t>
            </w:r>
            <w:r>
              <w:rPr>
                <w:sz w:val="24"/>
              </w:rPr>
              <w:t>P</w:t>
            </w:r>
            <w:r w:rsidRPr="009F31B8">
              <w:rPr>
                <w:sz w:val="24"/>
              </w:rPr>
              <w:t>ick-up</w:t>
            </w:r>
          </w:p>
        </w:tc>
        <w:tc>
          <w:tcPr>
            <w:tcW w:w="1710" w:type="dxa"/>
            <w:shd w:val="clear" w:color="auto" w:fill="auto"/>
          </w:tcPr>
          <w:p w:rsidR="00646CAE" w:rsidRPr="00513587" w:rsidRDefault="00646CAE" w:rsidP="00F15013">
            <w:pPr>
              <w:jc w:val="center"/>
              <w:rPr>
                <w:sz w:val="24"/>
              </w:rPr>
            </w:pPr>
            <w:r>
              <w:rPr>
                <w:sz w:val="24"/>
              </w:rPr>
              <w:t>$65.00</w:t>
            </w:r>
          </w:p>
        </w:tc>
        <w:tc>
          <w:tcPr>
            <w:tcW w:w="1620" w:type="dxa"/>
            <w:shd w:val="clear" w:color="auto" w:fill="auto"/>
          </w:tcPr>
          <w:p w:rsidR="00646CAE" w:rsidRPr="00513587" w:rsidRDefault="00646CAE" w:rsidP="00F15013">
            <w:pPr>
              <w:jc w:val="center"/>
              <w:rPr>
                <w:sz w:val="24"/>
              </w:rPr>
            </w:pPr>
            <w:r>
              <w:rPr>
                <w:sz w:val="24"/>
              </w:rPr>
              <w:t>$75.00</w:t>
            </w:r>
          </w:p>
        </w:tc>
      </w:tr>
    </w:tbl>
    <w:p w:rsidR="001617C6" w:rsidRDefault="001617C6"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873CE" w:rsidRDefault="008873CE" w:rsidP="00E90DC0">
      <w:pPr>
        <w:jc w:val="center"/>
        <w:rPr>
          <w:b/>
          <w:sz w:val="24"/>
          <w:u w:val="single"/>
        </w:rPr>
      </w:pPr>
    </w:p>
    <w:p w:rsidR="00E90DC0" w:rsidRDefault="00E90DC0" w:rsidP="00E90DC0">
      <w:pPr>
        <w:jc w:val="center"/>
        <w:rPr>
          <w:b/>
          <w:sz w:val="24"/>
          <w:u w:val="single"/>
        </w:rPr>
      </w:pPr>
      <w:r w:rsidRPr="009412D1">
        <w:rPr>
          <w:b/>
          <w:sz w:val="24"/>
          <w:u w:val="single"/>
        </w:rPr>
        <w:t>Average Customer Charge Comparison –</w:t>
      </w:r>
      <w:r w:rsidR="00F1156C">
        <w:rPr>
          <w:b/>
          <w:sz w:val="24"/>
          <w:u w:val="single"/>
        </w:rPr>
        <w:t xml:space="preserve"> </w:t>
      </w:r>
      <w:r w:rsidR="00AD1C68">
        <w:rPr>
          <w:b/>
          <w:sz w:val="24"/>
          <w:u w:val="single"/>
        </w:rPr>
        <w:t xml:space="preserve">One </w:t>
      </w:r>
      <w:r w:rsidR="00B82C1D">
        <w:rPr>
          <w:b/>
          <w:sz w:val="24"/>
          <w:u w:val="single"/>
        </w:rPr>
        <w:t xml:space="preserve">Can </w:t>
      </w:r>
      <w:r w:rsidR="00863B93" w:rsidRPr="009412D1">
        <w:rPr>
          <w:b/>
          <w:sz w:val="24"/>
          <w:u w:val="single"/>
        </w:rPr>
        <w:t xml:space="preserve">Garbage </w:t>
      </w:r>
    </w:p>
    <w:p w:rsidR="00241B9B" w:rsidRDefault="00241B9B" w:rsidP="00E90DC0">
      <w:pPr>
        <w:jc w:val="center"/>
        <w:rPr>
          <w:b/>
          <w:sz w:val="24"/>
          <w:u w:val="single"/>
        </w:rPr>
      </w:pPr>
    </w:p>
    <w:tbl>
      <w:tblPr>
        <w:tblW w:w="0" w:type="auto"/>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1710"/>
        <w:gridCol w:w="1617"/>
      </w:tblGrid>
      <w:tr w:rsidR="00424780" w:rsidRPr="00E90DC0" w:rsidTr="00411B84">
        <w:trPr>
          <w:jc w:val="center"/>
        </w:trPr>
        <w:tc>
          <w:tcPr>
            <w:tcW w:w="4950" w:type="dxa"/>
            <w:shd w:val="clear" w:color="auto" w:fill="auto"/>
            <w:vAlign w:val="bottom"/>
          </w:tcPr>
          <w:p w:rsidR="00424780" w:rsidRPr="00E90DC0" w:rsidRDefault="00424780" w:rsidP="00461F96">
            <w:pPr>
              <w:rPr>
                <w:b/>
                <w:sz w:val="24"/>
              </w:rPr>
            </w:pPr>
            <w:r w:rsidRPr="00E90DC0">
              <w:rPr>
                <w:b/>
                <w:sz w:val="24"/>
              </w:rPr>
              <w:t xml:space="preserve">Monthly </w:t>
            </w:r>
            <w:r>
              <w:rPr>
                <w:b/>
                <w:sz w:val="24"/>
              </w:rPr>
              <w:t>Garbage</w:t>
            </w:r>
          </w:p>
        </w:tc>
        <w:tc>
          <w:tcPr>
            <w:tcW w:w="1710" w:type="dxa"/>
            <w:shd w:val="clear" w:color="auto" w:fill="auto"/>
            <w:vAlign w:val="bottom"/>
          </w:tcPr>
          <w:p w:rsidR="00424780" w:rsidRPr="00E90DC0" w:rsidRDefault="00424780" w:rsidP="00461F96">
            <w:pPr>
              <w:jc w:val="center"/>
              <w:rPr>
                <w:b/>
                <w:iCs/>
                <w:sz w:val="24"/>
              </w:rPr>
            </w:pPr>
            <w:r w:rsidRPr="00E90DC0">
              <w:rPr>
                <w:b/>
                <w:iCs/>
                <w:sz w:val="24"/>
              </w:rPr>
              <w:t>Present</w:t>
            </w:r>
          </w:p>
        </w:tc>
        <w:tc>
          <w:tcPr>
            <w:tcW w:w="1617" w:type="dxa"/>
            <w:shd w:val="clear" w:color="auto" w:fill="auto"/>
            <w:vAlign w:val="bottom"/>
          </w:tcPr>
          <w:p w:rsidR="00424780" w:rsidRPr="00E90DC0" w:rsidRDefault="00424780" w:rsidP="00461F96">
            <w:pPr>
              <w:jc w:val="center"/>
              <w:rPr>
                <w:b/>
                <w:iCs/>
                <w:sz w:val="24"/>
              </w:rPr>
            </w:pPr>
            <w:r w:rsidRPr="00E90DC0">
              <w:rPr>
                <w:b/>
                <w:iCs/>
                <w:sz w:val="24"/>
              </w:rPr>
              <w:t>Proposed</w:t>
            </w:r>
          </w:p>
        </w:tc>
      </w:tr>
      <w:tr w:rsidR="00636402" w:rsidRPr="00E90DC0" w:rsidTr="00411B84">
        <w:trPr>
          <w:jc w:val="center"/>
        </w:trPr>
        <w:tc>
          <w:tcPr>
            <w:tcW w:w="4950" w:type="dxa"/>
            <w:shd w:val="clear" w:color="auto" w:fill="auto"/>
          </w:tcPr>
          <w:p w:rsidR="00636402" w:rsidRDefault="00636402" w:rsidP="00E5673B">
            <w:pPr>
              <w:rPr>
                <w:sz w:val="24"/>
              </w:rPr>
            </w:pPr>
            <w:r>
              <w:rPr>
                <w:sz w:val="24"/>
              </w:rPr>
              <w:t>One Can Weekly Service</w:t>
            </w:r>
          </w:p>
        </w:tc>
        <w:tc>
          <w:tcPr>
            <w:tcW w:w="1710" w:type="dxa"/>
            <w:shd w:val="clear" w:color="auto" w:fill="auto"/>
            <w:vAlign w:val="bottom"/>
          </w:tcPr>
          <w:p w:rsidR="00636402" w:rsidRDefault="00636402" w:rsidP="00E5673B">
            <w:pPr>
              <w:jc w:val="center"/>
              <w:rPr>
                <w:sz w:val="24"/>
              </w:rPr>
            </w:pPr>
            <w:r>
              <w:rPr>
                <w:sz w:val="24"/>
              </w:rPr>
              <w:t>$11.54</w:t>
            </w:r>
          </w:p>
        </w:tc>
        <w:tc>
          <w:tcPr>
            <w:tcW w:w="1617" w:type="dxa"/>
            <w:shd w:val="clear" w:color="auto" w:fill="auto"/>
            <w:vAlign w:val="bottom"/>
          </w:tcPr>
          <w:p w:rsidR="00636402" w:rsidRDefault="00636402" w:rsidP="003C2350">
            <w:pPr>
              <w:jc w:val="center"/>
              <w:rPr>
                <w:sz w:val="24"/>
              </w:rPr>
            </w:pPr>
          </w:p>
        </w:tc>
      </w:tr>
      <w:tr w:rsidR="00636402" w:rsidRPr="00E90DC0" w:rsidTr="00411B84">
        <w:trPr>
          <w:jc w:val="center"/>
        </w:trPr>
        <w:tc>
          <w:tcPr>
            <w:tcW w:w="4950" w:type="dxa"/>
            <w:shd w:val="clear" w:color="auto" w:fill="auto"/>
          </w:tcPr>
          <w:p w:rsidR="00636402" w:rsidRPr="002739B0" w:rsidRDefault="00636402" w:rsidP="00E5673B">
            <w:pPr>
              <w:rPr>
                <w:b/>
                <w:sz w:val="24"/>
              </w:rPr>
            </w:pPr>
            <w:r>
              <w:rPr>
                <w:sz w:val="24"/>
              </w:rPr>
              <w:t>64 Gallon Cart Every-Other-Week Service</w:t>
            </w:r>
          </w:p>
        </w:tc>
        <w:tc>
          <w:tcPr>
            <w:tcW w:w="1710" w:type="dxa"/>
            <w:shd w:val="clear" w:color="auto" w:fill="auto"/>
            <w:vAlign w:val="bottom"/>
          </w:tcPr>
          <w:p w:rsidR="00636402" w:rsidRPr="00513587" w:rsidRDefault="00636402" w:rsidP="00E5673B">
            <w:pPr>
              <w:jc w:val="center"/>
              <w:rPr>
                <w:sz w:val="24"/>
              </w:rPr>
            </w:pPr>
          </w:p>
        </w:tc>
        <w:tc>
          <w:tcPr>
            <w:tcW w:w="1617" w:type="dxa"/>
            <w:shd w:val="clear" w:color="auto" w:fill="auto"/>
            <w:vAlign w:val="bottom"/>
          </w:tcPr>
          <w:p w:rsidR="00636402" w:rsidRPr="00513587" w:rsidRDefault="00636402" w:rsidP="00E5673B">
            <w:pPr>
              <w:jc w:val="center"/>
              <w:rPr>
                <w:sz w:val="24"/>
              </w:rPr>
            </w:pPr>
            <w:r>
              <w:rPr>
                <w:sz w:val="24"/>
              </w:rPr>
              <w:t>$13.42</w:t>
            </w:r>
          </w:p>
        </w:tc>
      </w:tr>
      <w:tr w:rsidR="00636402" w:rsidRPr="00E90DC0" w:rsidTr="00411B84">
        <w:trPr>
          <w:jc w:val="center"/>
        </w:trPr>
        <w:tc>
          <w:tcPr>
            <w:tcW w:w="4950" w:type="dxa"/>
            <w:shd w:val="clear" w:color="auto" w:fill="auto"/>
          </w:tcPr>
          <w:p w:rsidR="00636402" w:rsidRDefault="00636402" w:rsidP="0052757C">
            <w:pPr>
              <w:rPr>
                <w:sz w:val="24"/>
              </w:rPr>
            </w:pPr>
          </w:p>
        </w:tc>
        <w:tc>
          <w:tcPr>
            <w:tcW w:w="1710" w:type="dxa"/>
            <w:shd w:val="clear" w:color="auto" w:fill="auto"/>
            <w:vAlign w:val="bottom"/>
          </w:tcPr>
          <w:p w:rsidR="00636402" w:rsidRPr="00513587" w:rsidRDefault="00636402" w:rsidP="0052757C">
            <w:pPr>
              <w:jc w:val="center"/>
              <w:rPr>
                <w:sz w:val="24"/>
              </w:rPr>
            </w:pPr>
          </w:p>
        </w:tc>
        <w:tc>
          <w:tcPr>
            <w:tcW w:w="1617" w:type="dxa"/>
            <w:shd w:val="clear" w:color="auto" w:fill="auto"/>
            <w:vAlign w:val="bottom"/>
          </w:tcPr>
          <w:p w:rsidR="00636402" w:rsidRDefault="00A8299F" w:rsidP="00A8299F">
            <w:pPr>
              <w:jc w:val="center"/>
              <w:rPr>
                <w:sz w:val="24"/>
              </w:rPr>
            </w:pPr>
            <w:r>
              <w:rPr>
                <w:sz w:val="24"/>
              </w:rPr>
              <w:t>16</w:t>
            </w:r>
            <w:r w:rsidR="00636402">
              <w:rPr>
                <w:sz w:val="24"/>
              </w:rPr>
              <w:t>.</w:t>
            </w:r>
            <w:r>
              <w:rPr>
                <w:sz w:val="24"/>
              </w:rPr>
              <w:t>3</w:t>
            </w:r>
            <w:r w:rsidR="00636402">
              <w:rPr>
                <w:sz w:val="24"/>
              </w:rPr>
              <w:t>%</w:t>
            </w:r>
          </w:p>
        </w:tc>
      </w:tr>
    </w:tbl>
    <w:p w:rsidR="00F963A8" w:rsidRDefault="00F963A8" w:rsidP="004B5BD2">
      <w:pPr>
        <w:rPr>
          <w:sz w:val="22"/>
          <w:szCs w:val="22"/>
        </w:rPr>
      </w:pPr>
    </w:p>
    <w:tbl>
      <w:tblPr>
        <w:tblW w:w="0" w:type="auto"/>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4"/>
        <w:gridCol w:w="1710"/>
        <w:gridCol w:w="1620"/>
      </w:tblGrid>
      <w:tr w:rsidR="00636402" w:rsidRPr="00E90DC0" w:rsidTr="00411B84">
        <w:trPr>
          <w:jc w:val="center"/>
        </w:trPr>
        <w:tc>
          <w:tcPr>
            <w:tcW w:w="4904" w:type="dxa"/>
            <w:shd w:val="clear" w:color="auto" w:fill="auto"/>
            <w:vAlign w:val="bottom"/>
          </w:tcPr>
          <w:p w:rsidR="00636402" w:rsidRPr="00E90DC0" w:rsidRDefault="00636402" w:rsidP="00E5673B">
            <w:pPr>
              <w:rPr>
                <w:b/>
                <w:sz w:val="24"/>
              </w:rPr>
            </w:pPr>
            <w:r w:rsidRPr="00E90DC0">
              <w:rPr>
                <w:b/>
                <w:sz w:val="24"/>
              </w:rPr>
              <w:t xml:space="preserve">Monthly </w:t>
            </w:r>
            <w:r>
              <w:rPr>
                <w:b/>
                <w:sz w:val="24"/>
              </w:rPr>
              <w:t>Garbage</w:t>
            </w:r>
          </w:p>
        </w:tc>
        <w:tc>
          <w:tcPr>
            <w:tcW w:w="1710" w:type="dxa"/>
            <w:shd w:val="clear" w:color="auto" w:fill="auto"/>
            <w:vAlign w:val="bottom"/>
          </w:tcPr>
          <w:p w:rsidR="00636402" w:rsidRPr="00E90DC0" w:rsidRDefault="00636402" w:rsidP="00E5673B">
            <w:pPr>
              <w:jc w:val="center"/>
              <w:rPr>
                <w:b/>
                <w:iCs/>
                <w:sz w:val="24"/>
              </w:rPr>
            </w:pPr>
            <w:r w:rsidRPr="00E90DC0">
              <w:rPr>
                <w:b/>
                <w:iCs/>
                <w:sz w:val="24"/>
              </w:rPr>
              <w:t>Present</w:t>
            </w:r>
          </w:p>
        </w:tc>
        <w:tc>
          <w:tcPr>
            <w:tcW w:w="1620" w:type="dxa"/>
            <w:shd w:val="clear" w:color="auto" w:fill="auto"/>
            <w:vAlign w:val="bottom"/>
          </w:tcPr>
          <w:p w:rsidR="00636402" w:rsidRPr="00E90DC0" w:rsidRDefault="00636402" w:rsidP="00E5673B">
            <w:pPr>
              <w:jc w:val="center"/>
              <w:rPr>
                <w:b/>
                <w:iCs/>
                <w:sz w:val="24"/>
              </w:rPr>
            </w:pPr>
            <w:r w:rsidRPr="00E90DC0">
              <w:rPr>
                <w:b/>
                <w:iCs/>
                <w:sz w:val="24"/>
              </w:rPr>
              <w:t>Proposed</w:t>
            </w:r>
          </w:p>
        </w:tc>
      </w:tr>
      <w:tr w:rsidR="00636402" w:rsidRPr="00E90DC0" w:rsidTr="00411B84">
        <w:trPr>
          <w:jc w:val="center"/>
        </w:trPr>
        <w:tc>
          <w:tcPr>
            <w:tcW w:w="4904" w:type="dxa"/>
            <w:shd w:val="clear" w:color="auto" w:fill="auto"/>
          </w:tcPr>
          <w:p w:rsidR="00636402" w:rsidRPr="00E90DC0" w:rsidRDefault="003F652A" w:rsidP="00E5673B">
            <w:pPr>
              <w:rPr>
                <w:sz w:val="24"/>
              </w:rPr>
            </w:pPr>
            <w:r>
              <w:rPr>
                <w:sz w:val="24"/>
              </w:rPr>
              <w:t>One Can Weekly Service</w:t>
            </w:r>
          </w:p>
        </w:tc>
        <w:tc>
          <w:tcPr>
            <w:tcW w:w="1710" w:type="dxa"/>
            <w:shd w:val="clear" w:color="auto" w:fill="auto"/>
            <w:vAlign w:val="bottom"/>
          </w:tcPr>
          <w:p w:rsidR="00636402" w:rsidRDefault="00636402" w:rsidP="00E5673B">
            <w:pPr>
              <w:jc w:val="center"/>
              <w:rPr>
                <w:sz w:val="24"/>
              </w:rPr>
            </w:pPr>
            <w:r>
              <w:rPr>
                <w:sz w:val="24"/>
              </w:rPr>
              <w:t>$11.54</w:t>
            </w:r>
          </w:p>
        </w:tc>
        <w:tc>
          <w:tcPr>
            <w:tcW w:w="1620" w:type="dxa"/>
            <w:shd w:val="clear" w:color="auto" w:fill="auto"/>
            <w:vAlign w:val="bottom"/>
          </w:tcPr>
          <w:p w:rsidR="00636402" w:rsidRDefault="00636402" w:rsidP="00E5673B">
            <w:pPr>
              <w:jc w:val="center"/>
              <w:rPr>
                <w:sz w:val="24"/>
              </w:rPr>
            </w:pPr>
          </w:p>
        </w:tc>
      </w:tr>
      <w:tr w:rsidR="00636402" w:rsidRPr="00E90DC0" w:rsidTr="00411B84">
        <w:trPr>
          <w:jc w:val="center"/>
        </w:trPr>
        <w:tc>
          <w:tcPr>
            <w:tcW w:w="4904" w:type="dxa"/>
            <w:shd w:val="clear" w:color="auto" w:fill="auto"/>
          </w:tcPr>
          <w:p w:rsidR="00636402" w:rsidRDefault="00636402" w:rsidP="00E5673B">
            <w:pPr>
              <w:rPr>
                <w:sz w:val="24"/>
              </w:rPr>
            </w:pPr>
            <w:r>
              <w:rPr>
                <w:sz w:val="24"/>
              </w:rPr>
              <w:t>64 Gallon Cart Weekly Service</w:t>
            </w:r>
          </w:p>
        </w:tc>
        <w:tc>
          <w:tcPr>
            <w:tcW w:w="1710" w:type="dxa"/>
            <w:shd w:val="clear" w:color="auto" w:fill="auto"/>
            <w:vAlign w:val="bottom"/>
          </w:tcPr>
          <w:p w:rsidR="00636402" w:rsidRPr="00513587" w:rsidRDefault="00636402" w:rsidP="00E5673B">
            <w:pPr>
              <w:jc w:val="center"/>
              <w:rPr>
                <w:sz w:val="24"/>
              </w:rPr>
            </w:pPr>
          </w:p>
        </w:tc>
        <w:tc>
          <w:tcPr>
            <w:tcW w:w="1620" w:type="dxa"/>
            <w:shd w:val="clear" w:color="auto" w:fill="auto"/>
            <w:vAlign w:val="bottom"/>
          </w:tcPr>
          <w:p w:rsidR="00636402" w:rsidRPr="00513587" w:rsidRDefault="00636402" w:rsidP="00E5673B">
            <w:pPr>
              <w:jc w:val="center"/>
              <w:rPr>
                <w:sz w:val="24"/>
              </w:rPr>
            </w:pPr>
            <w:r>
              <w:rPr>
                <w:sz w:val="24"/>
              </w:rPr>
              <w:t>$18.27</w:t>
            </w:r>
          </w:p>
        </w:tc>
      </w:tr>
      <w:tr w:rsidR="00636402" w:rsidRPr="00E90DC0" w:rsidTr="00411B84">
        <w:trPr>
          <w:jc w:val="center"/>
        </w:trPr>
        <w:tc>
          <w:tcPr>
            <w:tcW w:w="4904" w:type="dxa"/>
            <w:shd w:val="clear" w:color="auto" w:fill="auto"/>
          </w:tcPr>
          <w:p w:rsidR="00636402" w:rsidRDefault="00636402" w:rsidP="00E5673B">
            <w:pPr>
              <w:rPr>
                <w:sz w:val="24"/>
              </w:rPr>
            </w:pPr>
          </w:p>
        </w:tc>
        <w:tc>
          <w:tcPr>
            <w:tcW w:w="1710" w:type="dxa"/>
            <w:shd w:val="clear" w:color="auto" w:fill="auto"/>
            <w:vAlign w:val="bottom"/>
          </w:tcPr>
          <w:p w:rsidR="00636402" w:rsidRPr="00513587" w:rsidRDefault="00636402" w:rsidP="00E5673B">
            <w:pPr>
              <w:jc w:val="center"/>
              <w:rPr>
                <w:sz w:val="24"/>
              </w:rPr>
            </w:pPr>
          </w:p>
        </w:tc>
        <w:tc>
          <w:tcPr>
            <w:tcW w:w="1620" w:type="dxa"/>
            <w:shd w:val="clear" w:color="auto" w:fill="auto"/>
            <w:vAlign w:val="bottom"/>
          </w:tcPr>
          <w:p w:rsidR="00636402" w:rsidRDefault="00A8299F" w:rsidP="00A8299F">
            <w:pPr>
              <w:jc w:val="center"/>
              <w:rPr>
                <w:sz w:val="24"/>
              </w:rPr>
            </w:pPr>
            <w:r>
              <w:rPr>
                <w:sz w:val="24"/>
              </w:rPr>
              <w:t>58</w:t>
            </w:r>
            <w:r w:rsidR="00636402">
              <w:rPr>
                <w:sz w:val="24"/>
              </w:rPr>
              <w:t>.</w:t>
            </w:r>
            <w:r>
              <w:rPr>
                <w:sz w:val="24"/>
              </w:rPr>
              <w:t>3</w:t>
            </w:r>
            <w:r w:rsidR="00636402">
              <w:rPr>
                <w:sz w:val="24"/>
              </w:rPr>
              <w:t>%</w:t>
            </w:r>
          </w:p>
        </w:tc>
      </w:tr>
    </w:tbl>
    <w:p w:rsidR="00636402" w:rsidRDefault="00636402" w:rsidP="004B5BD2">
      <w:pPr>
        <w:rPr>
          <w:sz w:val="22"/>
          <w:szCs w:val="22"/>
        </w:rPr>
      </w:pPr>
    </w:p>
    <w:p w:rsidR="00622736" w:rsidRPr="00B62396" w:rsidRDefault="00622736" w:rsidP="00423671">
      <w:pPr>
        <w:rPr>
          <w:sz w:val="24"/>
        </w:rPr>
      </w:pPr>
      <w:r w:rsidRPr="00B62396">
        <w:rPr>
          <w:sz w:val="24"/>
        </w:rPr>
        <w:t xml:space="preserve">Commission staff has not yet completed its review of </w:t>
      </w:r>
      <w:r w:rsidR="00C64550" w:rsidRPr="00B62396">
        <w:rPr>
          <w:sz w:val="24"/>
        </w:rPr>
        <w:t>the company</w:t>
      </w:r>
      <w:r w:rsidRPr="00B62396">
        <w:rPr>
          <w:sz w:val="24"/>
        </w:rPr>
        <w:t>’s supporting financial documents, books and records.</w:t>
      </w:r>
    </w:p>
    <w:p w:rsidR="00F720D5" w:rsidRPr="00B62396"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2396">
        <w:rPr>
          <w:b/>
          <w:sz w:val="24"/>
          <w:u w:val="single"/>
        </w:rPr>
        <w:t>Conclusion</w:t>
      </w:r>
    </w:p>
    <w:p w:rsidR="00784A2E" w:rsidRDefault="00784A2E" w:rsidP="00BB7A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B2878" w:rsidRPr="00AB2878" w:rsidRDefault="00697E4B" w:rsidP="00BB7A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2396">
        <w:rPr>
          <w:sz w:val="24"/>
        </w:rPr>
        <w:t>Take no action on this filing at this time</w:t>
      </w:r>
      <w:r w:rsidR="001B4800" w:rsidRPr="00B62396">
        <w:rPr>
          <w:sz w:val="24"/>
        </w:rPr>
        <w:t xml:space="preserve"> to allow for customer comments</w:t>
      </w:r>
      <w:r w:rsidRPr="00B62396">
        <w:rPr>
          <w:sz w:val="24"/>
        </w:rPr>
        <w:t>.</w:t>
      </w:r>
    </w:p>
    <w:sectPr w:rsidR="00AB2878" w:rsidRPr="00AB2878" w:rsidSect="00267644">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942" w:rsidRDefault="00D82942">
      <w:r>
        <w:separator/>
      </w:r>
    </w:p>
  </w:endnote>
  <w:endnote w:type="continuationSeparator" w:id="1">
    <w:p w:rsidR="00D82942" w:rsidRDefault="00D82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942" w:rsidRDefault="00D82942">
      <w:r>
        <w:separator/>
      </w:r>
    </w:p>
  </w:footnote>
  <w:footnote w:type="continuationSeparator" w:id="1">
    <w:p w:rsidR="00D82942" w:rsidRDefault="00D82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6C" w:rsidRPr="00F04770" w:rsidRDefault="00F1156C">
    <w:pPr>
      <w:spacing w:line="238" w:lineRule="auto"/>
    </w:pPr>
    <w:r w:rsidRPr="00F04770">
      <w:t xml:space="preserve">Docket </w:t>
    </w:r>
    <w:r>
      <w:t>TG</w:t>
    </w:r>
    <w:r w:rsidRPr="00F04770">
      <w:t>-0</w:t>
    </w:r>
    <w:r w:rsidR="005F677C">
      <w:t>90</w:t>
    </w:r>
    <w:r w:rsidR="001F3353">
      <w:t>272</w:t>
    </w:r>
    <w:r>
      <w:tab/>
    </w:r>
  </w:p>
  <w:p w:rsidR="00F1156C" w:rsidRPr="00FE0AD1" w:rsidRDefault="001F3353">
    <w:pPr>
      <w:spacing w:line="238" w:lineRule="auto"/>
    </w:pPr>
    <w:r>
      <w:t xml:space="preserve">March </w:t>
    </w:r>
    <w:r w:rsidR="005F677C">
      <w:t>12</w:t>
    </w:r>
    <w:r w:rsidR="00F1156C" w:rsidRPr="00F04770">
      <w:t>, 200</w:t>
    </w:r>
    <w:r w:rsidR="00F1156C">
      <w:t>9</w:t>
    </w:r>
  </w:p>
  <w:p w:rsidR="00F1156C" w:rsidRPr="00FE0AD1" w:rsidRDefault="00F1156C">
    <w:pPr>
      <w:spacing w:line="238" w:lineRule="auto"/>
      <w:rPr>
        <w:rStyle w:val="PageNumber"/>
      </w:rPr>
    </w:pPr>
    <w:r w:rsidRPr="00FE0AD1">
      <w:t>Page</w:t>
    </w:r>
    <w:r>
      <w:t xml:space="preserve"> </w:t>
    </w:r>
    <w:fldSimple w:instr=" PAGE   \* MERGEFORMAT ">
      <w:r w:rsidR="00DA1F63">
        <w:rPr>
          <w:noProof/>
        </w:rPr>
        <w:t>3</w:t>
      </w:r>
    </w:fldSimple>
  </w:p>
  <w:p w:rsidR="00F1156C" w:rsidRDefault="00F1156C">
    <w:pPr>
      <w:spacing w:line="238" w:lineRule="auto"/>
      <w:rPr>
        <w:rFonts w:ascii="Palatino Linotype" w:hAnsi="Palatino Linotype"/>
      </w:rPr>
    </w:pPr>
  </w:p>
  <w:p w:rsidR="00F1156C" w:rsidRDefault="00F115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4113DD"/>
    <w:multiLevelType w:val="hybridMultilevel"/>
    <w:tmpl w:val="0E589A30"/>
    <w:lvl w:ilvl="0" w:tplc="04090001">
      <w:start w:val="1"/>
      <w:numFmt w:val="bullet"/>
      <w:lvlText w:val=""/>
      <w:lvlJc w:val="left"/>
      <w:pPr>
        <w:tabs>
          <w:tab w:val="num" w:pos="720"/>
        </w:tabs>
        <w:ind w:left="720" w:hanging="360"/>
      </w:pPr>
      <w:rPr>
        <w:rFonts w:ascii="Symbol" w:hAnsi="Symbol" w:hint="default"/>
      </w:rPr>
    </w:lvl>
    <w:lvl w:ilvl="1" w:tplc="AE662DD4">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5F45F8B"/>
    <w:multiLevelType w:val="hybridMultilevel"/>
    <w:tmpl w:val="52329D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0"/>
    <w:footnote w:id="1"/>
  </w:footnotePr>
  <w:endnotePr>
    <w:numFmt w:val="decimal"/>
    <w:numRestart w:val="eachSect"/>
    <w:endnote w:id="0"/>
    <w:endnote w:id="1"/>
  </w:endnotePr>
  <w:compat/>
  <w:rsids>
    <w:rsidRoot w:val="007155BE"/>
    <w:rsid w:val="000046F9"/>
    <w:rsid w:val="00011B5A"/>
    <w:rsid w:val="00015A72"/>
    <w:rsid w:val="00023BF4"/>
    <w:rsid w:val="00024C83"/>
    <w:rsid w:val="00025AC1"/>
    <w:rsid w:val="00027913"/>
    <w:rsid w:val="000310E9"/>
    <w:rsid w:val="000377B4"/>
    <w:rsid w:val="00037E0B"/>
    <w:rsid w:val="0004008D"/>
    <w:rsid w:val="00041309"/>
    <w:rsid w:val="00041ECD"/>
    <w:rsid w:val="00052325"/>
    <w:rsid w:val="00055129"/>
    <w:rsid w:val="0005582B"/>
    <w:rsid w:val="00063439"/>
    <w:rsid w:val="00065632"/>
    <w:rsid w:val="00072BF7"/>
    <w:rsid w:val="00072E8D"/>
    <w:rsid w:val="00074C54"/>
    <w:rsid w:val="00082822"/>
    <w:rsid w:val="00083517"/>
    <w:rsid w:val="000838FA"/>
    <w:rsid w:val="00084C44"/>
    <w:rsid w:val="00086219"/>
    <w:rsid w:val="0009317F"/>
    <w:rsid w:val="000A2FD7"/>
    <w:rsid w:val="000B00DF"/>
    <w:rsid w:val="000B1F8D"/>
    <w:rsid w:val="000B5EC2"/>
    <w:rsid w:val="000C2A8A"/>
    <w:rsid w:val="000D23A6"/>
    <w:rsid w:val="000D6EE8"/>
    <w:rsid w:val="000D795E"/>
    <w:rsid w:val="000E0168"/>
    <w:rsid w:val="000E1243"/>
    <w:rsid w:val="000E2884"/>
    <w:rsid w:val="000E5DC6"/>
    <w:rsid w:val="000E6960"/>
    <w:rsid w:val="000E7965"/>
    <w:rsid w:val="000F1640"/>
    <w:rsid w:val="000F23B0"/>
    <w:rsid w:val="000F4ACF"/>
    <w:rsid w:val="00107BED"/>
    <w:rsid w:val="00114DD1"/>
    <w:rsid w:val="00116715"/>
    <w:rsid w:val="00137FE5"/>
    <w:rsid w:val="00144F9A"/>
    <w:rsid w:val="0015140F"/>
    <w:rsid w:val="001519A6"/>
    <w:rsid w:val="00153B14"/>
    <w:rsid w:val="0015536B"/>
    <w:rsid w:val="00157977"/>
    <w:rsid w:val="001617C6"/>
    <w:rsid w:val="00161E2E"/>
    <w:rsid w:val="00164BEE"/>
    <w:rsid w:val="001742F3"/>
    <w:rsid w:val="00175973"/>
    <w:rsid w:val="00180222"/>
    <w:rsid w:val="00185203"/>
    <w:rsid w:val="001869BD"/>
    <w:rsid w:val="0019005A"/>
    <w:rsid w:val="00194D3A"/>
    <w:rsid w:val="00196E3E"/>
    <w:rsid w:val="001A53BD"/>
    <w:rsid w:val="001B01E4"/>
    <w:rsid w:val="001B1E82"/>
    <w:rsid w:val="001B4800"/>
    <w:rsid w:val="001B690D"/>
    <w:rsid w:val="001B710E"/>
    <w:rsid w:val="001B7C55"/>
    <w:rsid w:val="001C1460"/>
    <w:rsid w:val="001D11F2"/>
    <w:rsid w:val="001D28F3"/>
    <w:rsid w:val="001D502C"/>
    <w:rsid w:val="001D5651"/>
    <w:rsid w:val="001E641B"/>
    <w:rsid w:val="001E72E0"/>
    <w:rsid w:val="001F0C45"/>
    <w:rsid w:val="001F2B6F"/>
    <w:rsid w:val="001F3353"/>
    <w:rsid w:val="001F467F"/>
    <w:rsid w:val="001F4C63"/>
    <w:rsid w:val="001F6E50"/>
    <w:rsid w:val="001F6F34"/>
    <w:rsid w:val="001F7415"/>
    <w:rsid w:val="00203BDF"/>
    <w:rsid w:val="00204E23"/>
    <w:rsid w:val="0020727A"/>
    <w:rsid w:val="00212B13"/>
    <w:rsid w:val="0021504E"/>
    <w:rsid w:val="002274A8"/>
    <w:rsid w:val="002305D7"/>
    <w:rsid w:val="002348E0"/>
    <w:rsid w:val="002349CB"/>
    <w:rsid w:val="0024162C"/>
    <w:rsid w:val="00241B9B"/>
    <w:rsid w:val="002520CC"/>
    <w:rsid w:val="0025685D"/>
    <w:rsid w:val="00257246"/>
    <w:rsid w:val="00257448"/>
    <w:rsid w:val="00261D51"/>
    <w:rsid w:val="002635D3"/>
    <w:rsid w:val="0026637B"/>
    <w:rsid w:val="00267644"/>
    <w:rsid w:val="00270A86"/>
    <w:rsid w:val="002720EB"/>
    <w:rsid w:val="002739B0"/>
    <w:rsid w:val="002742F9"/>
    <w:rsid w:val="002744F3"/>
    <w:rsid w:val="0027508C"/>
    <w:rsid w:val="0027615E"/>
    <w:rsid w:val="0027629F"/>
    <w:rsid w:val="002847B6"/>
    <w:rsid w:val="0029365C"/>
    <w:rsid w:val="002974EA"/>
    <w:rsid w:val="002A1B14"/>
    <w:rsid w:val="002A4333"/>
    <w:rsid w:val="002A4720"/>
    <w:rsid w:val="002A5D58"/>
    <w:rsid w:val="002B02AE"/>
    <w:rsid w:val="002B3B25"/>
    <w:rsid w:val="002B3B6D"/>
    <w:rsid w:val="002B4DF8"/>
    <w:rsid w:val="002C1D40"/>
    <w:rsid w:val="002C6821"/>
    <w:rsid w:val="002C7517"/>
    <w:rsid w:val="002D3175"/>
    <w:rsid w:val="002D4F2A"/>
    <w:rsid w:val="002D6846"/>
    <w:rsid w:val="002E1E8B"/>
    <w:rsid w:val="002F29DD"/>
    <w:rsid w:val="002F4B3C"/>
    <w:rsid w:val="002F5379"/>
    <w:rsid w:val="002F578F"/>
    <w:rsid w:val="002F71E5"/>
    <w:rsid w:val="003028D5"/>
    <w:rsid w:val="0030716F"/>
    <w:rsid w:val="0031289C"/>
    <w:rsid w:val="00313EEB"/>
    <w:rsid w:val="00322689"/>
    <w:rsid w:val="00327797"/>
    <w:rsid w:val="00336412"/>
    <w:rsid w:val="00343ABB"/>
    <w:rsid w:val="00350743"/>
    <w:rsid w:val="00351BDF"/>
    <w:rsid w:val="00355953"/>
    <w:rsid w:val="0035772D"/>
    <w:rsid w:val="00361D71"/>
    <w:rsid w:val="00365A44"/>
    <w:rsid w:val="00365C95"/>
    <w:rsid w:val="00370CA1"/>
    <w:rsid w:val="00370EA2"/>
    <w:rsid w:val="00372419"/>
    <w:rsid w:val="00376C63"/>
    <w:rsid w:val="00380E3C"/>
    <w:rsid w:val="00382C0C"/>
    <w:rsid w:val="00387CC4"/>
    <w:rsid w:val="0039004C"/>
    <w:rsid w:val="00393E46"/>
    <w:rsid w:val="003973A6"/>
    <w:rsid w:val="003A0501"/>
    <w:rsid w:val="003A2597"/>
    <w:rsid w:val="003C01D6"/>
    <w:rsid w:val="003C134F"/>
    <w:rsid w:val="003C18AE"/>
    <w:rsid w:val="003C2350"/>
    <w:rsid w:val="003C3034"/>
    <w:rsid w:val="003C3D11"/>
    <w:rsid w:val="003C686F"/>
    <w:rsid w:val="003D1063"/>
    <w:rsid w:val="003D7349"/>
    <w:rsid w:val="003E071D"/>
    <w:rsid w:val="003E2C21"/>
    <w:rsid w:val="003E4343"/>
    <w:rsid w:val="003E4D88"/>
    <w:rsid w:val="003E6E03"/>
    <w:rsid w:val="003F10C8"/>
    <w:rsid w:val="003F340B"/>
    <w:rsid w:val="003F652A"/>
    <w:rsid w:val="004047CB"/>
    <w:rsid w:val="00410D7C"/>
    <w:rsid w:val="00411B84"/>
    <w:rsid w:val="00413D5A"/>
    <w:rsid w:val="00414377"/>
    <w:rsid w:val="004144C4"/>
    <w:rsid w:val="004157D3"/>
    <w:rsid w:val="0042096A"/>
    <w:rsid w:val="00420F7D"/>
    <w:rsid w:val="0042206B"/>
    <w:rsid w:val="00422348"/>
    <w:rsid w:val="00423671"/>
    <w:rsid w:val="00424780"/>
    <w:rsid w:val="00431668"/>
    <w:rsid w:val="004526EE"/>
    <w:rsid w:val="0045500C"/>
    <w:rsid w:val="00456249"/>
    <w:rsid w:val="00461E5D"/>
    <w:rsid w:val="00461F96"/>
    <w:rsid w:val="004627CC"/>
    <w:rsid w:val="004721BB"/>
    <w:rsid w:val="004747DD"/>
    <w:rsid w:val="00475ADF"/>
    <w:rsid w:val="004827C9"/>
    <w:rsid w:val="004842F7"/>
    <w:rsid w:val="0049329F"/>
    <w:rsid w:val="00495FFE"/>
    <w:rsid w:val="004A25C5"/>
    <w:rsid w:val="004A76DF"/>
    <w:rsid w:val="004B5BD2"/>
    <w:rsid w:val="004C38E4"/>
    <w:rsid w:val="004D0840"/>
    <w:rsid w:val="004D28EE"/>
    <w:rsid w:val="004D4B93"/>
    <w:rsid w:val="004D539A"/>
    <w:rsid w:val="004E18AD"/>
    <w:rsid w:val="004E3594"/>
    <w:rsid w:val="004E7255"/>
    <w:rsid w:val="004F4812"/>
    <w:rsid w:val="0050347B"/>
    <w:rsid w:val="00504B3F"/>
    <w:rsid w:val="00504F19"/>
    <w:rsid w:val="0050527F"/>
    <w:rsid w:val="005065BB"/>
    <w:rsid w:val="0051222B"/>
    <w:rsid w:val="00513587"/>
    <w:rsid w:val="00524DBF"/>
    <w:rsid w:val="0052757C"/>
    <w:rsid w:val="0054044F"/>
    <w:rsid w:val="0054640C"/>
    <w:rsid w:val="00550AE6"/>
    <w:rsid w:val="005545FC"/>
    <w:rsid w:val="0055788D"/>
    <w:rsid w:val="005612F3"/>
    <w:rsid w:val="00564078"/>
    <w:rsid w:val="005656ED"/>
    <w:rsid w:val="00573FD1"/>
    <w:rsid w:val="00574CA2"/>
    <w:rsid w:val="00575AF1"/>
    <w:rsid w:val="005770E2"/>
    <w:rsid w:val="00577473"/>
    <w:rsid w:val="005809FA"/>
    <w:rsid w:val="00581ECB"/>
    <w:rsid w:val="005834E8"/>
    <w:rsid w:val="00584D8E"/>
    <w:rsid w:val="0058792D"/>
    <w:rsid w:val="00587F42"/>
    <w:rsid w:val="00591778"/>
    <w:rsid w:val="00595180"/>
    <w:rsid w:val="005A1839"/>
    <w:rsid w:val="005A5AAA"/>
    <w:rsid w:val="005B4AE8"/>
    <w:rsid w:val="005C0529"/>
    <w:rsid w:val="005C27C6"/>
    <w:rsid w:val="005C59FC"/>
    <w:rsid w:val="005C606A"/>
    <w:rsid w:val="005D2441"/>
    <w:rsid w:val="005D40A5"/>
    <w:rsid w:val="005E6664"/>
    <w:rsid w:val="005E6C0F"/>
    <w:rsid w:val="005E7A90"/>
    <w:rsid w:val="005F1435"/>
    <w:rsid w:val="005F4E63"/>
    <w:rsid w:val="005F5346"/>
    <w:rsid w:val="005F6200"/>
    <w:rsid w:val="005F677C"/>
    <w:rsid w:val="00603233"/>
    <w:rsid w:val="0060344F"/>
    <w:rsid w:val="00605346"/>
    <w:rsid w:val="00610C4C"/>
    <w:rsid w:val="0061447A"/>
    <w:rsid w:val="00622736"/>
    <w:rsid w:val="006233E9"/>
    <w:rsid w:val="0062357E"/>
    <w:rsid w:val="0062491C"/>
    <w:rsid w:val="00636402"/>
    <w:rsid w:val="00640663"/>
    <w:rsid w:val="00642620"/>
    <w:rsid w:val="006434BF"/>
    <w:rsid w:val="00646CAE"/>
    <w:rsid w:val="0065301B"/>
    <w:rsid w:val="006536CD"/>
    <w:rsid w:val="006540D9"/>
    <w:rsid w:val="0065659A"/>
    <w:rsid w:val="00656C05"/>
    <w:rsid w:val="00656C8C"/>
    <w:rsid w:val="00663672"/>
    <w:rsid w:val="006640EE"/>
    <w:rsid w:val="00665BFB"/>
    <w:rsid w:val="00666D66"/>
    <w:rsid w:val="0067122C"/>
    <w:rsid w:val="006734F7"/>
    <w:rsid w:val="00674221"/>
    <w:rsid w:val="0067490D"/>
    <w:rsid w:val="00674E59"/>
    <w:rsid w:val="006775D8"/>
    <w:rsid w:val="00677AFF"/>
    <w:rsid w:val="0068313F"/>
    <w:rsid w:val="0068554A"/>
    <w:rsid w:val="00686DCC"/>
    <w:rsid w:val="00690F63"/>
    <w:rsid w:val="00697E4B"/>
    <w:rsid w:val="006B4460"/>
    <w:rsid w:val="006C17B2"/>
    <w:rsid w:val="006C218C"/>
    <w:rsid w:val="006C3B9D"/>
    <w:rsid w:val="006C46E4"/>
    <w:rsid w:val="006C590E"/>
    <w:rsid w:val="006D1C3C"/>
    <w:rsid w:val="006D6046"/>
    <w:rsid w:val="006E03AC"/>
    <w:rsid w:val="006E0406"/>
    <w:rsid w:val="006E1232"/>
    <w:rsid w:val="006E2B7B"/>
    <w:rsid w:val="006E2E29"/>
    <w:rsid w:val="006E4193"/>
    <w:rsid w:val="006F4481"/>
    <w:rsid w:val="006F4A35"/>
    <w:rsid w:val="00705045"/>
    <w:rsid w:val="00705973"/>
    <w:rsid w:val="007155BE"/>
    <w:rsid w:val="00717E5E"/>
    <w:rsid w:val="00717F25"/>
    <w:rsid w:val="007247CC"/>
    <w:rsid w:val="007301A5"/>
    <w:rsid w:val="0073384E"/>
    <w:rsid w:val="0073412F"/>
    <w:rsid w:val="0073530C"/>
    <w:rsid w:val="00736665"/>
    <w:rsid w:val="00737B9F"/>
    <w:rsid w:val="00741C94"/>
    <w:rsid w:val="007517E5"/>
    <w:rsid w:val="00754F16"/>
    <w:rsid w:val="00770CD8"/>
    <w:rsid w:val="0077210E"/>
    <w:rsid w:val="00772711"/>
    <w:rsid w:val="00776620"/>
    <w:rsid w:val="0078348B"/>
    <w:rsid w:val="00784A2E"/>
    <w:rsid w:val="00787CA4"/>
    <w:rsid w:val="00787D7C"/>
    <w:rsid w:val="00792A0E"/>
    <w:rsid w:val="007A2598"/>
    <w:rsid w:val="007A3E61"/>
    <w:rsid w:val="007A4FCF"/>
    <w:rsid w:val="007A727A"/>
    <w:rsid w:val="007B1C0F"/>
    <w:rsid w:val="007B245A"/>
    <w:rsid w:val="007C046B"/>
    <w:rsid w:val="007C33A3"/>
    <w:rsid w:val="007C7B37"/>
    <w:rsid w:val="007D25C3"/>
    <w:rsid w:val="007E0005"/>
    <w:rsid w:val="007F0A9C"/>
    <w:rsid w:val="007F14D2"/>
    <w:rsid w:val="007F158A"/>
    <w:rsid w:val="007F4839"/>
    <w:rsid w:val="00800185"/>
    <w:rsid w:val="008058FE"/>
    <w:rsid w:val="00807220"/>
    <w:rsid w:val="008134AE"/>
    <w:rsid w:val="008167B8"/>
    <w:rsid w:val="00824180"/>
    <w:rsid w:val="00832AA3"/>
    <w:rsid w:val="00832EE8"/>
    <w:rsid w:val="00837520"/>
    <w:rsid w:val="00842072"/>
    <w:rsid w:val="00846A05"/>
    <w:rsid w:val="008506EB"/>
    <w:rsid w:val="008528C4"/>
    <w:rsid w:val="00855514"/>
    <w:rsid w:val="00863257"/>
    <w:rsid w:val="00863B93"/>
    <w:rsid w:val="0086429A"/>
    <w:rsid w:val="008771A3"/>
    <w:rsid w:val="0087756D"/>
    <w:rsid w:val="00885D4D"/>
    <w:rsid w:val="008873CE"/>
    <w:rsid w:val="00887599"/>
    <w:rsid w:val="0089384E"/>
    <w:rsid w:val="008956A7"/>
    <w:rsid w:val="008A49D4"/>
    <w:rsid w:val="008A5620"/>
    <w:rsid w:val="008A674C"/>
    <w:rsid w:val="008B44FE"/>
    <w:rsid w:val="008B66BD"/>
    <w:rsid w:val="008B71DB"/>
    <w:rsid w:val="008C1424"/>
    <w:rsid w:val="008C3604"/>
    <w:rsid w:val="008C45F0"/>
    <w:rsid w:val="008D1B4F"/>
    <w:rsid w:val="008D36A8"/>
    <w:rsid w:val="008E2A65"/>
    <w:rsid w:val="008E64C1"/>
    <w:rsid w:val="008F323C"/>
    <w:rsid w:val="009056DD"/>
    <w:rsid w:val="00910A43"/>
    <w:rsid w:val="00911EBA"/>
    <w:rsid w:val="00912966"/>
    <w:rsid w:val="00912B48"/>
    <w:rsid w:val="00913114"/>
    <w:rsid w:val="009141AD"/>
    <w:rsid w:val="00916157"/>
    <w:rsid w:val="00916D1D"/>
    <w:rsid w:val="00917F83"/>
    <w:rsid w:val="00920391"/>
    <w:rsid w:val="00921BD9"/>
    <w:rsid w:val="00921DA3"/>
    <w:rsid w:val="009300C9"/>
    <w:rsid w:val="00930D99"/>
    <w:rsid w:val="009310C0"/>
    <w:rsid w:val="00935F0A"/>
    <w:rsid w:val="009406E8"/>
    <w:rsid w:val="009412D1"/>
    <w:rsid w:val="00942259"/>
    <w:rsid w:val="00943F87"/>
    <w:rsid w:val="00946F70"/>
    <w:rsid w:val="00947BEF"/>
    <w:rsid w:val="00951684"/>
    <w:rsid w:val="009545EE"/>
    <w:rsid w:val="00956089"/>
    <w:rsid w:val="00957836"/>
    <w:rsid w:val="009579C1"/>
    <w:rsid w:val="00961BA1"/>
    <w:rsid w:val="00966972"/>
    <w:rsid w:val="00970E6B"/>
    <w:rsid w:val="00970F01"/>
    <w:rsid w:val="009745CA"/>
    <w:rsid w:val="00984A17"/>
    <w:rsid w:val="009914D4"/>
    <w:rsid w:val="00994777"/>
    <w:rsid w:val="00996916"/>
    <w:rsid w:val="00997BE4"/>
    <w:rsid w:val="00997F93"/>
    <w:rsid w:val="009A0B5E"/>
    <w:rsid w:val="009A33FE"/>
    <w:rsid w:val="009A6242"/>
    <w:rsid w:val="009C3D24"/>
    <w:rsid w:val="009C4284"/>
    <w:rsid w:val="009D4F84"/>
    <w:rsid w:val="009E1753"/>
    <w:rsid w:val="009E7BC8"/>
    <w:rsid w:val="009F0527"/>
    <w:rsid w:val="009F31B8"/>
    <w:rsid w:val="009F4348"/>
    <w:rsid w:val="00A01B47"/>
    <w:rsid w:val="00A02800"/>
    <w:rsid w:val="00A0489E"/>
    <w:rsid w:val="00A13F6B"/>
    <w:rsid w:val="00A21897"/>
    <w:rsid w:val="00A277CA"/>
    <w:rsid w:val="00A3171E"/>
    <w:rsid w:val="00A34265"/>
    <w:rsid w:val="00A37741"/>
    <w:rsid w:val="00A43AB3"/>
    <w:rsid w:val="00A57B8A"/>
    <w:rsid w:val="00A63644"/>
    <w:rsid w:val="00A66927"/>
    <w:rsid w:val="00A745DA"/>
    <w:rsid w:val="00A7532A"/>
    <w:rsid w:val="00A8224D"/>
    <w:rsid w:val="00A8299F"/>
    <w:rsid w:val="00A84A6B"/>
    <w:rsid w:val="00A87056"/>
    <w:rsid w:val="00A94F66"/>
    <w:rsid w:val="00A97846"/>
    <w:rsid w:val="00AA3519"/>
    <w:rsid w:val="00AA4A67"/>
    <w:rsid w:val="00AA4B42"/>
    <w:rsid w:val="00AB2878"/>
    <w:rsid w:val="00AB28FD"/>
    <w:rsid w:val="00AB5CC7"/>
    <w:rsid w:val="00AC0413"/>
    <w:rsid w:val="00AC42F6"/>
    <w:rsid w:val="00AC7C0E"/>
    <w:rsid w:val="00AC7EC8"/>
    <w:rsid w:val="00AD00CA"/>
    <w:rsid w:val="00AD1C68"/>
    <w:rsid w:val="00AD1FAE"/>
    <w:rsid w:val="00AD6225"/>
    <w:rsid w:val="00AE6C13"/>
    <w:rsid w:val="00AE7D03"/>
    <w:rsid w:val="00AF1A52"/>
    <w:rsid w:val="00AF2368"/>
    <w:rsid w:val="00B0365B"/>
    <w:rsid w:val="00B07439"/>
    <w:rsid w:val="00B10E3F"/>
    <w:rsid w:val="00B11E23"/>
    <w:rsid w:val="00B12018"/>
    <w:rsid w:val="00B140A7"/>
    <w:rsid w:val="00B1447E"/>
    <w:rsid w:val="00B21B46"/>
    <w:rsid w:val="00B231CF"/>
    <w:rsid w:val="00B3305B"/>
    <w:rsid w:val="00B341A9"/>
    <w:rsid w:val="00B34AE0"/>
    <w:rsid w:val="00B35EA6"/>
    <w:rsid w:val="00B360C9"/>
    <w:rsid w:val="00B40671"/>
    <w:rsid w:val="00B437F6"/>
    <w:rsid w:val="00B53D45"/>
    <w:rsid w:val="00B543EB"/>
    <w:rsid w:val="00B54D34"/>
    <w:rsid w:val="00B5670F"/>
    <w:rsid w:val="00B5699F"/>
    <w:rsid w:val="00B6188E"/>
    <w:rsid w:val="00B62396"/>
    <w:rsid w:val="00B62877"/>
    <w:rsid w:val="00B64ACF"/>
    <w:rsid w:val="00B67A7C"/>
    <w:rsid w:val="00B714A0"/>
    <w:rsid w:val="00B77A62"/>
    <w:rsid w:val="00B82C1D"/>
    <w:rsid w:val="00B856BD"/>
    <w:rsid w:val="00B8702E"/>
    <w:rsid w:val="00B87F9F"/>
    <w:rsid w:val="00B9005C"/>
    <w:rsid w:val="00B94DB6"/>
    <w:rsid w:val="00B96D61"/>
    <w:rsid w:val="00BA4D46"/>
    <w:rsid w:val="00BB069C"/>
    <w:rsid w:val="00BB0BE0"/>
    <w:rsid w:val="00BB3C41"/>
    <w:rsid w:val="00BB5ABC"/>
    <w:rsid w:val="00BB7AF1"/>
    <w:rsid w:val="00BC30A3"/>
    <w:rsid w:val="00BC5CEE"/>
    <w:rsid w:val="00BC5FF7"/>
    <w:rsid w:val="00BD4687"/>
    <w:rsid w:val="00BD6CD6"/>
    <w:rsid w:val="00BE172A"/>
    <w:rsid w:val="00BE3343"/>
    <w:rsid w:val="00C01108"/>
    <w:rsid w:val="00C04B5D"/>
    <w:rsid w:val="00C12F8D"/>
    <w:rsid w:val="00C13D84"/>
    <w:rsid w:val="00C15A82"/>
    <w:rsid w:val="00C21728"/>
    <w:rsid w:val="00C23C07"/>
    <w:rsid w:val="00C2474C"/>
    <w:rsid w:val="00C25C2C"/>
    <w:rsid w:val="00C32505"/>
    <w:rsid w:val="00C329F8"/>
    <w:rsid w:val="00C37DE9"/>
    <w:rsid w:val="00C4158A"/>
    <w:rsid w:val="00C4692D"/>
    <w:rsid w:val="00C5131B"/>
    <w:rsid w:val="00C51415"/>
    <w:rsid w:val="00C60CB2"/>
    <w:rsid w:val="00C62CF8"/>
    <w:rsid w:val="00C6362B"/>
    <w:rsid w:val="00C64550"/>
    <w:rsid w:val="00C6553C"/>
    <w:rsid w:val="00C81EA8"/>
    <w:rsid w:val="00C83F63"/>
    <w:rsid w:val="00C83FE0"/>
    <w:rsid w:val="00C84422"/>
    <w:rsid w:val="00C85133"/>
    <w:rsid w:val="00C855C0"/>
    <w:rsid w:val="00C9027E"/>
    <w:rsid w:val="00C91AE9"/>
    <w:rsid w:val="00C94D50"/>
    <w:rsid w:val="00C96F4F"/>
    <w:rsid w:val="00CB5E48"/>
    <w:rsid w:val="00CB7E7B"/>
    <w:rsid w:val="00CC0D80"/>
    <w:rsid w:val="00CC4A9A"/>
    <w:rsid w:val="00CC70B2"/>
    <w:rsid w:val="00CC71A3"/>
    <w:rsid w:val="00CD6A67"/>
    <w:rsid w:val="00CD6BE3"/>
    <w:rsid w:val="00CE2AF5"/>
    <w:rsid w:val="00CE51FF"/>
    <w:rsid w:val="00CE608D"/>
    <w:rsid w:val="00CF1083"/>
    <w:rsid w:val="00CF276E"/>
    <w:rsid w:val="00D02D67"/>
    <w:rsid w:val="00D04909"/>
    <w:rsid w:val="00D04EA2"/>
    <w:rsid w:val="00D06249"/>
    <w:rsid w:val="00D06CB3"/>
    <w:rsid w:val="00D406C3"/>
    <w:rsid w:val="00D53C18"/>
    <w:rsid w:val="00D617DE"/>
    <w:rsid w:val="00D65640"/>
    <w:rsid w:val="00D67373"/>
    <w:rsid w:val="00D6797B"/>
    <w:rsid w:val="00D70571"/>
    <w:rsid w:val="00D715D8"/>
    <w:rsid w:val="00D7226B"/>
    <w:rsid w:val="00D764B5"/>
    <w:rsid w:val="00D80445"/>
    <w:rsid w:val="00D809E5"/>
    <w:rsid w:val="00D82942"/>
    <w:rsid w:val="00D85988"/>
    <w:rsid w:val="00D85C98"/>
    <w:rsid w:val="00D928CE"/>
    <w:rsid w:val="00DA1F63"/>
    <w:rsid w:val="00DA232C"/>
    <w:rsid w:val="00DD0882"/>
    <w:rsid w:val="00DD195B"/>
    <w:rsid w:val="00DD5104"/>
    <w:rsid w:val="00DD6D79"/>
    <w:rsid w:val="00DE0151"/>
    <w:rsid w:val="00DE0AA6"/>
    <w:rsid w:val="00DE1D10"/>
    <w:rsid w:val="00DE7B06"/>
    <w:rsid w:val="00DF102E"/>
    <w:rsid w:val="00DF714E"/>
    <w:rsid w:val="00DF75C0"/>
    <w:rsid w:val="00E10E85"/>
    <w:rsid w:val="00E24471"/>
    <w:rsid w:val="00E25CDB"/>
    <w:rsid w:val="00E3062B"/>
    <w:rsid w:val="00E40B04"/>
    <w:rsid w:val="00E41204"/>
    <w:rsid w:val="00E438D0"/>
    <w:rsid w:val="00E452EA"/>
    <w:rsid w:val="00E52454"/>
    <w:rsid w:val="00E5673B"/>
    <w:rsid w:val="00E63CDB"/>
    <w:rsid w:val="00E64636"/>
    <w:rsid w:val="00E65E5A"/>
    <w:rsid w:val="00E662E2"/>
    <w:rsid w:val="00E7074E"/>
    <w:rsid w:val="00E74C1E"/>
    <w:rsid w:val="00E754AB"/>
    <w:rsid w:val="00E8435B"/>
    <w:rsid w:val="00E85A0E"/>
    <w:rsid w:val="00E8637A"/>
    <w:rsid w:val="00E90DC0"/>
    <w:rsid w:val="00E92373"/>
    <w:rsid w:val="00E95269"/>
    <w:rsid w:val="00E95787"/>
    <w:rsid w:val="00E961E7"/>
    <w:rsid w:val="00EB3969"/>
    <w:rsid w:val="00EC102D"/>
    <w:rsid w:val="00EC1E13"/>
    <w:rsid w:val="00EC3AD1"/>
    <w:rsid w:val="00EC634E"/>
    <w:rsid w:val="00EC7A81"/>
    <w:rsid w:val="00ED3D5A"/>
    <w:rsid w:val="00ED5A52"/>
    <w:rsid w:val="00EE1966"/>
    <w:rsid w:val="00EE1F43"/>
    <w:rsid w:val="00EF1C9C"/>
    <w:rsid w:val="00EF2074"/>
    <w:rsid w:val="00EF422A"/>
    <w:rsid w:val="00F04770"/>
    <w:rsid w:val="00F061F8"/>
    <w:rsid w:val="00F1156C"/>
    <w:rsid w:val="00F11665"/>
    <w:rsid w:val="00F119F2"/>
    <w:rsid w:val="00F15013"/>
    <w:rsid w:val="00F17B4B"/>
    <w:rsid w:val="00F20C23"/>
    <w:rsid w:val="00F21617"/>
    <w:rsid w:val="00F220B7"/>
    <w:rsid w:val="00F24676"/>
    <w:rsid w:val="00F2572F"/>
    <w:rsid w:val="00F313DA"/>
    <w:rsid w:val="00F341DB"/>
    <w:rsid w:val="00F366A9"/>
    <w:rsid w:val="00F4257E"/>
    <w:rsid w:val="00F42D3F"/>
    <w:rsid w:val="00F4465B"/>
    <w:rsid w:val="00F46EA9"/>
    <w:rsid w:val="00F51CC7"/>
    <w:rsid w:val="00F54A4F"/>
    <w:rsid w:val="00F564DA"/>
    <w:rsid w:val="00F6364A"/>
    <w:rsid w:val="00F6376C"/>
    <w:rsid w:val="00F720D5"/>
    <w:rsid w:val="00F740D4"/>
    <w:rsid w:val="00F746B5"/>
    <w:rsid w:val="00F7553F"/>
    <w:rsid w:val="00F839AE"/>
    <w:rsid w:val="00F85179"/>
    <w:rsid w:val="00F879A2"/>
    <w:rsid w:val="00F93079"/>
    <w:rsid w:val="00F963A8"/>
    <w:rsid w:val="00FA103D"/>
    <w:rsid w:val="00FA28EB"/>
    <w:rsid w:val="00FA43F4"/>
    <w:rsid w:val="00FA775F"/>
    <w:rsid w:val="00FB3A31"/>
    <w:rsid w:val="00FB757C"/>
    <w:rsid w:val="00FC06C5"/>
    <w:rsid w:val="00FC17DA"/>
    <w:rsid w:val="00FC2E4A"/>
    <w:rsid w:val="00FD0A61"/>
    <w:rsid w:val="00FD2A8F"/>
    <w:rsid w:val="00FD7643"/>
    <w:rsid w:val="00FE0AD1"/>
    <w:rsid w:val="00FE25BF"/>
    <w:rsid w:val="00FE42D6"/>
    <w:rsid w:val="00FE5115"/>
    <w:rsid w:val="00FE70D3"/>
    <w:rsid w:val="00FF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715"/>
    <w:pPr>
      <w:widowControl w:val="0"/>
      <w:autoSpaceDE w:val="0"/>
      <w:autoSpaceDN w:val="0"/>
      <w:adjustRightInd w:val="0"/>
    </w:pPr>
    <w:rPr>
      <w:szCs w:val="24"/>
    </w:rPr>
  </w:style>
  <w:style w:type="paragraph" w:styleId="Heading1">
    <w:name w:val="heading 1"/>
    <w:basedOn w:val="Normal"/>
    <w:next w:val="Normal"/>
    <w:qFormat/>
    <w:rsid w:val="00116715"/>
    <w:pPr>
      <w:keepNext/>
      <w:jc w:val="center"/>
      <w:outlineLvl w:val="0"/>
    </w:pPr>
    <w:rPr>
      <w:sz w:val="24"/>
    </w:rPr>
  </w:style>
  <w:style w:type="paragraph" w:styleId="Heading2">
    <w:name w:val="heading 2"/>
    <w:basedOn w:val="Normal"/>
    <w:next w:val="Normal"/>
    <w:qFormat/>
    <w:rsid w:val="001167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116715"/>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6715"/>
  </w:style>
  <w:style w:type="paragraph" w:styleId="BodyText">
    <w:name w:val="Body Text"/>
    <w:basedOn w:val="Normal"/>
    <w:link w:val="BodyTextChar"/>
    <w:rsid w:val="00116715"/>
    <w:rPr>
      <w:rFonts w:ascii="Courier" w:hAnsi="Courier"/>
      <w:sz w:val="24"/>
    </w:rPr>
  </w:style>
  <w:style w:type="paragraph" w:styleId="Header">
    <w:name w:val="header"/>
    <w:basedOn w:val="Normal"/>
    <w:rsid w:val="00116715"/>
    <w:pPr>
      <w:tabs>
        <w:tab w:val="center" w:pos="4320"/>
        <w:tab w:val="right" w:pos="8640"/>
      </w:tabs>
    </w:pPr>
  </w:style>
  <w:style w:type="paragraph" w:styleId="Footer">
    <w:name w:val="footer"/>
    <w:basedOn w:val="Normal"/>
    <w:rsid w:val="00116715"/>
    <w:pPr>
      <w:tabs>
        <w:tab w:val="center" w:pos="4320"/>
        <w:tab w:val="right" w:pos="8640"/>
      </w:tabs>
    </w:pPr>
  </w:style>
  <w:style w:type="character" w:styleId="PageNumber">
    <w:name w:val="page number"/>
    <w:basedOn w:val="DefaultParagraphFont"/>
    <w:rsid w:val="00116715"/>
  </w:style>
  <w:style w:type="paragraph" w:styleId="BodyText2">
    <w:name w:val="Body Text 2"/>
    <w:basedOn w:val="Normal"/>
    <w:rsid w:val="00116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495FFE"/>
    <w:rPr>
      <w:sz w:val="16"/>
      <w:szCs w:val="16"/>
    </w:rPr>
  </w:style>
  <w:style w:type="paragraph" w:styleId="CommentText">
    <w:name w:val="annotation text"/>
    <w:basedOn w:val="Normal"/>
    <w:link w:val="CommentTextChar"/>
    <w:rsid w:val="00495FFE"/>
    <w:rPr>
      <w:szCs w:val="20"/>
    </w:rPr>
  </w:style>
  <w:style w:type="character" w:customStyle="1" w:styleId="CommentTextChar">
    <w:name w:val="Comment Text Char"/>
    <w:basedOn w:val="DefaultParagraphFont"/>
    <w:link w:val="CommentText"/>
    <w:rsid w:val="00495FFE"/>
  </w:style>
  <w:style w:type="paragraph" w:styleId="CommentSubject">
    <w:name w:val="annotation subject"/>
    <w:basedOn w:val="CommentText"/>
    <w:next w:val="CommentText"/>
    <w:link w:val="CommentSubjectChar"/>
    <w:rsid w:val="00495FFE"/>
    <w:rPr>
      <w:b/>
      <w:bCs/>
    </w:rPr>
  </w:style>
  <w:style w:type="character" w:customStyle="1" w:styleId="CommentSubjectChar">
    <w:name w:val="Comment Subject Char"/>
    <w:basedOn w:val="CommentTextChar"/>
    <w:link w:val="CommentSubject"/>
    <w:rsid w:val="00495FFE"/>
    <w:rPr>
      <w:b/>
      <w:bCs/>
    </w:rPr>
  </w:style>
  <w:style w:type="character" w:customStyle="1" w:styleId="BodyTextChar">
    <w:name w:val="Body Text Char"/>
    <w:basedOn w:val="DefaultParagraphFont"/>
    <w:link w:val="BodyText"/>
    <w:rsid w:val="00D406C3"/>
    <w:rPr>
      <w:rFonts w:ascii="Courier" w:hAnsi="Courier"/>
      <w:sz w:val="24"/>
      <w:szCs w:val="24"/>
    </w:rPr>
  </w:style>
  <w:style w:type="paragraph" w:styleId="Revision">
    <w:name w:val="Revision"/>
    <w:hidden/>
    <w:uiPriority w:val="99"/>
    <w:semiHidden/>
    <w:rsid w:val="002635D3"/>
    <w:rPr>
      <w:szCs w:val="24"/>
    </w:rPr>
  </w:style>
  <w:style w:type="paragraph" w:styleId="NoSpacing">
    <w:name w:val="No Spacing"/>
    <w:uiPriority w:val="1"/>
    <w:qFormat/>
    <w:rsid w:val="001F4C63"/>
    <w:rPr>
      <w:rFonts w:eastAsia="Calibri"/>
      <w:sz w:val="24"/>
      <w:szCs w:val="22"/>
    </w:rPr>
  </w:style>
  <w:style w:type="character" w:styleId="Hyperlink">
    <w:name w:val="Hyperlink"/>
    <w:basedOn w:val="DefaultParagraphFont"/>
    <w:uiPriority w:val="99"/>
    <w:unhideWhenUsed/>
    <w:rsid w:val="001F4C63"/>
    <w:rPr>
      <w:color w:val="0000FF"/>
      <w:u w:val="single"/>
    </w:rPr>
  </w:style>
  <w:style w:type="paragraph" w:styleId="ListParagraph">
    <w:name w:val="List Paragraph"/>
    <w:basedOn w:val="Normal"/>
    <w:uiPriority w:val="34"/>
    <w:qFormat/>
    <w:rsid w:val="001F4C63"/>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1F4C63"/>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1F4C63"/>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17B2D56FA0BE4FBCBABC9B39898BD4" ma:contentTypeVersion="131" ma:contentTypeDescription="" ma:contentTypeScope="" ma:versionID="b492d2c941fe43a1d9338994473c58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2009-02-17T08:00:00+00:00</OpenedDate>
    <Date1 xmlns="dc463f71-b30c-4ab2-9473-d307f9d35888">2009-03-12T07:00:00+00:00</Date1>
    <IsDocumentOrder xmlns="dc463f71-b30c-4ab2-9473-d307f9d35888" xsi:nil="true"/>
    <IsHighlyConfidential xmlns="dc463f71-b30c-4ab2-9473-d307f9d35888">false</IsHighlyConfidential>
    <CaseCompanyNames xmlns="dc463f71-b30c-4ab2-9473-d307f9d35888">CARROLL-NASLUND DISPOSAL SERVICE, INC.</CaseCompanyNames>
    <DocketNumber xmlns="dc463f71-b30c-4ab2-9473-d307f9d35888">090272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9A9ED4-9714-4F78-8CB1-A8989BF95DA9}"/>
</file>

<file path=customXml/itemProps2.xml><?xml version="1.0" encoding="utf-8"?>
<ds:datastoreItem xmlns:ds="http://schemas.openxmlformats.org/officeDocument/2006/customXml" ds:itemID="{3666072F-3396-4C66-9172-FD4F3F7FE8F7}"/>
</file>

<file path=customXml/itemProps3.xml><?xml version="1.0" encoding="utf-8"?>
<ds:datastoreItem xmlns:ds="http://schemas.openxmlformats.org/officeDocument/2006/customXml" ds:itemID="{6B74DBAA-4DF4-4EBD-AEE0-D8E77EC4ECD8}"/>
</file>

<file path=customXml/itemProps4.xml><?xml version="1.0" encoding="utf-8"?>
<ds:datastoreItem xmlns:ds="http://schemas.openxmlformats.org/officeDocument/2006/customXml" ds:itemID="{4FE9F90B-26E1-4173-AD94-6D4F457638C3}"/>
</file>

<file path=customXml/itemProps5.xml><?xml version="1.0" encoding="utf-8"?>
<ds:datastoreItem xmlns:ds="http://schemas.openxmlformats.org/officeDocument/2006/customXml" ds:itemID="{706E04AA-4EDE-4769-9A4B-7B92379F4127}"/>
</file>

<file path=customXml/itemProps6.xml><?xml version="1.0" encoding="utf-8"?>
<ds:datastoreItem xmlns:ds="http://schemas.openxmlformats.org/officeDocument/2006/customXml" ds:itemID="{23CD7FB4-D3A1-4607-8EF8-A08646A4FA01}"/>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Parvinen</dc:creator>
  <cp:keywords/>
  <dc:description/>
  <cp:lastModifiedBy>Catherine Hudspeth, Forms and Records Analyst 2</cp:lastModifiedBy>
  <cp:revision>2</cp:revision>
  <cp:lastPrinted>2009-03-09T17:35:00Z</cp:lastPrinted>
  <dcterms:created xsi:type="dcterms:W3CDTF">2009-03-09T21:33:00Z</dcterms:created>
  <dcterms:modified xsi:type="dcterms:W3CDTF">2009-03-09T21:33:00Z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tem ID0">
    <vt:lpwstr>61</vt:lpwstr>
  </property>
  <property fmtid="{D5CDD505-2E9C-101B-9397-08002B2CF9AE}" pid="4" name="Move To0">
    <vt:lpwstr/>
  </property>
  <property fmtid="{D5CDD505-2E9C-101B-9397-08002B2CF9AE}" pid="5" name="ContentTypeId">
    <vt:lpwstr>0x0101006E56B4D1795A2E4DB2F0B01679ED314A00CF17B2D56FA0BE4FBCBABC9B39898BD4</vt:lpwstr>
  </property>
  <property fmtid="{D5CDD505-2E9C-101B-9397-08002B2CF9AE}" pid="6" name="_docset_NoMedatataSyncRequired">
    <vt:lpwstr>False</vt:lpwstr>
  </property>
</Properties>
</file>