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9A" w:rsidRDefault="007A1E8A" w:rsidP="007F1BFD">
      <w:pPr>
        <w:pStyle w:val="NoSpacing"/>
      </w:pPr>
      <w:r>
        <w:t>Agenda Date:</w:t>
      </w:r>
      <w:r w:rsidR="00C47BDF">
        <w:tab/>
      </w:r>
      <w:r w:rsidR="00C47BDF">
        <w:tab/>
      </w:r>
      <w:r w:rsidR="00CC3A14">
        <w:t>F</w:t>
      </w:r>
      <w:r w:rsidR="00282318">
        <w:t>ebruary 12, 2009</w:t>
      </w:r>
    </w:p>
    <w:p w:rsidR="007A1E8A" w:rsidRDefault="007A1E8A" w:rsidP="007F1BFD">
      <w:pPr>
        <w:pStyle w:val="NoSpacing"/>
      </w:pPr>
      <w:r>
        <w:t>Item Number:</w:t>
      </w:r>
      <w:r w:rsidR="00C47BDF">
        <w:tab/>
      </w:r>
      <w:r w:rsidR="00C47BDF">
        <w:tab/>
        <w:t>A</w:t>
      </w:r>
      <w:r w:rsidR="0031587B">
        <w:t>1</w:t>
      </w:r>
    </w:p>
    <w:p w:rsidR="007A1E8A" w:rsidRDefault="007A1E8A" w:rsidP="007F1BFD">
      <w:pPr>
        <w:pStyle w:val="NoSpacing"/>
      </w:pPr>
    </w:p>
    <w:p w:rsidR="007A1E8A" w:rsidRPr="003749A9" w:rsidRDefault="007A1E8A" w:rsidP="007F1BFD">
      <w:pPr>
        <w:pStyle w:val="NoSpacing"/>
        <w:rPr>
          <w:b/>
        </w:rPr>
      </w:pPr>
      <w:r w:rsidRPr="003749A9">
        <w:rPr>
          <w:b/>
        </w:rPr>
        <w:t>Docket:</w:t>
      </w:r>
      <w:r w:rsidR="00C47BDF" w:rsidRPr="003749A9">
        <w:rPr>
          <w:b/>
        </w:rPr>
        <w:tab/>
      </w:r>
      <w:r w:rsidR="00C47BDF" w:rsidRPr="003749A9">
        <w:rPr>
          <w:b/>
        </w:rPr>
        <w:tab/>
        <w:t>UW-</w:t>
      </w:r>
      <w:r w:rsidR="00282318">
        <w:rPr>
          <w:b/>
        </w:rPr>
        <w:t>090</w:t>
      </w:r>
      <w:r w:rsidR="0066387D">
        <w:rPr>
          <w:b/>
        </w:rPr>
        <w:t>154</w:t>
      </w:r>
    </w:p>
    <w:p w:rsidR="007A1E8A" w:rsidRDefault="007A1E8A" w:rsidP="007F1BFD">
      <w:pPr>
        <w:pStyle w:val="NoSpacing"/>
      </w:pPr>
      <w:r>
        <w:t>Company Name:</w:t>
      </w:r>
      <w:r w:rsidR="00C47BDF">
        <w:tab/>
      </w:r>
      <w:r w:rsidR="00282318">
        <w:t>South Bainbridge</w:t>
      </w:r>
      <w:r w:rsidR="00C47BDF" w:rsidRPr="00CD2C06">
        <w:t xml:space="preserve"> Water </w:t>
      </w:r>
      <w:r w:rsidR="00282318">
        <w:t>System</w:t>
      </w:r>
      <w:r w:rsidR="00C47BDF" w:rsidRPr="00CD2C06">
        <w:t>, Inc</w:t>
      </w:r>
      <w:r w:rsidR="00282318">
        <w:t>.</w:t>
      </w:r>
    </w:p>
    <w:p w:rsidR="007A1E8A" w:rsidRDefault="007A1E8A" w:rsidP="007F1BFD">
      <w:pPr>
        <w:pStyle w:val="NoSpacing"/>
      </w:pPr>
    </w:p>
    <w:p w:rsidR="00C47BDF" w:rsidRPr="002D6209" w:rsidRDefault="007A1E8A" w:rsidP="00C47B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96D54">
        <w:rPr>
          <w:sz w:val="24"/>
          <w:u w:val="single"/>
        </w:rPr>
        <w:t>Staff:</w:t>
      </w:r>
      <w:r w:rsidR="00C47BDF" w:rsidRPr="00B96D54">
        <w:rPr>
          <w:sz w:val="24"/>
        </w:rPr>
        <w:tab/>
      </w:r>
      <w:r w:rsidR="00C47BDF">
        <w:tab/>
      </w:r>
      <w:r w:rsidR="00C47BDF">
        <w:tab/>
      </w:r>
      <w:r w:rsidR="00C47BDF" w:rsidRPr="002D6209">
        <w:rPr>
          <w:sz w:val="24"/>
        </w:rPr>
        <w:t>Jim Ward, Regulatory Analyst</w:t>
      </w:r>
    </w:p>
    <w:p w:rsidR="00C47BDF" w:rsidRPr="002D6209" w:rsidRDefault="00C47BDF" w:rsidP="00C47B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D6209">
        <w:rPr>
          <w:sz w:val="24"/>
        </w:rPr>
        <w:tab/>
      </w:r>
      <w:r w:rsidRPr="002D6209">
        <w:rPr>
          <w:sz w:val="24"/>
        </w:rPr>
        <w:tab/>
      </w:r>
      <w:r w:rsidRPr="002D6209">
        <w:rPr>
          <w:sz w:val="24"/>
        </w:rPr>
        <w:tab/>
        <w:t xml:space="preserve">Dennis Shutler, Consumer </w:t>
      </w:r>
      <w:r w:rsidR="00B96D54">
        <w:rPr>
          <w:sz w:val="24"/>
        </w:rPr>
        <w:t>Protection Staff</w:t>
      </w:r>
    </w:p>
    <w:p w:rsidR="007A1E8A" w:rsidRDefault="007A1E8A" w:rsidP="007F1BFD">
      <w:pPr>
        <w:pStyle w:val="NoSpacing"/>
      </w:pPr>
    </w:p>
    <w:p w:rsidR="007A1E8A" w:rsidRDefault="007A1E8A" w:rsidP="007F1BFD">
      <w:pPr>
        <w:pStyle w:val="NoSpacing"/>
        <w:rPr>
          <w:b/>
          <w:u w:val="single"/>
        </w:rPr>
      </w:pPr>
      <w:r w:rsidRPr="007A1E8A">
        <w:rPr>
          <w:b/>
          <w:u w:val="single"/>
        </w:rPr>
        <w:t>Recommendation</w:t>
      </w:r>
    </w:p>
    <w:p w:rsidR="00CD2C06" w:rsidRDefault="00CD2C06" w:rsidP="00CD2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D2C06" w:rsidRPr="00CD2C06" w:rsidRDefault="00CD2C06" w:rsidP="00CD2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CD2C06">
        <w:rPr>
          <w:sz w:val="24"/>
        </w:rPr>
        <w:t>Take no action on this filing at this time to allow for customer comments.</w:t>
      </w:r>
    </w:p>
    <w:p w:rsidR="00CD2C06" w:rsidRPr="00CD2C06" w:rsidRDefault="00CD2C06" w:rsidP="00CD2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D2C06" w:rsidRPr="00CD2C06" w:rsidRDefault="00B96D54" w:rsidP="00CD2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u w:val="single"/>
        </w:rPr>
      </w:pPr>
      <w:r>
        <w:rPr>
          <w:b/>
          <w:bCs/>
          <w:sz w:val="24"/>
          <w:u w:val="single"/>
        </w:rPr>
        <w:t>Background</w:t>
      </w:r>
    </w:p>
    <w:p w:rsidR="00CD2C06" w:rsidRPr="00CD2C06" w:rsidRDefault="00CD2C06" w:rsidP="00CD2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u w:val="single"/>
        </w:rPr>
      </w:pPr>
    </w:p>
    <w:p w:rsidR="00CD2C06" w:rsidRPr="00CD2C06" w:rsidRDefault="00CD2C06" w:rsidP="00CD2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2C06">
        <w:rPr>
          <w:sz w:val="24"/>
        </w:rPr>
        <w:t xml:space="preserve">On </w:t>
      </w:r>
      <w:r w:rsidR="00282318">
        <w:rPr>
          <w:sz w:val="24"/>
        </w:rPr>
        <w:t>January 2</w:t>
      </w:r>
      <w:r w:rsidR="00615FDB">
        <w:rPr>
          <w:sz w:val="24"/>
        </w:rPr>
        <w:t>8</w:t>
      </w:r>
      <w:r w:rsidR="00282318">
        <w:rPr>
          <w:sz w:val="24"/>
        </w:rPr>
        <w:t>, 2009</w:t>
      </w:r>
      <w:r w:rsidRPr="00CD2C06">
        <w:rPr>
          <w:sz w:val="24"/>
        </w:rPr>
        <w:t xml:space="preserve">, </w:t>
      </w:r>
      <w:r w:rsidR="00282318">
        <w:rPr>
          <w:sz w:val="24"/>
        </w:rPr>
        <w:t>South Bainbridge Water System, Inc.</w:t>
      </w:r>
      <w:r w:rsidR="00151379">
        <w:rPr>
          <w:sz w:val="24"/>
        </w:rPr>
        <w:t>,</w:t>
      </w:r>
      <w:r w:rsidRPr="00CD2C06">
        <w:rPr>
          <w:sz w:val="24"/>
        </w:rPr>
        <w:t xml:space="preserve"> (</w:t>
      </w:r>
      <w:r w:rsidR="00282318">
        <w:rPr>
          <w:sz w:val="24"/>
        </w:rPr>
        <w:t>South Bainbridge</w:t>
      </w:r>
      <w:r w:rsidRPr="00CD2C06">
        <w:rPr>
          <w:sz w:val="24"/>
        </w:rPr>
        <w:t xml:space="preserve"> or company), filed with the Utilities and Transportation Commission (commission) tariff revisions that would generate $</w:t>
      </w:r>
      <w:r>
        <w:rPr>
          <w:sz w:val="24"/>
        </w:rPr>
        <w:t>2</w:t>
      </w:r>
      <w:r w:rsidR="00282318">
        <w:rPr>
          <w:sz w:val="24"/>
        </w:rPr>
        <w:t>25,804</w:t>
      </w:r>
      <w:r w:rsidRPr="00CD2C06">
        <w:rPr>
          <w:sz w:val="24"/>
        </w:rPr>
        <w:t xml:space="preserve"> (</w:t>
      </w:r>
      <w:r w:rsidR="00282318">
        <w:rPr>
          <w:sz w:val="24"/>
        </w:rPr>
        <w:t>47.7</w:t>
      </w:r>
      <w:r w:rsidRPr="00CD2C06">
        <w:rPr>
          <w:sz w:val="24"/>
        </w:rPr>
        <w:t xml:space="preserve"> percent) in </w:t>
      </w:r>
      <w:r w:rsidR="00151379">
        <w:rPr>
          <w:sz w:val="24"/>
        </w:rPr>
        <w:t xml:space="preserve">additional </w:t>
      </w:r>
      <w:r w:rsidR="00AD6CE8">
        <w:rPr>
          <w:sz w:val="24"/>
        </w:rPr>
        <w:t xml:space="preserve">annual </w:t>
      </w:r>
      <w:r w:rsidRPr="00CD2C06">
        <w:rPr>
          <w:sz w:val="24"/>
        </w:rPr>
        <w:t>revenue. The company serves 1</w:t>
      </w:r>
      <w:r w:rsidR="006D7CA2">
        <w:rPr>
          <w:sz w:val="24"/>
        </w:rPr>
        <w:t>,</w:t>
      </w:r>
      <w:r w:rsidR="00282318">
        <w:rPr>
          <w:sz w:val="24"/>
        </w:rPr>
        <w:t>2</w:t>
      </w:r>
      <w:r w:rsidR="00615FDB">
        <w:rPr>
          <w:sz w:val="24"/>
        </w:rPr>
        <w:t>38</w:t>
      </w:r>
      <w:r w:rsidRPr="00CD2C06">
        <w:rPr>
          <w:sz w:val="24"/>
        </w:rPr>
        <w:t xml:space="preserve"> customers</w:t>
      </w:r>
      <w:r w:rsidR="00AD6CE8">
        <w:rPr>
          <w:sz w:val="24"/>
        </w:rPr>
        <w:t xml:space="preserve"> </w:t>
      </w:r>
      <w:r w:rsidR="00282318">
        <w:rPr>
          <w:sz w:val="24"/>
        </w:rPr>
        <w:t>on the south end of Bainbridge Island</w:t>
      </w:r>
      <w:r w:rsidRPr="00CD2C06">
        <w:rPr>
          <w:sz w:val="24"/>
        </w:rPr>
        <w:t xml:space="preserve"> in </w:t>
      </w:r>
      <w:r w:rsidR="00282318">
        <w:rPr>
          <w:sz w:val="24"/>
        </w:rPr>
        <w:t>Kitsap</w:t>
      </w:r>
      <w:r w:rsidRPr="00CD2C06">
        <w:rPr>
          <w:sz w:val="24"/>
        </w:rPr>
        <w:t xml:space="preserve"> County. The proposed rates are prompted by increases in </w:t>
      </w:r>
      <w:r w:rsidR="006D7CA2">
        <w:rPr>
          <w:sz w:val="24"/>
        </w:rPr>
        <w:t>labor</w:t>
      </w:r>
      <w:r w:rsidR="006F3B38">
        <w:rPr>
          <w:sz w:val="24"/>
        </w:rPr>
        <w:t xml:space="preserve">, </w:t>
      </w:r>
      <w:r w:rsidR="006D7CA2">
        <w:rPr>
          <w:sz w:val="24"/>
        </w:rPr>
        <w:t>testing</w:t>
      </w:r>
      <w:r w:rsidRPr="00CD2C06">
        <w:rPr>
          <w:sz w:val="24"/>
        </w:rPr>
        <w:t xml:space="preserve"> and </w:t>
      </w:r>
      <w:r w:rsidR="006D7CA2">
        <w:rPr>
          <w:sz w:val="24"/>
        </w:rPr>
        <w:t>operating</w:t>
      </w:r>
      <w:r w:rsidRPr="00CD2C06">
        <w:rPr>
          <w:sz w:val="24"/>
        </w:rPr>
        <w:t xml:space="preserve"> expenses.</w:t>
      </w:r>
      <w:r w:rsidR="004D576C">
        <w:rPr>
          <w:sz w:val="24"/>
        </w:rPr>
        <w:t xml:space="preserve"> The proposed effective date is March 1, 2009.</w:t>
      </w:r>
    </w:p>
    <w:p w:rsidR="00CD2C06" w:rsidRPr="00CD2C06" w:rsidRDefault="00CD2C06" w:rsidP="00CD2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A722D" w:rsidRPr="00CA722D" w:rsidRDefault="00CD2C06" w:rsidP="00CA72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2C06">
        <w:rPr>
          <w:sz w:val="24"/>
        </w:rPr>
        <w:t xml:space="preserve">Today’s presentation allows customers or other parties to make comments to the commission. No action is required by the commission. Staff will make its recommendation to the commission at the open meeting </w:t>
      </w:r>
      <w:r w:rsidR="00960DE4">
        <w:rPr>
          <w:sz w:val="24"/>
        </w:rPr>
        <w:t xml:space="preserve">scheduled for </w:t>
      </w:r>
      <w:r w:rsidR="00282318">
        <w:rPr>
          <w:sz w:val="24"/>
        </w:rPr>
        <w:t>February 26</w:t>
      </w:r>
      <w:r w:rsidRPr="00CD2C06">
        <w:rPr>
          <w:sz w:val="24"/>
        </w:rPr>
        <w:t>, 200</w:t>
      </w:r>
      <w:r>
        <w:rPr>
          <w:sz w:val="24"/>
        </w:rPr>
        <w:t>9</w:t>
      </w:r>
      <w:r w:rsidRPr="00CD2C06">
        <w:rPr>
          <w:sz w:val="24"/>
        </w:rPr>
        <w:t>.</w:t>
      </w:r>
      <w:r w:rsidRPr="00CA722D">
        <w:rPr>
          <w:sz w:val="24"/>
        </w:rPr>
        <w:t xml:space="preserve"> </w:t>
      </w:r>
      <w:r w:rsidR="00CA722D" w:rsidRPr="00CA722D">
        <w:rPr>
          <w:sz w:val="24"/>
        </w:rPr>
        <w:t xml:space="preserve">In </w:t>
      </w:r>
      <w:r w:rsidR="00151379">
        <w:rPr>
          <w:sz w:val="24"/>
        </w:rPr>
        <w:t>its</w:t>
      </w:r>
      <w:r w:rsidR="00CA722D" w:rsidRPr="00CA722D">
        <w:rPr>
          <w:sz w:val="24"/>
        </w:rPr>
        <w:t xml:space="preserve"> notice to customers</w:t>
      </w:r>
      <w:r w:rsidR="00151379">
        <w:rPr>
          <w:sz w:val="24"/>
        </w:rPr>
        <w:t>,</w:t>
      </w:r>
      <w:r w:rsidR="00CA722D" w:rsidRPr="00CA722D">
        <w:rPr>
          <w:sz w:val="24"/>
        </w:rPr>
        <w:t xml:space="preserve"> the company notes that </w:t>
      </w:r>
      <w:r w:rsidR="00151379">
        <w:rPr>
          <w:sz w:val="24"/>
        </w:rPr>
        <w:t>it is</w:t>
      </w:r>
      <w:r w:rsidR="00CA722D" w:rsidRPr="00CA722D">
        <w:rPr>
          <w:sz w:val="24"/>
        </w:rPr>
        <w:t xml:space="preserve"> asking for an immediate rate increase of $5.72. This increase would be added to the current base charge and </w:t>
      </w:r>
      <w:r w:rsidR="00960DE4">
        <w:rPr>
          <w:sz w:val="24"/>
        </w:rPr>
        <w:t>R</w:t>
      </w:r>
      <w:r w:rsidR="00CA722D" w:rsidRPr="00CA722D">
        <w:rPr>
          <w:sz w:val="24"/>
        </w:rPr>
        <w:t>eady</w:t>
      </w:r>
      <w:r w:rsidR="002B4E8D">
        <w:rPr>
          <w:sz w:val="24"/>
        </w:rPr>
        <w:t>-</w:t>
      </w:r>
      <w:r w:rsidR="00CA722D" w:rsidRPr="00CA722D">
        <w:rPr>
          <w:sz w:val="24"/>
        </w:rPr>
        <w:t>to</w:t>
      </w:r>
      <w:r w:rsidR="002B4E8D">
        <w:rPr>
          <w:sz w:val="24"/>
        </w:rPr>
        <w:t>-</w:t>
      </w:r>
      <w:r w:rsidR="00960DE4">
        <w:rPr>
          <w:sz w:val="24"/>
        </w:rPr>
        <w:t>S</w:t>
      </w:r>
      <w:r w:rsidR="00CA722D" w:rsidRPr="00CA722D">
        <w:rPr>
          <w:sz w:val="24"/>
        </w:rPr>
        <w:t xml:space="preserve">erve </w:t>
      </w:r>
      <w:r w:rsidR="002B4E8D">
        <w:rPr>
          <w:sz w:val="24"/>
        </w:rPr>
        <w:t xml:space="preserve">charge </w:t>
      </w:r>
      <w:r w:rsidR="00CA722D" w:rsidRPr="00CA722D">
        <w:rPr>
          <w:sz w:val="24"/>
        </w:rPr>
        <w:t xml:space="preserve">resulting in a proposed Base Meter charge of $25.72 and </w:t>
      </w:r>
      <w:r w:rsidR="00151379">
        <w:rPr>
          <w:sz w:val="24"/>
        </w:rPr>
        <w:t xml:space="preserve">proposed </w:t>
      </w:r>
      <w:r w:rsidR="00CA722D" w:rsidRPr="00CA722D">
        <w:rPr>
          <w:sz w:val="24"/>
        </w:rPr>
        <w:t>Ready</w:t>
      </w:r>
      <w:r w:rsidR="002B4E8D">
        <w:rPr>
          <w:sz w:val="24"/>
        </w:rPr>
        <w:t>-</w:t>
      </w:r>
      <w:r w:rsidR="00CA722D" w:rsidRPr="00CA722D">
        <w:rPr>
          <w:sz w:val="24"/>
        </w:rPr>
        <w:t>to</w:t>
      </w:r>
      <w:r w:rsidR="002B4E8D">
        <w:rPr>
          <w:sz w:val="24"/>
        </w:rPr>
        <w:t>-</w:t>
      </w:r>
      <w:r w:rsidR="00CA722D" w:rsidRPr="00CA722D">
        <w:rPr>
          <w:sz w:val="24"/>
        </w:rPr>
        <w:t>Serve charge of $23.22. These charges would be temporary, while the full rate request is under review. The effective date of this immediate portion of the increase is proposed to be March 1, 2009.</w:t>
      </w:r>
    </w:p>
    <w:p w:rsidR="00CD2C06" w:rsidRPr="009442FC" w:rsidRDefault="00CD2C06" w:rsidP="00CD2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A722D" w:rsidRDefault="00CD2C06" w:rsidP="00CA722D">
      <w:pPr>
        <w:pStyle w:val="BodyText"/>
        <w:widowControl/>
        <w:tabs>
          <w:tab w:val="left" w:pos="0"/>
        </w:tabs>
        <w:rPr>
          <w:rFonts w:ascii="Times New Roman" w:hAnsi="Times New Roman"/>
        </w:rPr>
      </w:pPr>
      <w:r w:rsidRPr="00CA722D">
        <w:rPr>
          <w:rFonts w:ascii="Times New Roman" w:hAnsi="Times New Roman"/>
        </w:rPr>
        <w:t xml:space="preserve">On </w:t>
      </w:r>
      <w:r w:rsidR="006D7CA2" w:rsidRPr="00CA722D">
        <w:rPr>
          <w:rFonts w:ascii="Times New Roman" w:hAnsi="Times New Roman"/>
        </w:rPr>
        <w:t>January</w:t>
      </w:r>
      <w:r w:rsidR="0099378A" w:rsidRPr="00CA722D">
        <w:rPr>
          <w:rFonts w:ascii="Times New Roman" w:hAnsi="Times New Roman"/>
        </w:rPr>
        <w:t xml:space="preserve"> </w:t>
      </w:r>
      <w:r w:rsidR="00282318" w:rsidRPr="00CA722D">
        <w:rPr>
          <w:rFonts w:ascii="Times New Roman" w:hAnsi="Times New Roman"/>
        </w:rPr>
        <w:t>2</w:t>
      </w:r>
      <w:r w:rsidR="00615FDB" w:rsidRPr="00CA722D">
        <w:rPr>
          <w:rFonts w:ascii="Times New Roman" w:hAnsi="Times New Roman"/>
        </w:rPr>
        <w:t>8</w:t>
      </w:r>
      <w:r w:rsidRPr="00CA722D">
        <w:rPr>
          <w:rFonts w:ascii="Times New Roman" w:hAnsi="Times New Roman"/>
        </w:rPr>
        <w:t>, 200</w:t>
      </w:r>
      <w:r w:rsidR="00282318" w:rsidRPr="00CA722D">
        <w:rPr>
          <w:rFonts w:ascii="Times New Roman" w:hAnsi="Times New Roman"/>
        </w:rPr>
        <w:t>9</w:t>
      </w:r>
      <w:r w:rsidRPr="00CA722D">
        <w:rPr>
          <w:rFonts w:ascii="Times New Roman" w:hAnsi="Times New Roman"/>
        </w:rPr>
        <w:t xml:space="preserve">, the company notified its customers of the rate increase by mail. </w:t>
      </w:r>
      <w:r w:rsidR="007C07AE" w:rsidRPr="00CA722D">
        <w:rPr>
          <w:rFonts w:ascii="Times New Roman" w:hAnsi="Times New Roman"/>
        </w:rPr>
        <w:t xml:space="preserve">The commission has received </w:t>
      </w:r>
      <w:r w:rsidR="00950B87" w:rsidRPr="00CA722D">
        <w:rPr>
          <w:rFonts w:ascii="Times New Roman" w:hAnsi="Times New Roman"/>
        </w:rPr>
        <w:t xml:space="preserve">numerous </w:t>
      </w:r>
      <w:r w:rsidR="007C07AE" w:rsidRPr="00CA722D">
        <w:rPr>
          <w:rFonts w:ascii="Times New Roman" w:hAnsi="Times New Roman"/>
        </w:rPr>
        <w:t xml:space="preserve">customer comments on this filing as of </w:t>
      </w:r>
      <w:r w:rsidR="00CC3A14" w:rsidRPr="00CA722D">
        <w:rPr>
          <w:rFonts w:ascii="Times New Roman" w:hAnsi="Times New Roman"/>
        </w:rPr>
        <w:t>Februa</w:t>
      </w:r>
      <w:r w:rsidR="00282318" w:rsidRPr="00CA722D">
        <w:rPr>
          <w:rFonts w:ascii="Times New Roman" w:hAnsi="Times New Roman"/>
        </w:rPr>
        <w:t xml:space="preserve">ry </w:t>
      </w:r>
      <w:r w:rsidR="00893271" w:rsidRPr="00CA722D">
        <w:rPr>
          <w:rFonts w:ascii="Times New Roman" w:hAnsi="Times New Roman"/>
        </w:rPr>
        <w:t>9, 2009</w:t>
      </w:r>
      <w:r w:rsidR="007C07AE" w:rsidRPr="00CA722D">
        <w:rPr>
          <w:rFonts w:ascii="Times New Roman" w:hAnsi="Times New Roman"/>
        </w:rPr>
        <w:t xml:space="preserve">. All customers are opposed to the increase. </w:t>
      </w:r>
    </w:p>
    <w:p w:rsidR="005116FF" w:rsidRDefault="00CA722D" w:rsidP="005116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b/>
          <w:u w:val="single"/>
        </w:rPr>
      </w:pPr>
      <w:r w:rsidRPr="00CA722D">
        <w:t xml:space="preserve"> </w:t>
      </w:r>
    </w:p>
    <w:p w:rsidR="001763AC" w:rsidRDefault="00E35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b/>
          <w:sz w:val="24"/>
          <w:u w:val="single"/>
        </w:rPr>
      </w:pPr>
      <w:r w:rsidRPr="00E3574F">
        <w:rPr>
          <w:b/>
          <w:sz w:val="24"/>
          <w:u w:val="single"/>
        </w:rPr>
        <w:t xml:space="preserve">Customer Comments </w:t>
      </w:r>
    </w:p>
    <w:p w:rsidR="00A21A0E" w:rsidRPr="00A21A0E" w:rsidRDefault="00E3574F" w:rsidP="00A21A0E">
      <w:pPr>
        <w:rPr>
          <w:i/>
          <w:sz w:val="24"/>
        </w:rPr>
      </w:pPr>
      <w:r w:rsidRPr="00E3574F">
        <w:rPr>
          <w:sz w:val="24"/>
        </w:rPr>
        <w:t xml:space="preserve">A total of </w:t>
      </w:r>
      <w:r w:rsidR="00A21A0E">
        <w:rPr>
          <w:sz w:val="24"/>
        </w:rPr>
        <w:t>21</w:t>
      </w:r>
      <w:r w:rsidRPr="00E3574F">
        <w:rPr>
          <w:sz w:val="24"/>
        </w:rPr>
        <w:t xml:space="preserve"> customer comments have been received to date; 19 opposed and 2 undecided. Some comments that may impact the </w:t>
      </w:r>
      <w:r w:rsidR="00960DE4">
        <w:rPr>
          <w:sz w:val="24"/>
        </w:rPr>
        <w:t>B</w:t>
      </w:r>
      <w:r w:rsidRPr="00E3574F">
        <w:rPr>
          <w:sz w:val="24"/>
        </w:rPr>
        <w:t xml:space="preserve">ase </w:t>
      </w:r>
      <w:r w:rsidR="00960DE4">
        <w:rPr>
          <w:sz w:val="24"/>
        </w:rPr>
        <w:t>Meter charge</w:t>
      </w:r>
      <w:r w:rsidRPr="00E3574F">
        <w:rPr>
          <w:sz w:val="24"/>
        </w:rPr>
        <w:t xml:space="preserve"> or consumption rate will not be responded to until the audit is complete. Staff posted all requested materials to the commission’s Web site. The results of the audit will be available when the staff recommendation is presented to the commissioners</w:t>
      </w:r>
      <w:r w:rsidRPr="00E3574F">
        <w:rPr>
          <w:i/>
          <w:sz w:val="24"/>
        </w:rPr>
        <w:t>.</w:t>
      </w:r>
    </w:p>
    <w:p w:rsidR="00A21A0E" w:rsidRPr="00A21A0E" w:rsidRDefault="00A21A0E" w:rsidP="005116FF">
      <w:pPr>
        <w:rPr>
          <w:b/>
          <w:sz w:val="24"/>
          <w:u w:val="single"/>
        </w:rPr>
      </w:pPr>
    </w:p>
    <w:p w:rsidR="005116FF" w:rsidRPr="00A21A0E" w:rsidRDefault="00E3574F" w:rsidP="005116FF">
      <w:pPr>
        <w:rPr>
          <w:b/>
          <w:sz w:val="24"/>
          <w:u w:val="single"/>
        </w:rPr>
      </w:pPr>
      <w:r w:rsidRPr="00E3574F">
        <w:rPr>
          <w:color w:val="000000"/>
          <w:sz w:val="24"/>
        </w:rPr>
        <w:t>Consumer Protection staff advised customer</w:t>
      </w:r>
      <w:r w:rsidRPr="00E3574F">
        <w:rPr>
          <w:sz w:val="24"/>
        </w:rPr>
        <w:t>s that they have access to all company’s documents pertinent to this rate case at</w:t>
      </w:r>
      <w:r w:rsidR="00A21A0E" w:rsidRPr="00A21A0E">
        <w:rPr>
          <w:sz w:val="24"/>
        </w:rPr>
        <w:t xml:space="preserve"> </w:t>
      </w:r>
      <w:hyperlink r:id="rId11" w:history="1">
        <w:r w:rsidRPr="00E3574F">
          <w:rPr>
            <w:rStyle w:val="Hyperlink"/>
            <w:sz w:val="24"/>
          </w:rPr>
          <w:t>www.utc.wa.gov</w:t>
        </w:r>
      </w:hyperlink>
      <w:r w:rsidRPr="00E3574F">
        <w:rPr>
          <w:sz w:val="24"/>
        </w:rPr>
        <w:t xml:space="preserve">, and </w:t>
      </w:r>
      <w:hyperlink r:id="rId12" w:history="1">
        <w:r w:rsidRPr="00E3574F">
          <w:rPr>
            <w:rStyle w:val="Hyperlink"/>
            <w:sz w:val="24"/>
          </w:rPr>
          <w:t>www.utc.wa.gov/water</w:t>
        </w:r>
      </w:hyperlink>
      <w:r w:rsidRPr="00E3574F">
        <w:rPr>
          <w:sz w:val="24"/>
        </w:rPr>
        <w:t xml:space="preserve"> and that they may contact Dennis Shutler at 360-664-1108</w:t>
      </w:r>
      <w:r w:rsidR="00A21A0E" w:rsidRPr="00A21A0E">
        <w:rPr>
          <w:sz w:val="24"/>
        </w:rPr>
        <w:t xml:space="preserve"> with questions or concerns</w:t>
      </w:r>
      <w:r w:rsidRPr="00E3574F">
        <w:rPr>
          <w:sz w:val="24"/>
        </w:rPr>
        <w:t>.</w:t>
      </w:r>
    </w:p>
    <w:p w:rsidR="00A21A0E" w:rsidRDefault="00A21A0E" w:rsidP="005116FF">
      <w:pPr>
        <w:rPr>
          <w:sz w:val="24"/>
        </w:rPr>
      </w:pPr>
    </w:p>
    <w:p w:rsidR="00A21A0E" w:rsidRDefault="00A21A0E" w:rsidP="005116FF">
      <w:pPr>
        <w:rPr>
          <w:sz w:val="24"/>
        </w:rPr>
      </w:pPr>
    </w:p>
    <w:p w:rsidR="00A21A0E" w:rsidRPr="00A21A0E" w:rsidRDefault="00A21A0E" w:rsidP="005116FF">
      <w:pPr>
        <w:rPr>
          <w:sz w:val="24"/>
        </w:rPr>
      </w:pPr>
    </w:p>
    <w:p w:rsidR="001763AC" w:rsidRDefault="00E3574F">
      <w:pPr>
        <w:widowControl/>
        <w:numPr>
          <w:ilvl w:val="0"/>
          <w:numId w:val="8"/>
        </w:numPr>
        <w:autoSpaceDE/>
        <w:autoSpaceDN/>
        <w:adjustRightInd/>
        <w:rPr>
          <w:b/>
          <w:sz w:val="24"/>
        </w:rPr>
      </w:pPr>
      <w:r w:rsidRPr="00E3574F">
        <w:rPr>
          <w:b/>
          <w:sz w:val="24"/>
        </w:rPr>
        <w:t>Filing Documents and Methodology Comments</w:t>
      </w:r>
    </w:p>
    <w:p w:rsidR="005116FF" w:rsidRPr="00A21A0E" w:rsidRDefault="00E3574F" w:rsidP="005116FF">
      <w:pPr>
        <w:ind w:left="720"/>
        <w:rPr>
          <w:sz w:val="24"/>
        </w:rPr>
      </w:pPr>
      <w:r w:rsidRPr="00E3574F">
        <w:rPr>
          <w:sz w:val="24"/>
        </w:rPr>
        <w:t xml:space="preserve">Two customers questioned a 47.73 percent increase in just one year and the company’s lack of details justifying the increase. </w:t>
      </w:r>
      <w:r w:rsidRPr="00E3574F">
        <w:rPr>
          <w:color w:val="000000"/>
          <w:sz w:val="24"/>
        </w:rPr>
        <w:t>They feel basing the increase upon inflation would be more reasonable.</w:t>
      </w:r>
    </w:p>
    <w:p w:rsidR="005116FF" w:rsidRPr="00A21A0E" w:rsidRDefault="005116FF" w:rsidP="005116FF">
      <w:pPr>
        <w:ind w:left="720"/>
        <w:rPr>
          <w:sz w:val="24"/>
        </w:rPr>
      </w:pPr>
    </w:p>
    <w:p w:rsidR="005116FF" w:rsidRPr="00A21A0E" w:rsidRDefault="00E3574F" w:rsidP="005116FF">
      <w:pPr>
        <w:ind w:left="720"/>
        <w:rPr>
          <w:sz w:val="24"/>
        </w:rPr>
      </w:pPr>
      <w:r w:rsidRPr="00E3574F">
        <w:rPr>
          <w:b/>
          <w:sz w:val="24"/>
        </w:rPr>
        <w:t>Staff Response</w:t>
      </w:r>
    </w:p>
    <w:p w:rsidR="005116FF" w:rsidRPr="00A21A0E" w:rsidRDefault="00E3574F" w:rsidP="005116FF">
      <w:pPr>
        <w:ind w:left="720"/>
        <w:rPr>
          <w:sz w:val="24"/>
        </w:rPr>
      </w:pPr>
      <w:r w:rsidRPr="00E3574F">
        <w:rPr>
          <w:color w:val="000000"/>
          <w:sz w:val="24"/>
        </w:rPr>
        <w:t>Staff conducts an independent audit of the company’s financial records.</w:t>
      </w:r>
      <w:r w:rsidRPr="00E3574F">
        <w:rPr>
          <w:sz w:val="24"/>
        </w:rPr>
        <w:t xml:space="preserve"> Some comments that may impact the base rate or consumption rate have not been responded to as the audit is not complete.</w:t>
      </w:r>
    </w:p>
    <w:p w:rsidR="005116FF" w:rsidRPr="00A21A0E" w:rsidRDefault="005116FF" w:rsidP="005116FF">
      <w:pPr>
        <w:ind w:left="720"/>
        <w:rPr>
          <w:sz w:val="24"/>
        </w:rPr>
      </w:pPr>
    </w:p>
    <w:p w:rsidR="005116FF" w:rsidRPr="00A21A0E" w:rsidRDefault="00E3574F" w:rsidP="005116FF">
      <w:pPr>
        <w:ind w:left="720"/>
        <w:rPr>
          <w:sz w:val="24"/>
        </w:rPr>
      </w:pPr>
      <w:r w:rsidRPr="00E3574F">
        <w:rPr>
          <w:sz w:val="24"/>
        </w:rPr>
        <w:t>Staff posted all company provided materials to the commission’s Web site and advised customers who have requested that information of its availability. The results of the review will be available when staff’s recommendation is presented to the commissioners</w:t>
      </w:r>
      <w:r w:rsidRPr="00E3574F">
        <w:rPr>
          <w:i/>
          <w:sz w:val="24"/>
        </w:rPr>
        <w:t>.</w:t>
      </w:r>
    </w:p>
    <w:p w:rsidR="005116FF" w:rsidRPr="00A21A0E" w:rsidRDefault="005116FF" w:rsidP="005116FF">
      <w:pPr>
        <w:tabs>
          <w:tab w:val="left" w:pos="90"/>
        </w:tabs>
        <w:ind w:left="720"/>
        <w:rPr>
          <w:b/>
          <w:sz w:val="24"/>
        </w:rPr>
      </w:pPr>
    </w:p>
    <w:p w:rsidR="005116FF" w:rsidRPr="00A21A0E" w:rsidRDefault="00E3574F" w:rsidP="005116FF">
      <w:pPr>
        <w:ind w:left="720"/>
        <w:rPr>
          <w:sz w:val="24"/>
        </w:rPr>
      </w:pPr>
      <w:r w:rsidRPr="00E3574F">
        <w:rPr>
          <w:sz w:val="24"/>
        </w:rPr>
        <w:t>One customer inquired about the duration of this “temporary” increase.</w:t>
      </w:r>
    </w:p>
    <w:p w:rsidR="005116FF" w:rsidRPr="00A21A0E" w:rsidRDefault="005116FF" w:rsidP="005116FF">
      <w:pPr>
        <w:rPr>
          <w:b/>
          <w:sz w:val="24"/>
        </w:rPr>
      </w:pPr>
    </w:p>
    <w:p w:rsidR="005116FF" w:rsidRPr="00A21A0E" w:rsidRDefault="00E3574F" w:rsidP="005116FF">
      <w:pPr>
        <w:tabs>
          <w:tab w:val="left" w:pos="90"/>
        </w:tabs>
        <w:ind w:left="720"/>
        <w:rPr>
          <w:b/>
          <w:sz w:val="24"/>
        </w:rPr>
      </w:pPr>
      <w:r w:rsidRPr="00E3574F">
        <w:rPr>
          <w:b/>
          <w:sz w:val="24"/>
        </w:rPr>
        <w:t>Staff Response</w:t>
      </w:r>
    </w:p>
    <w:p w:rsidR="005116FF" w:rsidRPr="00A21A0E" w:rsidRDefault="00E3574F" w:rsidP="005116FF">
      <w:pPr>
        <w:tabs>
          <w:tab w:val="left" w:pos="90"/>
        </w:tabs>
        <w:ind w:left="720"/>
        <w:rPr>
          <w:color w:val="000000"/>
          <w:sz w:val="24"/>
        </w:rPr>
      </w:pPr>
      <w:r w:rsidRPr="00E3574F">
        <w:rPr>
          <w:color w:val="000000"/>
          <w:sz w:val="24"/>
        </w:rPr>
        <w:t>Consumer Protection staff advised this customer</w:t>
      </w:r>
      <w:r w:rsidRPr="00E3574F">
        <w:rPr>
          <w:sz w:val="24"/>
        </w:rPr>
        <w:t xml:space="preserve"> that </w:t>
      </w:r>
      <w:r w:rsidRPr="00E3574F">
        <w:rPr>
          <w:color w:val="000000"/>
          <w:sz w:val="24"/>
        </w:rPr>
        <w:t xml:space="preserve">this is not a temporary rate increase but a permanent rate increase. The temporary rates addressed in the customer notice refer to rates requested to operate on until staff finalizes its investigation to determine permanent rates. </w:t>
      </w:r>
    </w:p>
    <w:p w:rsidR="005116FF" w:rsidRPr="00A21A0E" w:rsidRDefault="005116FF" w:rsidP="005116FF">
      <w:pPr>
        <w:tabs>
          <w:tab w:val="left" w:pos="90"/>
        </w:tabs>
        <w:rPr>
          <w:b/>
          <w:sz w:val="24"/>
        </w:rPr>
      </w:pPr>
    </w:p>
    <w:p w:rsidR="001763AC" w:rsidRDefault="00E3574F">
      <w:pPr>
        <w:widowControl/>
        <w:numPr>
          <w:ilvl w:val="0"/>
          <w:numId w:val="9"/>
        </w:numPr>
        <w:tabs>
          <w:tab w:val="left" w:pos="90"/>
        </w:tabs>
        <w:autoSpaceDE/>
        <w:autoSpaceDN/>
        <w:adjustRightInd/>
        <w:rPr>
          <w:b/>
          <w:sz w:val="24"/>
        </w:rPr>
      </w:pPr>
      <w:r w:rsidRPr="00E3574F">
        <w:rPr>
          <w:b/>
          <w:sz w:val="24"/>
        </w:rPr>
        <w:t>Business Practices Comments</w:t>
      </w:r>
    </w:p>
    <w:p w:rsidR="005116FF" w:rsidRPr="00A21A0E" w:rsidRDefault="00E3574F" w:rsidP="005116FF">
      <w:pPr>
        <w:tabs>
          <w:tab w:val="left" w:pos="90"/>
        </w:tabs>
        <w:ind w:left="720"/>
        <w:rPr>
          <w:sz w:val="24"/>
        </w:rPr>
      </w:pPr>
      <w:r w:rsidRPr="00E3574F">
        <w:rPr>
          <w:color w:val="000000"/>
          <w:sz w:val="24"/>
        </w:rPr>
        <w:t>One customer asked if the water company can sell more service connections than the system can serve.</w:t>
      </w:r>
    </w:p>
    <w:p w:rsidR="005116FF" w:rsidRPr="00A21A0E" w:rsidRDefault="005116FF" w:rsidP="005116FF">
      <w:pPr>
        <w:tabs>
          <w:tab w:val="left" w:pos="90"/>
        </w:tabs>
        <w:ind w:left="720"/>
        <w:rPr>
          <w:b/>
          <w:sz w:val="24"/>
        </w:rPr>
      </w:pPr>
    </w:p>
    <w:p w:rsidR="005116FF" w:rsidRPr="00A21A0E" w:rsidRDefault="00E3574F" w:rsidP="005116FF">
      <w:pPr>
        <w:tabs>
          <w:tab w:val="left" w:pos="90"/>
        </w:tabs>
        <w:ind w:left="720"/>
        <w:rPr>
          <w:b/>
          <w:sz w:val="24"/>
        </w:rPr>
      </w:pPr>
      <w:r w:rsidRPr="00E3574F">
        <w:rPr>
          <w:b/>
          <w:sz w:val="24"/>
        </w:rPr>
        <w:t>Staff Response</w:t>
      </w:r>
    </w:p>
    <w:p w:rsidR="005116FF" w:rsidRPr="00A21A0E" w:rsidRDefault="00E3574F" w:rsidP="005116FF">
      <w:pPr>
        <w:tabs>
          <w:tab w:val="left" w:pos="90"/>
        </w:tabs>
        <w:ind w:left="720"/>
        <w:rPr>
          <w:b/>
          <w:sz w:val="24"/>
        </w:rPr>
      </w:pPr>
      <w:r w:rsidRPr="00E3574F">
        <w:rPr>
          <w:color w:val="000000"/>
          <w:sz w:val="24"/>
        </w:rPr>
        <w:t>Consumer Protection staff advised customer</w:t>
      </w:r>
      <w:r w:rsidRPr="00E3574F">
        <w:rPr>
          <w:sz w:val="24"/>
        </w:rPr>
        <w:t>s that the Department of Health (DOH) has primary jurisdiction over service connections, water quantity, and water quantity, and p</w:t>
      </w:r>
      <w:r w:rsidRPr="00E3574F">
        <w:rPr>
          <w:color w:val="000000"/>
          <w:sz w:val="24"/>
        </w:rPr>
        <w:t xml:space="preserve">rovided the DOH’s toll-free telephone number, 1-800-521-0323. </w:t>
      </w:r>
    </w:p>
    <w:p w:rsidR="005116FF" w:rsidRPr="00A21A0E" w:rsidRDefault="005116FF" w:rsidP="005116FF">
      <w:pPr>
        <w:tabs>
          <w:tab w:val="left" w:pos="90"/>
        </w:tabs>
        <w:ind w:left="720"/>
        <w:rPr>
          <w:b/>
          <w:sz w:val="24"/>
        </w:rPr>
      </w:pPr>
    </w:p>
    <w:p w:rsidR="001763AC" w:rsidRDefault="00E3574F">
      <w:pPr>
        <w:widowControl/>
        <w:numPr>
          <w:ilvl w:val="0"/>
          <w:numId w:val="8"/>
        </w:numPr>
        <w:autoSpaceDE/>
        <w:autoSpaceDN/>
        <w:adjustRightInd/>
        <w:rPr>
          <w:sz w:val="24"/>
        </w:rPr>
      </w:pPr>
      <w:r w:rsidRPr="00E3574F">
        <w:rPr>
          <w:b/>
          <w:sz w:val="24"/>
        </w:rPr>
        <w:t>General Comments</w:t>
      </w:r>
    </w:p>
    <w:p w:rsidR="005116FF" w:rsidRPr="00A21A0E" w:rsidRDefault="00E3574F" w:rsidP="005116FF">
      <w:pPr>
        <w:tabs>
          <w:tab w:val="left" w:pos="90"/>
        </w:tabs>
        <w:ind w:left="720"/>
        <w:rPr>
          <w:color w:val="000000"/>
          <w:sz w:val="24"/>
        </w:rPr>
      </w:pPr>
      <w:r w:rsidRPr="00E3574F">
        <w:rPr>
          <w:sz w:val="24"/>
        </w:rPr>
        <w:t xml:space="preserve">Two customers believe </w:t>
      </w:r>
      <w:r w:rsidRPr="00E3574F">
        <w:rPr>
          <w:color w:val="000000"/>
          <w:sz w:val="24"/>
        </w:rPr>
        <w:t>the amount of the increase is unacceptable and unaffordable.</w:t>
      </w:r>
    </w:p>
    <w:p w:rsidR="005116FF" w:rsidRPr="00A21A0E" w:rsidRDefault="005116FF" w:rsidP="005116FF">
      <w:pPr>
        <w:tabs>
          <w:tab w:val="left" w:pos="90"/>
        </w:tabs>
        <w:ind w:left="720"/>
        <w:rPr>
          <w:color w:val="000000"/>
          <w:sz w:val="24"/>
        </w:rPr>
      </w:pPr>
    </w:p>
    <w:p w:rsidR="005116FF" w:rsidRPr="00A21A0E" w:rsidRDefault="00E3574F" w:rsidP="005116FF">
      <w:pPr>
        <w:tabs>
          <w:tab w:val="left" w:pos="90"/>
        </w:tabs>
        <w:ind w:left="720"/>
        <w:rPr>
          <w:b/>
          <w:sz w:val="24"/>
        </w:rPr>
      </w:pPr>
      <w:r w:rsidRPr="00E3574F">
        <w:rPr>
          <w:b/>
          <w:color w:val="000000"/>
          <w:sz w:val="24"/>
        </w:rPr>
        <w:t xml:space="preserve">Staff Response  </w:t>
      </w:r>
    </w:p>
    <w:p w:rsidR="004E4EDE" w:rsidRDefault="00E3574F" w:rsidP="00813509">
      <w:pPr>
        <w:tabs>
          <w:tab w:val="left" w:pos="90"/>
        </w:tabs>
        <w:ind w:left="720"/>
        <w:rPr>
          <w:b/>
        </w:rPr>
      </w:pPr>
      <w:r w:rsidRPr="00E3574F">
        <w:rPr>
          <w:color w:val="000000"/>
          <w:sz w:val="24"/>
        </w:rPr>
        <w:t>Consumer Protection staff advised customer</w:t>
      </w:r>
      <w:r w:rsidRPr="00E3574F">
        <w:rPr>
          <w:sz w:val="24"/>
        </w:rPr>
        <w:t xml:space="preserve">s that state law requires rates to be fair and reasonable for customers, but </w:t>
      </w:r>
      <w:r w:rsidR="00ED1745">
        <w:t>sufficient</w:t>
      </w:r>
      <w:r w:rsidRPr="00E3574F">
        <w:rPr>
          <w:sz w:val="24"/>
        </w:rPr>
        <w:t xml:space="preserve"> to allow the company </w:t>
      </w:r>
      <w:r w:rsidR="00A21A0E">
        <w:t>the opportunity</w:t>
      </w:r>
      <w:r w:rsidRPr="00E3574F">
        <w:rPr>
          <w:sz w:val="24"/>
        </w:rPr>
        <w:t xml:space="preserve"> to recover operating expenses and earn a return on investment.</w:t>
      </w:r>
    </w:p>
    <w:p w:rsidR="007B12E3" w:rsidRDefault="007B12E3">
      <w:pPr>
        <w:widowControl/>
        <w:autoSpaceDE/>
        <w:autoSpaceDN/>
        <w:adjustRightInd/>
        <w:rPr>
          <w:sz w:val="24"/>
        </w:rPr>
      </w:pPr>
    </w:p>
    <w:p w:rsidR="00813509" w:rsidRDefault="00813509">
      <w:pPr>
        <w:widowControl/>
        <w:autoSpaceDE/>
        <w:autoSpaceDN/>
        <w:adjustRightInd/>
        <w:rPr>
          <w:sz w:val="24"/>
        </w:rPr>
      </w:pPr>
    </w:p>
    <w:p w:rsidR="00813509" w:rsidRDefault="00813509">
      <w:pPr>
        <w:widowControl/>
        <w:autoSpaceDE/>
        <w:autoSpaceDN/>
        <w:adjustRightInd/>
        <w:rPr>
          <w:sz w:val="24"/>
        </w:rPr>
      </w:pPr>
    </w:p>
    <w:p w:rsidR="00813509" w:rsidRDefault="00813509">
      <w:pPr>
        <w:widowControl/>
        <w:autoSpaceDE/>
        <w:autoSpaceDN/>
        <w:adjustRightInd/>
        <w:rPr>
          <w:sz w:val="24"/>
        </w:rPr>
      </w:pPr>
    </w:p>
    <w:p w:rsidR="00813509" w:rsidRDefault="00813509">
      <w:pPr>
        <w:widowControl/>
        <w:autoSpaceDE/>
        <w:autoSpaceDN/>
        <w:adjustRightInd/>
        <w:rPr>
          <w:sz w:val="24"/>
        </w:rPr>
      </w:pPr>
    </w:p>
    <w:p w:rsidR="00813509" w:rsidRDefault="00813509">
      <w:pPr>
        <w:widowControl/>
        <w:autoSpaceDE/>
        <w:autoSpaceDN/>
        <w:adjustRightInd/>
        <w:rPr>
          <w:sz w:val="24"/>
        </w:rPr>
      </w:pPr>
    </w:p>
    <w:p w:rsidR="00813509" w:rsidRPr="009442FC" w:rsidRDefault="00813509">
      <w:pPr>
        <w:widowControl/>
        <w:autoSpaceDE/>
        <w:autoSpaceDN/>
        <w:adjustRightInd/>
        <w:rPr>
          <w:sz w:val="24"/>
        </w:rPr>
      </w:pPr>
    </w:p>
    <w:p w:rsidR="00CD2C06" w:rsidRPr="00950B87" w:rsidRDefault="007C07AE" w:rsidP="00CD2C06">
      <w:pPr>
        <w:jc w:val="center"/>
        <w:rPr>
          <w:b/>
          <w:sz w:val="24"/>
          <w:u w:val="single"/>
        </w:rPr>
      </w:pPr>
      <w:r w:rsidRPr="00950B87">
        <w:rPr>
          <w:b/>
          <w:sz w:val="24"/>
          <w:u w:val="single"/>
        </w:rPr>
        <w:lastRenderedPageBreak/>
        <w:t>Rate Comparison</w:t>
      </w:r>
    </w:p>
    <w:p w:rsidR="00CD2C06" w:rsidRPr="009442FC" w:rsidRDefault="00CD2C06" w:rsidP="00CD2C06">
      <w:pPr>
        <w:rPr>
          <w:sz w:val="24"/>
        </w:rPr>
      </w:pPr>
    </w:p>
    <w:tbl>
      <w:tblPr>
        <w:tblW w:w="8197"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70"/>
        <w:gridCol w:w="1620"/>
        <w:gridCol w:w="1807"/>
      </w:tblGrid>
      <w:tr w:rsidR="00EC79ED" w:rsidRPr="009442FC" w:rsidTr="007B12E3">
        <w:tc>
          <w:tcPr>
            <w:tcW w:w="4770" w:type="dxa"/>
          </w:tcPr>
          <w:p w:rsidR="00EC79ED" w:rsidRPr="00950B87" w:rsidRDefault="00C21574" w:rsidP="00CD2C06">
            <w:pPr>
              <w:rPr>
                <w:b/>
                <w:sz w:val="24"/>
              </w:rPr>
            </w:pPr>
            <w:r w:rsidRPr="00950B87">
              <w:rPr>
                <w:b/>
                <w:sz w:val="24"/>
              </w:rPr>
              <w:t>Monthly Rate</w:t>
            </w:r>
          </w:p>
        </w:tc>
        <w:tc>
          <w:tcPr>
            <w:tcW w:w="1620" w:type="dxa"/>
          </w:tcPr>
          <w:p w:rsidR="00EC79ED" w:rsidRPr="00950B87" w:rsidRDefault="00EC79ED" w:rsidP="00CD2C06">
            <w:pPr>
              <w:jc w:val="center"/>
              <w:rPr>
                <w:b/>
                <w:sz w:val="24"/>
              </w:rPr>
            </w:pPr>
            <w:r w:rsidRPr="00950B87">
              <w:rPr>
                <w:b/>
                <w:sz w:val="24"/>
              </w:rPr>
              <w:t>Current Rate</w:t>
            </w:r>
          </w:p>
        </w:tc>
        <w:tc>
          <w:tcPr>
            <w:tcW w:w="1807" w:type="dxa"/>
          </w:tcPr>
          <w:p w:rsidR="00EC79ED" w:rsidRPr="00950B87" w:rsidRDefault="00EC79ED" w:rsidP="00CD2C06">
            <w:pPr>
              <w:jc w:val="center"/>
              <w:rPr>
                <w:b/>
                <w:sz w:val="24"/>
              </w:rPr>
            </w:pPr>
            <w:r w:rsidRPr="00950B87">
              <w:rPr>
                <w:b/>
                <w:sz w:val="24"/>
              </w:rPr>
              <w:t>Proposed Rate</w:t>
            </w:r>
          </w:p>
        </w:tc>
      </w:tr>
      <w:tr w:rsidR="007B12E3" w:rsidRPr="009442FC" w:rsidTr="007B12E3">
        <w:tc>
          <w:tcPr>
            <w:tcW w:w="4770" w:type="dxa"/>
          </w:tcPr>
          <w:p w:rsidR="007B12E3" w:rsidRPr="009442FC" w:rsidRDefault="007C07AE" w:rsidP="007B12E3">
            <w:pPr>
              <w:jc w:val="center"/>
              <w:rPr>
                <w:sz w:val="24"/>
              </w:rPr>
            </w:pPr>
            <w:r w:rsidRPr="007C07AE">
              <w:rPr>
                <w:sz w:val="24"/>
              </w:rPr>
              <w:t>Residential</w:t>
            </w:r>
          </w:p>
        </w:tc>
        <w:tc>
          <w:tcPr>
            <w:tcW w:w="1620" w:type="dxa"/>
          </w:tcPr>
          <w:p w:rsidR="007B12E3" w:rsidRPr="009442FC" w:rsidRDefault="007B12E3" w:rsidP="00CD2C06">
            <w:pPr>
              <w:jc w:val="center"/>
              <w:rPr>
                <w:sz w:val="24"/>
              </w:rPr>
            </w:pPr>
          </w:p>
        </w:tc>
        <w:tc>
          <w:tcPr>
            <w:tcW w:w="1807" w:type="dxa"/>
          </w:tcPr>
          <w:p w:rsidR="007B12E3" w:rsidRPr="009442FC" w:rsidRDefault="007B12E3" w:rsidP="00CD2C06">
            <w:pPr>
              <w:jc w:val="center"/>
              <w:rPr>
                <w:sz w:val="24"/>
              </w:rPr>
            </w:pPr>
          </w:p>
        </w:tc>
      </w:tr>
      <w:tr w:rsidR="008812B7" w:rsidRPr="009442FC" w:rsidTr="007B12E3">
        <w:tc>
          <w:tcPr>
            <w:tcW w:w="4770" w:type="dxa"/>
          </w:tcPr>
          <w:p w:rsidR="001763AC" w:rsidRDefault="008812B7">
            <w:pPr>
              <w:rPr>
                <w:sz w:val="24"/>
              </w:rPr>
            </w:pPr>
            <w:r w:rsidRPr="009442FC">
              <w:rPr>
                <w:sz w:val="24"/>
              </w:rPr>
              <w:t>Ready</w:t>
            </w:r>
            <w:r w:rsidR="00960DE4">
              <w:rPr>
                <w:sz w:val="24"/>
              </w:rPr>
              <w:t>-t</w:t>
            </w:r>
            <w:r w:rsidR="009442FC" w:rsidRPr="009442FC">
              <w:rPr>
                <w:sz w:val="24"/>
              </w:rPr>
              <w:t>o</w:t>
            </w:r>
            <w:r w:rsidR="00960DE4">
              <w:rPr>
                <w:sz w:val="24"/>
              </w:rPr>
              <w:t>-</w:t>
            </w:r>
            <w:r w:rsidRPr="009442FC">
              <w:rPr>
                <w:sz w:val="24"/>
              </w:rPr>
              <w:t>Serve</w:t>
            </w:r>
          </w:p>
        </w:tc>
        <w:tc>
          <w:tcPr>
            <w:tcW w:w="1620" w:type="dxa"/>
          </w:tcPr>
          <w:p w:rsidR="008812B7" w:rsidRPr="009442FC" w:rsidRDefault="00CC3A14" w:rsidP="00CD2C06">
            <w:pPr>
              <w:jc w:val="center"/>
              <w:rPr>
                <w:sz w:val="24"/>
              </w:rPr>
            </w:pPr>
            <w:r>
              <w:rPr>
                <w:sz w:val="24"/>
              </w:rPr>
              <w:t>$17.50</w:t>
            </w:r>
          </w:p>
        </w:tc>
        <w:tc>
          <w:tcPr>
            <w:tcW w:w="1807" w:type="dxa"/>
          </w:tcPr>
          <w:p w:rsidR="008812B7" w:rsidRPr="009442FC" w:rsidRDefault="009442FC" w:rsidP="00CC3A14">
            <w:pPr>
              <w:jc w:val="center"/>
              <w:rPr>
                <w:sz w:val="24"/>
              </w:rPr>
            </w:pPr>
            <w:r w:rsidRPr="009442FC">
              <w:rPr>
                <w:sz w:val="24"/>
              </w:rPr>
              <w:t>$</w:t>
            </w:r>
            <w:r w:rsidR="00CC3A14">
              <w:rPr>
                <w:sz w:val="24"/>
              </w:rPr>
              <w:t>25</w:t>
            </w:r>
            <w:r w:rsidRPr="009442FC">
              <w:rPr>
                <w:sz w:val="24"/>
              </w:rPr>
              <w:t>.</w:t>
            </w:r>
            <w:r w:rsidR="00CC3A14">
              <w:rPr>
                <w:sz w:val="24"/>
              </w:rPr>
              <w:t>8</w:t>
            </w:r>
            <w:r w:rsidRPr="009442FC">
              <w:rPr>
                <w:sz w:val="24"/>
              </w:rPr>
              <w:t>5</w:t>
            </w:r>
          </w:p>
        </w:tc>
      </w:tr>
      <w:tr w:rsidR="008812B7" w:rsidRPr="009442FC" w:rsidTr="008812B7">
        <w:tc>
          <w:tcPr>
            <w:tcW w:w="4770" w:type="dxa"/>
          </w:tcPr>
          <w:p w:rsidR="001763AC" w:rsidRDefault="008812B7">
            <w:pPr>
              <w:rPr>
                <w:sz w:val="24"/>
              </w:rPr>
            </w:pPr>
            <w:r w:rsidRPr="009442FC">
              <w:rPr>
                <w:sz w:val="24"/>
              </w:rPr>
              <w:t xml:space="preserve">Base </w:t>
            </w:r>
            <w:r w:rsidR="00960DE4">
              <w:rPr>
                <w:sz w:val="24"/>
              </w:rPr>
              <w:t>Meter</w:t>
            </w:r>
            <w:r w:rsidRPr="009442FC">
              <w:rPr>
                <w:sz w:val="24"/>
              </w:rPr>
              <w:t xml:space="preserve"> </w:t>
            </w:r>
            <w:r w:rsidR="009442FC" w:rsidRPr="009442FC">
              <w:rPr>
                <w:sz w:val="24"/>
              </w:rPr>
              <w:t>(3/4 Inch Meter, Zero Allowance)</w:t>
            </w:r>
          </w:p>
        </w:tc>
        <w:tc>
          <w:tcPr>
            <w:tcW w:w="1620" w:type="dxa"/>
          </w:tcPr>
          <w:p w:rsidR="008812B7" w:rsidRPr="009442FC" w:rsidRDefault="00893271" w:rsidP="00893271">
            <w:pPr>
              <w:jc w:val="center"/>
              <w:rPr>
                <w:sz w:val="24"/>
              </w:rPr>
            </w:pPr>
            <w:r>
              <w:rPr>
                <w:sz w:val="24"/>
              </w:rPr>
              <w:t>$20.00</w:t>
            </w:r>
          </w:p>
        </w:tc>
        <w:tc>
          <w:tcPr>
            <w:tcW w:w="1807" w:type="dxa"/>
          </w:tcPr>
          <w:p w:rsidR="008812B7" w:rsidRPr="009442FC" w:rsidRDefault="009442FC" w:rsidP="00893271">
            <w:pPr>
              <w:jc w:val="center"/>
              <w:rPr>
                <w:sz w:val="24"/>
              </w:rPr>
            </w:pPr>
            <w:r w:rsidRPr="009442FC">
              <w:rPr>
                <w:sz w:val="24"/>
              </w:rPr>
              <w:t>$</w:t>
            </w:r>
            <w:r w:rsidR="00893271">
              <w:rPr>
                <w:sz w:val="24"/>
              </w:rPr>
              <w:t>29</w:t>
            </w:r>
            <w:r w:rsidRPr="009442FC">
              <w:rPr>
                <w:sz w:val="24"/>
              </w:rPr>
              <w:t>.5</w:t>
            </w:r>
            <w:r w:rsidR="00893271">
              <w:rPr>
                <w:sz w:val="24"/>
              </w:rPr>
              <w:t>5</w:t>
            </w:r>
          </w:p>
        </w:tc>
      </w:tr>
      <w:tr w:rsidR="00EC79ED" w:rsidRPr="009442FC" w:rsidTr="007B12E3">
        <w:tc>
          <w:tcPr>
            <w:tcW w:w="4770" w:type="dxa"/>
          </w:tcPr>
          <w:p w:rsidR="00EC79ED" w:rsidRPr="009442FC" w:rsidRDefault="009442FC" w:rsidP="00893271">
            <w:pPr>
              <w:rPr>
                <w:sz w:val="24"/>
              </w:rPr>
            </w:pPr>
            <w:r w:rsidRPr="009442FC">
              <w:rPr>
                <w:sz w:val="24"/>
              </w:rPr>
              <w:t xml:space="preserve">0 - 500 </w:t>
            </w:r>
            <w:r w:rsidR="00893271">
              <w:rPr>
                <w:sz w:val="24"/>
              </w:rPr>
              <w:t>Cubic Feet</w:t>
            </w:r>
            <w:r w:rsidRPr="009442FC">
              <w:rPr>
                <w:sz w:val="24"/>
              </w:rPr>
              <w:t xml:space="preserve">, Per 100 </w:t>
            </w:r>
            <w:r w:rsidR="00893271">
              <w:rPr>
                <w:sz w:val="24"/>
              </w:rPr>
              <w:t>Cubic Feet</w:t>
            </w:r>
          </w:p>
        </w:tc>
        <w:tc>
          <w:tcPr>
            <w:tcW w:w="1620" w:type="dxa"/>
          </w:tcPr>
          <w:p w:rsidR="00EC79ED" w:rsidRPr="009442FC" w:rsidRDefault="00D44466" w:rsidP="00CD2C06">
            <w:pPr>
              <w:jc w:val="center"/>
              <w:rPr>
                <w:sz w:val="24"/>
              </w:rPr>
            </w:pPr>
            <w:r>
              <w:rPr>
                <w:sz w:val="24"/>
              </w:rPr>
              <w:t>$0.70</w:t>
            </w:r>
          </w:p>
        </w:tc>
        <w:tc>
          <w:tcPr>
            <w:tcW w:w="1807" w:type="dxa"/>
          </w:tcPr>
          <w:p w:rsidR="00EC79ED" w:rsidRPr="009442FC" w:rsidRDefault="009442FC" w:rsidP="00D44466">
            <w:pPr>
              <w:jc w:val="center"/>
              <w:rPr>
                <w:sz w:val="24"/>
              </w:rPr>
            </w:pPr>
            <w:r w:rsidRPr="009442FC">
              <w:rPr>
                <w:sz w:val="24"/>
              </w:rPr>
              <w:t>$1.0</w:t>
            </w:r>
            <w:r w:rsidR="00D44466">
              <w:rPr>
                <w:sz w:val="24"/>
              </w:rPr>
              <w:t>3</w:t>
            </w:r>
          </w:p>
        </w:tc>
      </w:tr>
      <w:tr w:rsidR="00CD2C06" w:rsidRPr="009442FC" w:rsidTr="007B12E3">
        <w:tc>
          <w:tcPr>
            <w:tcW w:w="4770" w:type="dxa"/>
          </w:tcPr>
          <w:p w:rsidR="00CD2C06" w:rsidRPr="009442FC" w:rsidRDefault="009442FC" w:rsidP="00D44466">
            <w:pPr>
              <w:rPr>
                <w:sz w:val="24"/>
              </w:rPr>
            </w:pPr>
            <w:r w:rsidRPr="009442FC">
              <w:rPr>
                <w:sz w:val="24"/>
              </w:rPr>
              <w:t xml:space="preserve">501 </w:t>
            </w:r>
            <w:r w:rsidR="00D44466">
              <w:rPr>
                <w:sz w:val="24"/>
              </w:rPr>
              <w:t>–</w:t>
            </w:r>
            <w:r w:rsidRPr="009442FC">
              <w:rPr>
                <w:sz w:val="24"/>
              </w:rPr>
              <w:t xml:space="preserve"> 1</w:t>
            </w:r>
            <w:r w:rsidR="00D44466">
              <w:rPr>
                <w:sz w:val="24"/>
              </w:rPr>
              <w:t>,2</w:t>
            </w:r>
            <w:r w:rsidRPr="009442FC">
              <w:rPr>
                <w:sz w:val="24"/>
              </w:rPr>
              <w:t xml:space="preserve">00 </w:t>
            </w:r>
            <w:r w:rsidR="003F635E">
              <w:rPr>
                <w:sz w:val="24"/>
              </w:rPr>
              <w:t>Cubic Feet</w:t>
            </w:r>
            <w:r w:rsidRPr="009442FC">
              <w:rPr>
                <w:sz w:val="24"/>
              </w:rPr>
              <w:t xml:space="preserve">, Per 100 </w:t>
            </w:r>
            <w:r w:rsidR="003F635E">
              <w:rPr>
                <w:sz w:val="24"/>
              </w:rPr>
              <w:t>Cubic Feet</w:t>
            </w:r>
          </w:p>
        </w:tc>
        <w:tc>
          <w:tcPr>
            <w:tcW w:w="1620" w:type="dxa"/>
          </w:tcPr>
          <w:p w:rsidR="00CD2C06" w:rsidRPr="009442FC" w:rsidRDefault="009442FC" w:rsidP="00D44466">
            <w:pPr>
              <w:jc w:val="center"/>
              <w:rPr>
                <w:sz w:val="24"/>
              </w:rPr>
            </w:pPr>
            <w:r w:rsidRPr="009442FC">
              <w:rPr>
                <w:sz w:val="24"/>
              </w:rPr>
              <w:t>$</w:t>
            </w:r>
            <w:r w:rsidR="00D44466">
              <w:rPr>
                <w:sz w:val="24"/>
              </w:rPr>
              <w:t>1.1</w:t>
            </w:r>
            <w:r w:rsidRPr="009442FC">
              <w:rPr>
                <w:sz w:val="24"/>
              </w:rPr>
              <w:t>5</w:t>
            </w:r>
          </w:p>
        </w:tc>
        <w:tc>
          <w:tcPr>
            <w:tcW w:w="1807" w:type="dxa"/>
          </w:tcPr>
          <w:p w:rsidR="00CD2C06" w:rsidRPr="009442FC" w:rsidRDefault="009442FC" w:rsidP="00D44466">
            <w:pPr>
              <w:jc w:val="center"/>
              <w:rPr>
                <w:sz w:val="24"/>
              </w:rPr>
            </w:pPr>
            <w:r w:rsidRPr="009442FC">
              <w:rPr>
                <w:sz w:val="24"/>
              </w:rPr>
              <w:t>$1.</w:t>
            </w:r>
            <w:r w:rsidR="00D44466">
              <w:rPr>
                <w:sz w:val="24"/>
              </w:rPr>
              <w:t>7</w:t>
            </w:r>
            <w:r w:rsidRPr="009442FC">
              <w:rPr>
                <w:sz w:val="24"/>
              </w:rPr>
              <w:t>0</w:t>
            </w:r>
          </w:p>
        </w:tc>
      </w:tr>
      <w:tr w:rsidR="00D44466" w:rsidRPr="009442FC" w:rsidTr="00151379">
        <w:tc>
          <w:tcPr>
            <w:tcW w:w="4770" w:type="dxa"/>
          </w:tcPr>
          <w:p w:rsidR="00D44466" w:rsidRPr="009442FC" w:rsidRDefault="00D44466" w:rsidP="00D44466">
            <w:pPr>
              <w:rPr>
                <w:sz w:val="24"/>
              </w:rPr>
            </w:pPr>
            <w:r>
              <w:rPr>
                <w:sz w:val="24"/>
              </w:rPr>
              <w:t>1,2</w:t>
            </w:r>
            <w:r w:rsidRPr="009442FC">
              <w:rPr>
                <w:sz w:val="24"/>
              </w:rPr>
              <w:t xml:space="preserve">01 </w:t>
            </w:r>
            <w:r>
              <w:rPr>
                <w:sz w:val="24"/>
              </w:rPr>
              <w:t>–</w:t>
            </w:r>
            <w:r w:rsidRPr="009442FC">
              <w:rPr>
                <w:sz w:val="24"/>
              </w:rPr>
              <w:t xml:space="preserve"> 1</w:t>
            </w:r>
            <w:r>
              <w:rPr>
                <w:sz w:val="24"/>
              </w:rPr>
              <w:t>,8</w:t>
            </w:r>
            <w:r w:rsidRPr="009442FC">
              <w:rPr>
                <w:sz w:val="24"/>
              </w:rPr>
              <w:t xml:space="preserve">00 </w:t>
            </w:r>
            <w:r>
              <w:rPr>
                <w:sz w:val="24"/>
              </w:rPr>
              <w:t>Cubic Feet</w:t>
            </w:r>
            <w:r w:rsidRPr="009442FC">
              <w:rPr>
                <w:sz w:val="24"/>
              </w:rPr>
              <w:t xml:space="preserve">, Per 100 </w:t>
            </w:r>
            <w:r>
              <w:rPr>
                <w:sz w:val="24"/>
              </w:rPr>
              <w:t>Cubic Feet</w:t>
            </w:r>
          </w:p>
        </w:tc>
        <w:tc>
          <w:tcPr>
            <w:tcW w:w="1620" w:type="dxa"/>
          </w:tcPr>
          <w:p w:rsidR="00D44466" w:rsidRPr="009442FC" w:rsidRDefault="00D44466" w:rsidP="00D44466">
            <w:pPr>
              <w:jc w:val="center"/>
              <w:rPr>
                <w:sz w:val="24"/>
              </w:rPr>
            </w:pPr>
            <w:r w:rsidRPr="009442FC">
              <w:rPr>
                <w:sz w:val="24"/>
              </w:rPr>
              <w:t>$</w:t>
            </w:r>
            <w:r>
              <w:rPr>
                <w:sz w:val="24"/>
              </w:rPr>
              <w:t>3.00</w:t>
            </w:r>
          </w:p>
        </w:tc>
        <w:tc>
          <w:tcPr>
            <w:tcW w:w="1807" w:type="dxa"/>
          </w:tcPr>
          <w:p w:rsidR="00D44466" w:rsidRPr="009442FC" w:rsidRDefault="00D44466" w:rsidP="00151379">
            <w:pPr>
              <w:jc w:val="center"/>
              <w:rPr>
                <w:sz w:val="24"/>
              </w:rPr>
            </w:pPr>
            <w:r w:rsidRPr="009442FC">
              <w:rPr>
                <w:sz w:val="24"/>
              </w:rPr>
              <w:t>$</w:t>
            </w:r>
            <w:r w:rsidR="004500CC">
              <w:rPr>
                <w:sz w:val="24"/>
              </w:rPr>
              <w:t>4.43</w:t>
            </w:r>
          </w:p>
        </w:tc>
      </w:tr>
      <w:tr w:rsidR="00D44466" w:rsidRPr="009442FC" w:rsidTr="00151379">
        <w:tc>
          <w:tcPr>
            <w:tcW w:w="4770" w:type="dxa"/>
          </w:tcPr>
          <w:p w:rsidR="00D44466" w:rsidRPr="009442FC" w:rsidRDefault="004500CC" w:rsidP="004500CC">
            <w:pPr>
              <w:rPr>
                <w:sz w:val="24"/>
              </w:rPr>
            </w:pPr>
            <w:r>
              <w:rPr>
                <w:sz w:val="24"/>
              </w:rPr>
              <w:t>1,8</w:t>
            </w:r>
            <w:r w:rsidR="00D44466" w:rsidRPr="009442FC">
              <w:rPr>
                <w:sz w:val="24"/>
              </w:rPr>
              <w:t xml:space="preserve">01 </w:t>
            </w:r>
            <w:r w:rsidR="00D44466">
              <w:rPr>
                <w:sz w:val="24"/>
              </w:rPr>
              <w:t>–</w:t>
            </w:r>
            <w:r w:rsidR="00D44466" w:rsidRPr="009442FC">
              <w:rPr>
                <w:sz w:val="24"/>
              </w:rPr>
              <w:t xml:space="preserve"> </w:t>
            </w:r>
            <w:r>
              <w:rPr>
                <w:sz w:val="24"/>
              </w:rPr>
              <w:t>3</w:t>
            </w:r>
            <w:r w:rsidR="00D44466">
              <w:rPr>
                <w:sz w:val="24"/>
              </w:rPr>
              <w:t>,2</w:t>
            </w:r>
            <w:r w:rsidR="00D44466" w:rsidRPr="009442FC">
              <w:rPr>
                <w:sz w:val="24"/>
              </w:rPr>
              <w:t xml:space="preserve">00 </w:t>
            </w:r>
            <w:r w:rsidR="00D44466">
              <w:rPr>
                <w:sz w:val="24"/>
              </w:rPr>
              <w:t>Cubic Feet</w:t>
            </w:r>
            <w:r w:rsidR="00D44466" w:rsidRPr="009442FC">
              <w:rPr>
                <w:sz w:val="24"/>
              </w:rPr>
              <w:t xml:space="preserve">, Per 100 </w:t>
            </w:r>
            <w:r w:rsidR="00D44466">
              <w:rPr>
                <w:sz w:val="24"/>
              </w:rPr>
              <w:t>Cubic Feet</w:t>
            </w:r>
          </w:p>
        </w:tc>
        <w:tc>
          <w:tcPr>
            <w:tcW w:w="1620" w:type="dxa"/>
          </w:tcPr>
          <w:p w:rsidR="00D44466" w:rsidRPr="009442FC" w:rsidRDefault="00D44466" w:rsidP="004500CC">
            <w:pPr>
              <w:jc w:val="center"/>
              <w:rPr>
                <w:sz w:val="24"/>
              </w:rPr>
            </w:pPr>
            <w:r w:rsidRPr="009442FC">
              <w:rPr>
                <w:sz w:val="24"/>
              </w:rPr>
              <w:t>$</w:t>
            </w:r>
            <w:r w:rsidR="004500CC">
              <w:rPr>
                <w:sz w:val="24"/>
              </w:rPr>
              <w:t>4.00</w:t>
            </w:r>
          </w:p>
        </w:tc>
        <w:tc>
          <w:tcPr>
            <w:tcW w:w="1807" w:type="dxa"/>
          </w:tcPr>
          <w:p w:rsidR="00D44466" w:rsidRPr="009442FC" w:rsidRDefault="00D44466" w:rsidP="004500CC">
            <w:pPr>
              <w:jc w:val="center"/>
              <w:rPr>
                <w:sz w:val="24"/>
              </w:rPr>
            </w:pPr>
            <w:r w:rsidRPr="009442FC">
              <w:rPr>
                <w:sz w:val="24"/>
              </w:rPr>
              <w:t>$</w:t>
            </w:r>
            <w:r w:rsidR="004500CC">
              <w:rPr>
                <w:sz w:val="24"/>
              </w:rPr>
              <w:t>5</w:t>
            </w:r>
            <w:r w:rsidRPr="009442FC">
              <w:rPr>
                <w:sz w:val="24"/>
              </w:rPr>
              <w:t>.</w:t>
            </w:r>
            <w:r w:rsidR="004500CC">
              <w:rPr>
                <w:sz w:val="24"/>
              </w:rPr>
              <w:t>9</w:t>
            </w:r>
            <w:r w:rsidRPr="009442FC">
              <w:rPr>
                <w:sz w:val="24"/>
              </w:rPr>
              <w:t>0</w:t>
            </w:r>
          </w:p>
        </w:tc>
      </w:tr>
      <w:tr w:rsidR="00CD2C06" w:rsidRPr="009442FC" w:rsidTr="007B12E3">
        <w:tc>
          <w:tcPr>
            <w:tcW w:w="4770" w:type="dxa"/>
          </w:tcPr>
          <w:p w:rsidR="00CD2C06" w:rsidRPr="009442FC" w:rsidRDefault="00CD2C06" w:rsidP="004500CC">
            <w:pPr>
              <w:rPr>
                <w:sz w:val="24"/>
              </w:rPr>
            </w:pPr>
            <w:r w:rsidRPr="009442FC">
              <w:rPr>
                <w:sz w:val="24"/>
              </w:rPr>
              <w:t xml:space="preserve">Over </w:t>
            </w:r>
            <w:r w:rsidR="004500CC">
              <w:rPr>
                <w:sz w:val="24"/>
              </w:rPr>
              <w:t>3</w:t>
            </w:r>
            <w:r w:rsidR="009442FC" w:rsidRPr="009442FC">
              <w:rPr>
                <w:sz w:val="24"/>
              </w:rPr>
              <w:t>,</w:t>
            </w:r>
            <w:r w:rsidR="004500CC">
              <w:rPr>
                <w:sz w:val="24"/>
              </w:rPr>
              <w:t>2</w:t>
            </w:r>
            <w:r w:rsidR="009442FC" w:rsidRPr="009442FC">
              <w:rPr>
                <w:sz w:val="24"/>
              </w:rPr>
              <w:t xml:space="preserve">00 </w:t>
            </w:r>
            <w:r w:rsidR="003F635E">
              <w:rPr>
                <w:sz w:val="24"/>
              </w:rPr>
              <w:t>Cubic Feet</w:t>
            </w:r>
            <w:r w:rsidR="009442FC" w:rsidRPr="009442FC">
              <w:rPr>
                <w:sz w:val="24"/>
              </w:rPr>
              <w:t xml:space="preserve">, Per 100 </w:t>
            </w:r>
            <w:r w:rsidR="003F635E">
              <w:rPr>
                <w:sz w:val="24"/>
              </w:rPr>
              <w:t>Cubic Feet</w:t>
            </w:r>
          </w:p>
        </w:tc>
        <w:tc>
          <w:tcPr>
            <w:tcW w:w="1620" w:type="dxa"/>
          </w:tcPr>
          <w:p w:rsidR="00CD2C06" w:rsidRPr="009442FC" w:rsidRDefault="009442FC" w:rsidP="004500CC">
            <w:pPr>
              <w:jc w:val="center"/>
              <w:rPr>
                <w:sz w:val="24"/>
              </w:rPr>
            </w:pPr>
            <w:r w:rsidRPr="009442FC">
              <w:rPr>
                <w:sz w:val="24"/>
              </w:rPr>
              <w:t>$</w:t>
            </w:r>
            <w:r w:rsidR="004500CC">
              <w:rPr>
                <w:sz w:val="24"/>
              </w:rPr>
              <w:t>4.90</w:t>
            </w:r>
          </w:p>
        </w:tc>
        <w:tc>
          <w:tcPr>
            <w:tcW w:w="1807" w:type="dxa"/>
          </w:tcPr>
          <w:p w:rsidR="00CD2C06" w:rsidRPr="009442FC" w:rsidRDefault="009442FC" w:rsidP="004500CC">
            <w:pPr>
              <w:jc w:val="center"/>
              <w:rPr>
                <w:sz w:val="24"/>
              </w:rPr>
            </w:pPr>
            <w:r w:rsidRPr="009442FC">
              <w:rPr>
                <w:sz w:val="24"/>
              </w:rPr>
              <w:t>$</w:t>
            </w:r>
            <w:r w:rsidR="004500CC">
              <w:rPr>
                <w:sz w:val="24"/>
              </w:rPr>
              <w:t>7.25</w:t>
            </w:r>
          </w:p>
        </w:tc>
      </w:tr>
      <w:tr w:rsidR="00950B87" w:rsidRPr="009442FC" w:rsidTr="007B12E3">
        <w:tc>
          <w:tcPr>
            <w:tcW w:w="4770" w:type="dxa"/>
            <w:vAlign w:val="bottom"/>
          </w:tcPr>
          <w:p w:rsidR="00950B87" w:rsidRPr="007C07AE" w:rsidRDefault="00950B87" w:rsidP="0099378A">
            <w:pPr>
              <w:jc w:val="center"/>
              <w:rPr>
                <w:sz w:val="24"/>
              </w:rPr>
            </w:pPr>
          </w:p>
        </w:tc>
        <w:tc>
          <w:tcPr>
            <w:tcW w:w="1620" w:type="dxa"/>
            <w:vAlign w:val="bottom"/>
          </w:tcPr>
          <w:p w:rsidR="00950B87" w:rsidRPr="009442FC" w:rsidRDefault="00950B87" w:rsidP="0099378A">
            <w:pPr>
              <w:jc w:val="center"/>
              <w:rPr>
                <w:sz w:val="24"/>
              </w:rPr>
            </w:pPr>
          </w:p>
        </w:tc>
        <w:tc>
          <w:tcPr>
            <w:tcW w:w="1807" w:type="dxa"/>
            <w:vAlign w:val="bottom"/>
          </w:tcPr>
          <w:p w:rsidR="00950B87" w:rsidRPr="009442FC" w:rsidRDefault="00950B87" w:rsidP="0099378A">
            <w:pPr>
              <w:jc w:val="center"/>
              <w:rPr>
                <w:sz w:val="24"/>
              </w:rPr>
            </w:pPr>
          </w:p>
        </w:tc>
      </w:tr>
      <w:tr w:rsidR="00CD2C06" w:rsidRPr="009442FC" w:rsidTr="007B12E3">
        <w:tc>
          <w:tcPr>
            <w:tcW w:w="4770" w:type="dxa"/>
            <w:vAlign w:val="bottom"/>
          </w:tcPr>
          <w:p w:rsidR="00CD2C06" w:rsidRPr="009442FC" w:rsidRDefault="007C07AE" w:rsidP="004500CC">
            <w:pPr>
              <w:jc w:val="center"/>
              <w:rPr>
                <w:sz w:val="24"/>
              </w:rPr>
            </w:pPr>
            <w:r w:rsidRPr="007C07AE">
              <w:rPr>
                <w:sz w:val="24"/>
              </w:rPr>
              <w:t>M</w:t>
            </w:r>
            <w:r w:rsidR="004500CC">
              <w:rPr>
                <w:sz w:val="24"/>
              </w:rPr>
              <w:t>aster Metered Units</w:t>
            </w:r>
          </w:p>
        </w:tc>
        <w:tc>
          <w:tcPr>
            <w:tcW w:w="1620" w:type="dxa"/>
            <w:vAlign w:val="bottom"/>
          </w:tcPr>
          <w:p w:rsidR="00CD2C06" w:rsidRPr="009442FC" w:rsidRDefault="00CD2C06" w:rsidP="0099378A">
            <w:pPr>
              <w:jc w:val="center"/>
              <w:rPr>
                <w:sz w:val="24"/>
              </w:rPr>
            </w:pPr>
          </w:p>
        </w:tc>
        <w:tc>
          <w:tcPr>
            <w:tcW w:w="1807" w:type="dxa"/>
            <w:vAlign w:val="bottom"/>
          </w:tcPr>
          <w:p w:rsidR="00CD2C06" w:rsidRPr="009442FC" w:rsidRDefault="00CD2C06" w:rsidP="0099378A">
            <w:pPr>
              <w:jc w:val="center"/>
              <w:rPr>
                <w:sz w:val="24"/>
              </w:rPr>
            </w:pPr>
          </w:p>
        </w:tc>
      </w:tr>
      <w:tr w:rsidR="00CD2C06" w:rsidRPr="009442FC" w:rsidTr="007B12E3">
        <w:tc>
          <w:tcPr>
            <w:tcW w:w="4770" w:type="dxa"/>
            <w:vAlign w:val="bottom"/>
          </w:tcPr>
          <w:p w:rsidR="001763AC" w:rsidRDefault="00CD2C06">
            <w:pPr>
              <w:rPr>
                <w:sz w:val="24"/>
              </w:rPr>
            </w:pPr>
            <w:r w:rsidRPr="009442FC">
              <w:rPr>
                <w:sz w:val="24"/>
              </w:rPr>
              <w:t xml:space="preserve">Base </w:t>
            </w:r>
            <w:r w:rsidR="00960DE4">
              <w:rPr>
                <w:sz w:val="24"/>
              </w:rPr>
              <w:t>Meter</w:t>
            </w:r>
            <w:r w:rsidR="00960DE4" w:rsidRPr="009442FC">
              <w:rPr>
                <w:sz w:val="24"/>
              </w:rPr>
              <w:t xml:space="preserve"> </w:t>
            </w:r>
          </w:p>
        </w:tc>
        <w:tc>
          <w:tcPr>
            <w:tcW w:w="1620" w:type="dxa"/>
            <w:vAlign w:val="bottom"/>
          </w:tcPr>
          <w:p w:rsidR="00CD2C06" w:rsidRPr="009442FC" w:rsidRDefault="004500CC" w:rsidP="0099378A">
            <w:pPr>
              <w:jc w:val="center"/>
              <w:rPr>
                <w:sz w:val="24"/>
              </w:rPr>
            </w:pPr>
            <w:r>
              <w:rPr>
                <w:sz w:val="24"/>
              </w:rPr>
              <w:t>$20.00</w:t>
            </w:r>
          </w:p>
        </w:tc>
        <w:tc>
          <w:tcPr>
            <w:tcW w:w="1807" w:type="dxa"/>
            <w:vAlign w:val="bottom"/>
          </w:tcPr>
          <w:p w:rsidR="00CD2C06" w:rsidRPr="009442FC" w:rsidRDefault="004500CC" w:rsidP="00677A86">
            <w:pPr>
              <w:jc w:val="center"/>
              <w:rPr>
                <w:sz w:val="24"/>
              </w:rPr>
            </w:pPr>
            <w:r>
              <w:rPr>
                <w:sz w:val="24"/>
              </w:rPr>
              <w:t>$29.55</w:t>
            </w:r>
          </w:p>
        </w:tc>
      </w:tr>
      <w:tr w:rsidR="008812B7" w:rsidRPr="009442FC" w:rsidTr="008812B7">
        <w:tc>
          <w:tcPr>
            <w:tcW w:w="4770" w:type="dxa"/>
            <w:vAlign w:val="bottom"/>
          </w:tcPr>
          <w:p w:rsidR="008812B7" w:rsidRPr="009442FC" w:rsidRDefault="006D7CA2" w:rsidP="004500CC">
            <w:pPr>
              <w:rPr>
                <w:sz w:val="24"/>
              </w:rPr>
            </w:pPr>
            <w:r>
              <w:rPr>
                <w:sz w:val="24"/>
              </w:rPr>
              <w:t>Each</w:t>
            </w:r>
            <w:r w:rsidR="004500CC">
              <w:rPr>
                <w:sz w:val="24"/>
              </w:rPr>
              <w:t xml:space="preserve"> additional Unit</w:t>
            </w:r>
          </w:p>
        </w:tc>
        <w:tc>
          <w:tcPr>
            <w:tcW w:w="1620" w:type="dxa"/>
            <w:vAlign w:val="bottom"/>
          </w:tcPr>
          <w:p w:rsidR="008812B7" w:rsidRPr="009442FC" w:rsidRDefault="004500CC" w:rsidP="008812B7">
            <w:pPr>
              <w:jc w:val="center"/>
              <w:rPr>
                <w:sz w:val="24"/>
              </w:rPr>
            </w:pPr>
            <w:r>
              <w:rPr>
                <w:sz w:val="24"/>
              </w:rPr>
              <w:t>$18.00</w:t>
            </w:r>
          </w:p>
        </w:tc>
        <w:tc>
          <w:tcPr>
            <w:tcW w:w="1807" w:type="dxa"/>
            <w:vAlign w:val="bottom"/>
          </w:tcPr>
          <w:p w:rsidR="008812B7" w:rsidRPr="009442FC" w:rsidRDefault="009442FC" w:rsidP="004500CC">
            <w:pPr>
              <w:jc w:val="center"/>
              <w:rPr>
                <w:sz w:val="24"/>
              </w:rPr>
            </w:pPr>
            <w:r w:rsidRPr="009442FC">
              <w:rPr>
                <w:sz w:val="24"/>
              </w:rPr>
              <w:t>$</w:t>
            </w:r>
            <w:r w:rsidR="004500CC">
              <w:rPr>
                <w:sz w:val="24"/>
              </w:rPr>
              <w:t>26.6</w:t>
            </w:r>
            <w:r w:rsidRPr="009442FC">
              <w:rPr>
                <w:sz w:val="24"/>
              </w:rPr>
              <w:t>0</w:t>
            </w:r>
          </w:p>
        </w:tc>
      </w:tr>
    </w:tbl>
    <w:p w:rsidR="00CD2C06" w:rsidRPr="009442FC" w:rsidRDefault="00CD2C06" w:rsidP="00C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D2C06" w:rsidRPr="00950B87" w:rsidRDefault="007C07AE" w:rsidP="00CD2C06">
      <w:pPr>
        <w:jc w:val="center"/>
        <w:rPr>
          <w:b/>
          <w:sz w:val="24"/>
          <w:u w:val="single"/>
        </w:rPr>
      </w:pPr>
      <w:r w:rsidRPr="00950B87">
        <w:rPr>
          <w:b/>
          <w:sz w:val="24"/>
          <w:u w:val="single"/>
        </w:rPr>
        <w:t>Average Monthly Bill Comparison, Residential Customers</w:t>
      </w:r>
    </w:p>
    <w:p w:rsidR="00CD2C06" w:rsidRPr="009442FC" w:rsidRDefault="00CD2C06" w:rsidP="00C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8197"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70"/>
        <w:gridCol w:w="1620"/>
        <w:gridCol w:w="1807"/>
      </w:tblGrid>
      <w:tr w:rsidR="007B12E3" w:rsidRPr="009442FC" w:rsidTr="00031B0B">
        <w:tc>
          <w:tcPr>
            <w:tcW w:w="4770" w:type="dxa"/>
          </w:tcPr>
          <w:p w:rsidR="001763AC" w:rsidRDefault="00615FDB">
            <w:pPr>
              <w:rPr>
                <w:sz w:val="24"/>
              </w:rPr>
            </w:pPr>
            <w:r>
              <w:rPr>
                <w:sz w:val="24"/>
              </w:rPr>
              <w:t>852</w:t>
            </w:r>
            <w:r w:rsidR="009442FC" w:rsidRPr="009442FC">
              <w:rPr>
                <w:sz w:val="24"/>
              </w:rPr>
              <w:t xml:space="preserve"> </w:t>
            </w:r>
            <w:r w:rsidR="003F635E">
              <w:rPr>
                <w:sz w:val="24"/>
              </w:rPr>
              <w:t>Cubic Feet</w:t>
            </w:r>
            <w:r w:rsidR="009442FC" w:rsidRPr="009442FC">
              <w:rPr>
                <w:sz w:val="24"/>
              </w:rPr>
              <w:t xml:space="preserve"> Estimate</w:t>
            </w:r>
          </w:p>
        </w:tc>
        <w:tc>
          <w:tcPr>
            <w:tcW w:w="1620" w:type="dxa"/>
            <w:tcBorders>
              <w:bottom w:val="single" w:sz="4" w:space="0" w:color="auto"/>
            </w:tcBorders>
          </w:tcPr>
          <w:p w:rsidR="007B12E3" w:rsidRPr="009442FC" w:rsidRDefault="007B12E3" w:rsidP="00D44466">
            <w:pPr>
              <w:jc w:val="center"/>
              <w:rPr>
                <w:sz w:val="24"/>
              </w:rPr>
            </w:pPr>
          </w:p>
        </w:tc>
        <w:tc>
          <w:tcPr>
            <w:tcW w:w="1807" w:type="dxa"/>
            <w:tcBorders>
              <w:bottom w:val="single" w:sz="4" w:space="0" w:color="auto"/>
            </w:tcBorders>
          </w:tcPr>
          <w:p w:rsidR="007B12E3" w:rsidRPr="009442FC" w:rsidRDefault="007B12E3" w:rsidP="00D44466">
            <w:pPr>
              <w:jc w:val="center"/>
              <w:rPr>
                <w:sz w:val="24"/>
              </w:rPr>
            </w:pPr>
          </w:p>
        </w:tc>
      </w:tr>
      <w:tr w:rsidR="0031587B" w:rsidRPr="009442FC" w:rsidTr="00790C1D">
        <w:tc>
          <w:tcPr>
            <w:tcW w:w="4770" w:type="dxa"/>
            <w:vAlign w:val="bottom"/>
          </w:tcPr>
          <w:p w:rsidR="0031587B" w:rsidRPr="009442FC" w:rsidRDefault="0031587B" w:rsidP="003F635E">
            <w:pPr>
              <w:rPr>
                <w:sz w:val="24"/>
              </w:rPr>
            </w:pPr>
            <w:r>
              <w:rPr>
                <w:sz w:val="24"/>
              </w:rPr>
              <w:t>Base Meter</w:t>
            </w:r>
          </w:p>
        </w:tc>
        <w:tc>
          <w:tcPr>
            <w:tcW w:w="1620" w:type="dxa"/>
            <w:tcBorders>
              <w:bottom w:val="single" w:sz="4" w:space="0" w:color="auto"/>
            </w:tcBorders>
          </w:tcPr>
          <w:p w:rsidR="0031587B" w:rsidRPr="009442FC" w:rsidRDefault="0031587B" w:rsidP="00D44466">
            <w:pPr>
              <w:jc w:val="center"/>
              <w:rPr>
                <w:sz w:val="24"/>
              </w:rPr>
            </w:pPr>
            <w:r w:rsidRPr="009442FC">
              <w:rPr>
                <w:sz w:val="24"/>
              </w:rPr>
              <w:t>$2</w:t>
            </w:r>
            <w:r>
              <w:rPr>
                <w:sz w:val="24"/>
              </w:rPr>
              <w:t>0</w:t>
            </w:r>
            <w:r w:rsidRPr="009442FC">
              <w:rPr>
                <w:sz w:val="24"/>
              </w:rPr>
              <w:t>.00</w:t>
            </w:r>
          </w:p>
        </w:tc>
        <w:tc>
          <w:tcPr>
            <w:tcW w:w="1807" w:type="dxa"/>
            <w:tcBorders>
              <w:bottom w:val="single" w:sz="4" w:space="0" w:color="auto"/>
            </w:tcBorders>
          </w:tcPr>
          <w:p w:rsidR="0031587B" w:rsidRPr="009442FC" w:rsidRDefault="0031587B" w:rsidP="00D44466">
            <w:pPr>
              <w:jc w:val="center"/>
              <w:rPr>
                <w:sz w:val="24"/>
              </w:rPr>
            </w:pPr>
            <w:r w:rsidRPr="009442FC">
              <w:rPr>
                <w:sz w:val="24"/>
              </w:rPr>
              <w:t>$</w:t>
            </w:r>
            <w:r>
              <w:rPr>
                <w:sz w:val="24"/>
              </w:rPr>
              <w:t>29.55</w:t>
            </w:r>
          </w:p>
        </w:tc>
      </w:tr>
      <w:tr w:rsidR="0031587B" w:rsidRPr="009442FC" w:rsidTr="00031B0B">
        <w:tc>
          <w:tcPr>
            <w:tcW w:w="4770" w:type="dxa"/>
            <w:vAlign w:val="bottom"/>
          </w:tcPr>
          <w:p w:rsidR="0031587B" w:rsidRPr="009442FC" w:rsidRDefault="0031587B" w:rsidP="003F635E">
            <w:pPr>
              <w:rPr>
                <w:sz w:val="24"/>
              </w:rPr>
            </w:pPr>
            <w:r w:rsidRPr="009442FC">
              <w:rPr>
                <w:sz w:val="24"/>
              </w:rPr>
              <w:t xml:space="preserve">500 </w:t>
            </w:r>
            <w:r>
              <w:rPr>
                <w:sz w:val="24"/>
              </w:rPr>
              <w:t>Cubic Feet</w:t>
            </w:r>
          </w:p>
        </w:tc>
        <w:tc>
          <w:tcPr>
            <w:tcW w:w="1620" w:type="dxa"/>
            <w:tcBorders>
              <w:bottom w:val="single" w:sz="4" w:space="0" w:color="auto"/>
            </w:tcBorders>
            <w:vAlign w:val="bottom"/>
          </w:tcPr>
          <w:p w:rsidR="0031587B" w:rsidRPr="009442FC" w:rsidRDefault="0031587B" w:rsidP="00D44466">
            <w:pPr>
              <w:jc w:val="center"/>
              <w:rPr>
                <w:sz w:val="24"/>
              </w:rPr>
            </w:pPr>
            <w:r w:rsidRPr="009442FC">
              <w:rPr>
                <w:sz w:val="24"/>
              </w:rPr>
              <w:t>$</w:t>
            </w:r>
            <w:r>
              <w:rPr>
                <w:sz w:val="24"/>
              </w:rPr>
              <w:t>3</w:t>
            </w:r>
            <w:r w:rsidRPr="009442FC">
              <w:rPr>
                <w:sz w:val="24"/>
              </w:rPr>
              <w:t>.</w:t>
            </w:r>
            <w:r>
              <w:rPr>
                <w:sz w:val="24"/>
              </w:rPr>
              <w:t>5</w:t>
            </w:r>
            <w:r w:rsidRPr="009442FC">
              <w:rPr>
                <w:sz w:val="24"/>
              </w:rPr>
              <w:t>0</w:t>
            </w:r>
          </w:p>
        </w:tc>
        <w:tc>
          <w:tcPr>
            <w:tcW w:w="1807" w:type="dxa"/>
            <w:tcBorders>
              <w:bottom w:val="single" w:sz="4" w:space="0" w:color="auto"/>
            </w:tcBorders>
            <w:vAlign w:val="bottom"/>
          </w:tcPr>
          <w:p w:rsidR="0031587B" w:rsidRPr="009442FC" w:rsidRDefault="0031587B" w:rsidP="00D44466">
            <w:pPr>
              <w:jc w:val="center"/>
              <w:rPr>
                <w:sz w:val="24"/>
              </w:rPr>
            </w:pPr>
            <w:r w:rsidRPr="009442FC">
              <w:rPr>
                <w:sz w:val="24"/>
              </w:rPr>
              <w:t>$5.</w:t>
            </w:r>
            <w:r>
              <w:rPr>
                <w:sz w:val="24"/>
              </w:rPr>
              <w:t>1</w:t>
            </w:r>
            <w:r w:rsidRPr="009442FC">
              <w:rPr>
                <w:sz w:val="24"/>
              </w:rPr>
              <w:t>5</w:t>
            </w:r>
          </w:p>
        </w:tc>
      </w:tr>
      <w:tr w:rsidR="0031587B" w:rsidRPr="009442FC" w:rsidTr="00031B0B">
        <w:tc>
          <w:tcPr>
            <w:tcW w:w="4770" w:type="dxa"/>
            <w:tcBorders>
              <w:right w:val="single" w:sz="4" w:space="0" w:color="auto"/>
            </w:tcBorders>
            <w:vAlign w:val="bottom"/>
          </w:tcPr>
          <w:p w:rsidR="0031587B" w:rsidRPr="009442FC" w:rsidRDefault="0031587B" w:rsidP="00615FDB">
            <w:pPr>
              <w:rPr>
                <w:sz w:val="24"/>
              </w:rPr>
            </w:pPr>
            <w:r>
              <w:rPr>
                <w:sz w:val="24"/>
              </w:rPr>
              <w:t>352</w:t>
            </w:r>
            <w:r w:rsidRPr="009442FC">
              <w:rPr>
                <w:sz w:val="24"/>
              </w:rPr>
              <w:t xml:space="preserve"> </w:t>
            </w:r>
            <w:r>
              <w:rPr>
                <w:sz w:val="24"/>
              </w:rPr>
              <w:t>Cubic Feet</w:t>
            </w:r>
          </w:p>
        </w:tc>
        <w:tc>
          <w:tcPr>
            <w:tcW w:w="1620" w:type="dxa"/>
            <w:tcBorders>
              <w:top w:val="single" w:sz="4" w:space="0" w:color="auto"/>
              <w:left w:val="single" w:sz="4" w:space="0" w:color="auto"/>
              <w:bottom w:val="single" w:sz="4" w:space="0" w:color="auto"/>
              <w:right w:val="single" w:sz="4" w:space="0" w:color="auto"/>
            </w:tcBorders>
            <w:vAlign w:val="bottom"/>
          </w:tcPr>
          <w:p w:rsidR="0031587B" w:rsidRPr="009442FC" w:rsidRDefault="0031587B" w:rsidP="00615FDB">
            <w:pPr>
              <w:jc w:val="center"/>
              <w:rPr>
                <w:sz w:val="24"/>
              </w:rPr>
            </w:pPr>
            <w:r w:rsidRPr="009442FC">
              <w:rPr>
                <w:sz w:val="24"/>
              </w:rPr>
              <w:t>$</w:t>
            </w:r>
            <w:r>
              <w:rPr>
                <w:sz w:val="24"/>
              </w:rPr>
              <w:t>4.05</w:t>
            </w:r>
          </w:p>
        </w:tc>
        <w:tc>
          <w:tcPr>
            <w:tcW w:w="1807" w:type="dxa"/>
            <w:tcBorders>
              <w:top w:val="single" w:sz="4" w:space="0" w:color="auto"/>
              <w:left w:val="single" w:sz="4" w:space="0" w:color="auto"/>
              <w:bottom w:val="single" w:sz="4" w:space="0" w:color="auto"/>
              <w:right w:val="single" w:sz="4" w:space="0" w:color="auto"/>
            </w:tcBorders>
            <w:vAlign w:val="bottom"/>
          </w:tcPr>
          <w:p w:rsidR="0031587B" w:rsidRPr="009442FC" w:rsidRDefault="0031587B" w:rsidP="00615FDB">
            <w:pPr>
              <w:jc w:val="center"/>
              <w:rPr>
                <w:sz w:val="24"/>
              </w:rPr>
            </w:pPr>
            <w:r w:rsidRPr="009442FC">
              <w:rPr>
                <w:sz w:val="24"/>
              </w:rPr>
              <w:t>$</w:t>
            </w:r>
            <w:r>
              <w:rPr>
                <w:sz w:val="24"/>
              </w:rPr>
              <w:t>5.98</w:t>
            </w:r>
          </w:p>
        </w:tc>
      </w:tr>
      <w:tr w:rsidR="0031587B" w:rsidRPr="009442FC" w:rsidTr="006174D3">
        <w:tc>
          <w:tcPr>
            <w:tcW w:w="4770" w:type="dxa"/>
            <w:tcBorders>
              <w:right w:val="single" w:sz="4" w:space="0" w:color="auto"/>
            </w:tcBorders>
            <w:vAlign w:val="bottom"/>
          </w:tcPr>
          <w:p w:rsidR="0031587B" w:rsidRPr="009442FC" w:rsidRDefault="0031587B" w:rsidP="0099378A">
            <w:pPr>
              <w:jc w:val="center"/>
              <w:rPr>
                <w:sz w:val="24"/>
              </w:rPr>
            </w:pPr>
            <w:r w:rsidRPr="009442FC">
              <w:rPr>
                <w:sz w:val="24"/>
              </w:rPr>
              <w:t>Average Monthly Bill</w:t>
            </w:r>
          </w:p>
        </w:tc>
        <w:tc>
          <w:tcPr>
            <w:tcW w:w="1620" w:type="dxa"/>
            <w:tcBorders>
              <w:top w:val="single" w:sz="18" w:space="0" w:color="auto"/>
              <w:left w:val="single" w:sz="4" w:space="0" w:color="auto"/>
              <w:bottom w:val="single" w:sz="4" w:space="0" w:color="auto"/>
              <w:right w:val="single" w:sz="4" w:space="0" w:color="auto"/>
            </w:tcBorders>
            <w:vAlign w:val="bottom"/>
          </w:tcPr>
          <w:p w:rsidR="0031587B" w:rsidRPr="009442FC" w:rsidRDefault="0031587B" w:rsidP="00615FDB">
            <w:pPr>
              <w:jc w:val="center"/>
              <w:rPr>
                <w:sz w:val="24"/>
              </w:rPr>
            </w:pPr>
            <w:r w:rsidRPr="009442FC">
              <w:rPr>
                <w:sz w:val="24"/>
              </w:rPr>
              <w:t>$2</w:t>
            </w:r>
            <w:r>
              <w:rPr>
                <w:sz w:val="24"/>
              </w:rPr>
              <w:t>7.55</w:t>
            </w:r>
          </w:p>
        </w:tc>
        <w:tc>
          <w:tcPr>
            <w:tcW w:w="1807" w:type="dxa"/>
            <w:tcBorders>
              <w:top w:val="single" w:sz="18" w:space="0" w:color="auto"/>
              <w:left w:val="single" w:sz="4" w:space="0" w:color="auto"/>
              <w:bottom w:val="single" w:sz="4" w:space="0" w:color="auto"/>
              <w:right w:val="single" w:sz="4" w:space="0" w:color="auto"/>
            </w:tcBorders>
            <w:vAlign w:val="bottom"/>
          </w:tcPr>
          <w:p w:rsidR="0031587B" w:rsidRPr="009442FC" w:rsidRDefault="0031587B" w:rsidP="00615FDB">
            <w:pPr>
              <w:jc w:val="center"/>
              <w:rPr>
                <w:sz w:val="24"/>
              </w:rPr>
            </w:pPr>
            <w:r w:rsidRPr="009442FC">
              <w:rPr>
                <w:sz w:val="24"/>
              </w:rPr>
              <w:t>$</w:t>
            </w:r>
            <w:r>
              <w:rPr>
                <w:sz w:val="24"/>
              </w:rPr>
              <w:t>40.68</w:t>
            </w:r>
          </w:p>
        </w:tc>
      </w:tr>
      <w:tr w:rsidR="0031587B" w:rsidRPr="009442FC" w:rsidTr="006174D3">
        <w:tblPrEx>
          <w:tblLook w:val="01E0"/>
        </w:tblPrEx>
        <w:tc>
          <w:tcPr>
            <w:tcW w:w="4770" w:type="dxa"/>
            <w:vAlign w:val="bottom"/>
          </w:tcPr>
          <w:p w:rsidR="0031587B" w:rsidRPr="009442FC" w:rsidRDefault="0031587B" w:rsidP="003749A9">
            <w:pPr>
              <w:rPr>
                <w:sz w:val="24"/>
              </w:rPr>
            </w:pPr>
            <w:r w:rsidRPr="007C07AE">
              <w:rPr>
                <w:sz w:val="24"/>
              </w:rPr>
              <w:t>Increase From Current Rates</w:t>
            </w:r>
          </w:p>
        </w:tc>
        <w:tc>
          <w:tcPr>
            <w:tcW w:w="1620" w:type="dxa"/>
            <w:tcBorders>
              <w:top w:val="single" w:sz="4" w:space="0" w:color="auto"/>
            </w:tcBorders>
            <w:vAlign w:val="bottom"/>
          </w:tcPr>
          <w:p w:rsidR="0031587B" w:rsidRPr="009442FC" w:rsidRDefault="0031587B" w:rsidP="003749A9">
            <w:pPr>
              <w:jc w:val="center"/>
              <w:rPr>
                <w:sz w:val="24"/>
              </w:rPr>
            </w:pPr>
          </w:p>
        </w:tc>
        <w:tc>
          <w:tcPr>
            <w:tcW w:w="1807" w:type="dxa"/>
            <w:tcBorders>
              <w:top w:val="single" w:sz="4" w:space="0" w:color="auto"/>
            </w:tcBorders>
            <w:vAlign w:val="bottom"/>
          </w:tcPr>
          <w:p w:rsidR="0031587B" w:rsidRPr="009442FC" w:rsidRDefault="0031587B" w:rsidP="00D44466">
            <w:pPr>
              <w:jc w:val="center"/>
              <w:rPr>
                <w:sz w:val="24"/>
              </w:rPr>
            </w:pPr>
            <w:r w:rsidRPr="007C07AE">
              <w:rPr>
                <w:sz w:val="24"/>
              </w:rPr>
              <w:t>(</w:t>
            </w:r>
            <w:r>
              <w:rPr>
                <w:sz w:val="24"/>
              </w:rPr>
              <w:t>47.7</w:t>
            </w:r>
            <w:r w:rsidRPr="007C07AE">
              <w:rPr>
                <w:sz w:val="24"/>
              </w:rPr>
              <w:t>%)</w:t>
            </w:r>
          </w:p>
        </w:tc>
      </w:tr>
    </w:tbl>
    <w:p w:rsidR="00CD2C06" w:rsidRPr="009442FC" w:rsidRDefault="00CD2C06" w:rsidP="00CD2C06">
      <w:pPr>
        <w:jc w:val="center"/>
        <w:rPr>
          <w:sz w:val="24"/>
        </w:rPr>
      </w:pPr>
    </w:p>
    <w:p w:rsidR="0025167B" w:rsidRPr="009442FC" w:rsidRDefault="0025167B" w:rsidP="002516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9442FC">
        <w:rPr>
          <w:sz w:val="24"/>
        </w:rPr>
        <w:t xml:space="preserve">Commission staff has not yet completed its review of </w:t>
      </w:r>
      <w:r w:rsidR="003F635E">
        <w:rPr>
          <w:sz w:val="24"/>
        </w:rPr>
        <w:t>South Bainbridge</w:t>
      </w:r>
      <w:r w:rsidRPr="009442FC">
        <w:rPr>
          <w:sz w:val="24"/>
        </w:rPr>
        <w:t>’s supporting financial documents, books and records.</w:t>
      </w:r>
    </w:p>
    <w:p w:rsidR="0025167B" w:rsidRPr="009442FC" w:rsidRDefault="0025167B" w:rsidP="002516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25167B" w:rsidRPr="002D6209" w:rsidRDefault="0025167B" w:rsidP="002516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2D6209">
        <w:rPr>
          <w:b/>
          <w:sz w:val="24"/>
          <w:u w:val="single"/>
        </w:rPr>
        <w:t>Conclusion</w:t>
      </w:r>
    </w:p>
    <w:p w:rsidR="0025167B" w:rsidRPr="002D6209" w:rsidRDefault="0025167B" w:rsidP="002516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D2C06" w:rsidRPr="00CD2C06" w:rsidRDefault="0025167B" w:rsidP="0025167B">
      <w:pPr>
        <w:pStyle w:val="NoSpacing"/>
        <w:rPr>
          <w:b/>
          <w:u w:val="single"/>
        </w:rPr>
      </w:pPr>
      <w:r w:rsidRPr="002D6209">
        <w:rPr>
          <w:rFonts w:eastAsia="Calibri"/>
        </w:rPr>
        <w:t>Take no action on this filing</w:t>
      </w:r>
      <w:r>
        <w:rPr>
          <w:rFonts w:eastAsia="Calibri"/>
        </w:rPr>
        <w:t xml:space="preserve"> at this time to allow for customer comments</w:t>
      </w:r>
      <w:r w:rsidRPr="002D6209">
        <w:rPr>
          <w:rFonts w:eastAsia="Calibri"/>
        </w:rPr>
        <w:t>.</w:t>
      </w:r>
    </w:p>
    <w:sectPr w:rsidR="00CD2C06" w:rsidRPr="00CD2C06" w:rsidSect="00883D6C">
      <w:headerReference w:type="default" r:id="rId13"/>
      <w:pgSz w:w="12240" w:h="15840" w:code="1"/>
      <w:pgMar w:top="1440" w:right="1440" w:bottom="1440" w:left="1440" w:header="576"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DE4" w:rsidRDefault="00960DE4" w:rsidP="0025167B">
      <w:r>
        <w:separator/>
      </w:r>
    </w:p>
  </w:endnote>
  <w:endnote w:type="continuationSeparator" w:id="1">
    <w:p w:rsidR="00960DE4" w:rsidRDefault="00960DE4" w:rsidP="002516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DE4" w:rsidRDefault="00960DE4" w:rsidP="0025167B">
      <w:r>
        <w:separator/>
      </w:r>
    </w:p>
  </w:footnote>
  <w:footnote w:type="continuationSeparator" w:id="1">
    <w:p w:rsidR="00960DE4" w:rsidRDefault="00960DE4" w:rsidP="002516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DE4" w:rsidRPr="00F04770" w:rsidRDefault="00960DE4">
    <w:pPr>
      <w:spacing w:line="238" w:lineRule="auto"/>
    </w:pPr>
    <w:r w:rsidRPr="00F04770">
      <w:t>Docket UW-0</w:t>
    </w:r>
    <w:r>
      <w:t>90154</w:t>
    </w:r>
  </w:p>
  <w:p w:rsidR="00960DE4" w:rsidRPr="00FE0AD1" w:rsidRDefault="00960DE4">
    <w:pPr>
      <w:spacing w:line="238" w:lineRule="auto"/>
    </w:pPr>
    <w:r>
      <w:t>February 12, 2009</w:t>
    </w:r>
  </w:p>
  <w:p w:rsidR="00960DE4" w:rsidRDefault="00960DE4">
    <w:pPr>
      <w:spacing w:line="238" w:lineRule="auto"/>
      <w:rPr>
        <w:rFonts w:ascii="Palatino Linotype" w:hAnsi="Palatino Linotype"/>
      </w:rPr>
    </w:pPr>
    <w:r w:rsidRPr="00FE0AD1">
      <w:t>Page</w:t>
    </w:r>
    <w:r>
      <w:t xml:space="preserve"> </w:t>
    </w:r>
    <w:fldSimple w:instr=" PAGE   \* MERGEFORMAT ">
      <w:r w:rsidR="00F4602A">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E5C1C"/>
    <w:multiLevelType w:val="hybridMultilevel"/>
    <w:tmpl w:val="7F3EF2D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6565033"/>
    <w:multiLevelType w:val="hybridMultilevel"/>
    <w:tmpl w:val="EC563C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6EC1907"/>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5A6C1845"/>
    <w:multiLevelType w:val="multilevel"/>
    <w:tmpl w:val="59E4E85A"/>
    <w:lvl w:ilvl="0">
      <w:start w:val="1"/>
      <w:numFmt w:val="decimal"/>
      <w:pStyle w:val="Jim1"/>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2"/>
  </w:num>
  <w:num w:numId="2">
    <w:abstractNumId w:val="3"/>
  </w:num>
  <w:num w:numId="3">
    <w:abstractNumId w:val="2"/>
  </w:num>
  <w:num w:numId="4">
    <w:abstractNumId w:val="3"/>
  </w:num>
  <w:num w:numId="5">
    <w:abstractNumId w:val="0"/>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hideSpellingErrors/>
  <w:hideGrammaticalErrors/>
  <w:stylePaneFormatFilter w:val="3F04"/>
  <w:defaultTabStop w:val="720"/>
  <w:drawingGridHorizontalSpacing w:val="100"/>
  <w:displayHorizontalDrawingGridEvery w:val="2"/>
  <w:displayVerticalDrawingGridEvery w:val="2"/>
  <w:characterSpacingControl w:val="doNotCompress"/>
  <w:hdrShapeDefaults>
    <o:shapedefaults v:ext="edit" spidmax="73729"/>
  </w:hdrShapeDefaults>
  <w:footnotePr>
    <w:footnote w:id="0"/>
    <w:footnote w:id="1"/>
  </w:footnotePr>
  <w:endnotePr>
    <w:endnote w:id="0"/>
    <w:endnote w:id="1"/>
  </w:endnotePr>
  <w:compat/>
  <w:rsids>
    <w:rsidRoot w:val="007A1E8A"/>
    <w:rsid w:val="00000298"/>
    <w:rsid w:val="00031B0B"/>
    <w:rsid w:val="00061941"/>
    <w:rsid w:val="00087518"/>
    <w:rsid w:val="000A4E63"/>
    <w:rsid w:val="000A77BE"/>
    <w:rsid w:val="000B63F2"/>
    <w:rsid w:val="000E5046"/>
    <w:rsid w:val="00124C4D"/>
    <w:rsid w:val="0012621B"/>
    <w:rsid w:val="001329DE"/>
    <w:rsid w:val="001343E5"/>
    <w:rsid w:val="00151379"/>
    <w:rsid w:val="001763AC"/>
    <w:rsid w:val="00180CD5"/>
    <w:rsid w:val="001B22B6"/>
    <w:rsid w:val="001C5AB1"/>
    <w:rsid w:val="001F4371"/>
    <w:rsid w:val="00234716"/>
    <w:rsid w:val="00250113"/>
    <w:rsid w:val="0025167B"/>
    <w:rsid w:val="00251A5F"/>
    <w:rsid w:val="00264389"/>
    <w:rsid w:val="002675D5"/>
    <w:rsid w:val="00282042"/>
    <w:rsid w:val="00282318"/>
    <w:rsid w:val="002A0205"/>
    <w:rsid w:val="002B4E8D"/>
    <w:rsid w:val="002C039A"/>
    <w:rsid w:val="002E036E"/>
    <w:rsid w:val="00305CA8"/>
    <w:rsid w:val="00312771"/>
    <w:rsid w:val="0031587B"/>
    <w:rsid w:val="003351DF"/>
    <w:rsid w:val="003415EA"/>
    <w:rsid w:val="0035578F"/>
    <w:rsid w:val="003749A9"/>
    <w:rsid w:val="00385062"/>
    <w:rsid w:val="003A06C1"/>
    <w:rsid w:val="003A118B"/>
    <w:rsid w:val="003B19D4"/>
    <w:rsid w:val="003B23B1"/>
    <w:rsid w:val="003E1936"/>
    <w:rsid w:val="003F635E"/>
    <w:rsid w:val="004057C8"/>
    <w:rsid w:val="004139D4"/>
    <w:rsid w:val="00423207"/>
    <w:rsid w:val="004500CC"/>
    <w:rsid w:val="00477D84"/>
    <w:rsid w:val="004A6298"/>
    <w:rsid w:val="004C5110"/>
    <w:rsid w:val="004D576C"/>
    <w:rsid w:val="004E4EDE"/>
    <w:rsid w:val="005116FF"/>
    <w:rsid w:val="005127CE"/>
    <w:rsid w:val="00523CC1"/>
    <w:rsid w:val="00532185"/>
    <w:rsid w:val="00540838"/>
    <w:rsid w:val="005569FE"/>
    <w:rsid w:val="00560E30"/>
    <w:rsid w:val="00575D19"/>
    <w:rsid w:val="005A121A"/>
    <w:rsid w:val="005B75E7"/>
    <w:rsid w:val="005C6C85"/>
    <w:rsid w:val="005D056E"/>
    <w:rsid w:val="005E1025"/>
    <w:rsid w:val="00615FDB"/>
    <w:rsid w:val="006174D3"/>
    <w:rsid w:val="00652758"/>
    <w:rsid w:val="00661EF4"/>
    <w:rsid w:val="0066387D"/>
    <w:rsid w:val="006741E6"/>
    <w:rsid w:val="00677A86"/>
    <w:rsid w:val="006973EA"/>
    <w:rsid w:val="006B63DB"/>
    <w:rsid w:val="006D7CA2"/>
    <w:rsid w:val="006F3B38"/>
    <w:rsid w:val="006F747B"/>
    <w:rsid w:val="006F7629"/>
    <w:rsid w:val="007A1E8A"/>
    <w:rsid w:val="007B12E3"/>
    <w:rsid w:val="007C07AE"/>
    <w:rsid w:val="007F1BFD"/>
    <w:rsid w:val="00813509"/>
    <w:rsid w:val="00842A35"/>
    <w:rsid w:val="00857031"/>
    <w:rsid w:val="008812B7"/>
    <w:rsid w:val="00883D6C"/>
    <w:rsid w:val="00885DA8"/>
    <w:rsid w:val="00893271"/>
    <w:rsid w:val="008B07F0"/>
    <w:rsid w:val="008C50E3"/>
    <w:rsid w:val="008D74ED"/>
    <w:rsid w:val="008F53D4"/>
    <w:rsid w:val="00914BFF"/>
    <w:rsid w:val="00927207"/>
    <w:rsid w:val="009372C3"/>
    <w:rsid w:val="009442FC"/>
    <w:rsid w:val="00950B87"/>
    <w:rsid w:val="00952CE2"/>
    <w:rsid w:val="00960DE4"/>
    <w:rsid w:val="0099065C"/>
    <w:rsid w:val="0099378A"/>
    <w:rsid w:val="009B6778"/>
    <w:rsid w:val="009D5F02"/>
    <w:rsid w:val="009D690F"/>
    <w:rsid w:val="009E7811"/>
    <w:rsid w:val="009F5DF8"/>
    <w:rsid w:val="00A21A0E"/>
    <w:rsid w:val="00A31AD5"/>
    <w:rsid w:val="00A4211A"/>
    <w:rsid w:val="00A832EA"/>
    <w:rsid w:val="00A84C2A"/>
    <w:rsid w:val="00AD6CE8"/>
    <w:rsid w:val="00AF310A"/>
    <w:rsid w:val="00B1264B"/>
    <w:rsid w:val="00B17750"/>
    <w:rsid w:val="00B224E8"/>
    <w:rsid w:val="00B472DC"/>
    <w:rsid w:val="00B5447F"/>
    <w:rsid w:val="00B96D54"/>
    <w:rsid w:val="00BE7260"/>
    <w:rsid w:val="00BF1F7D"/>
    <w:rsid w:val="00BF4B8A"/>
    <w:rsid w:val="00C21574"/>
    <w:rsid w:val="00C47BDF"/>
    <w:rsid w:val="00CA722D"/>
    <w:rsid w:val="00CC3A14"/>
    <w:rsid w:val="00CD2C06"/>
    <w:rsid w:val="00CD386B"/>
    <w:rsid w:val="00CD7851"/>
    <w:rsid w:val="00CD791C"/>
    <w:rsid w:val="00CE1E2E"/>
    <w:rsid w:val="00CE23F6"/>
    <w:rsid w:val="00CE44AB"/>
    <w:rsid w:val="00CF26EA"/>
    <w:rsid w:val="00D12D1E"/>
    <w:rsid w:val="00D16760"/>
    <w:rsid w:val="00D24C81"/>
    <w:rsid w:val="00D44466"/>
    <w:rsid w:val="00D84B8F"/>
    <w:rsid w:val="00D915CD"/>
    <w:rsid w:val="00DB2FA0"/>
    <w:rsid w:val="00DC25CD"/>
    <w:rsid w:val="00DD2A47"/>
    <w:rsid w:val="00DF382C"/>
    <w:rsid w:val="00E3574F"/>
    <w:rsid w:val="00E9086E"/>
    <w:rsid w:val="00EC79ED"/>
    <w:rsid w:val="00ED1745"/>
    <w:rsid w:val="00F4471A"/>
    <w:rsid w:val="00F4602A"/>
    <w:rsid w:val="00FC1F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page number" w:semiHidden="1" w:unhideWhenUsed="1"/>
    <w:lsdException w:name="Title" w:qFormat="1"/>
    <w:lsdException w:name="Default Paragraph Font" w:semiHidden="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2C06"/>
    <w:pPr>
      <w:widowControl w:val="0"/>
      <w:autoSpaceDE w:val="0"/>
      <w:autoSpaceDN w:val="0"/>
      <w:adjustRightInd w:val="0"/>
    </w:pPr>
    <w:rPr>
      <w:rFonts w:eastAsia="Times New Roman"/>
      <w:sz w:val="20"/>
    </w:rPr>
  </w:style>
  <w:style w:type="paragraph" w:styleId="Heading1">
    <w:name w:val="heading 1"/>
    <w:basedOn w:val="Normal"/>
    <w:next w:val="Normal"/>
    <w:link w:val="Heading1Char"/>
    <w:qFormat/>
    <w:rsid w:val="008F53D4"/>
    <w:pPr>
      <w:keepNext/>
      <w:widowControl/>
      <w:autoSpaceDE/>
      <w:autoSpaceDN/>
      <w:adjustRightInd/>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3D4"/>
  </w:style>
  <w:style w:type="character" w:customStyle="1" w:styleId="Heading1Char">
    <w:name w:val="Heading 1 Char"/>
    <w:basedOn w:val="DefaultParagraphFont"/>
    <w:link w:val="Heading1"/>
    <w:rsid w:val="008F53D4"/>
    <w:rPr>
      <w:rFonts w:asciiTheme="majorHAnsi" w:eastAsiaTheme="majorEastAsia" w:hAnsiTheme="majorHAnsi" w:cstheme="majorBidi"/>
      <w:b/>
      <w:bCs/>
      <w:kern w:val="32"/>
      <w:sz w:val="32"/>
      <w:szCs w:val="32"/>
    </w:rPr>
  </w:style>
  <w:style w:type="paragraph" w:styleId="Header">
    <w:name w:val="header"/>
    <w:basedOn w:val="Normal"/>
    <w:link w:val="HeaderChar"/>
    <w:rsid w:val="008F53D4"/>
    <w:pPr>
      <w:widowControl/>
      <w:tabs>
        <w:tab w:val="center" w:pos="4320"/>
        <w:tab w:val="right" w:pos="8640"/>
      </w:tabs>
      <w:autoSpaceDE/>
      <w:autoSpaceDN/>
      <w:adjustRightInd/>
    </w:pPr>
    <w:rPr>
      <w:sz w:val="24"/>
    </w:rPr>
  </w:style>
  <w:style w:type="character" w:customStyle="1" w:styleId="HeaderChar">
    <w:name w:val="Header Char"/>
    <w:basedOn w:val="DefaultParagraphFont"/>
    <w:link w:val="Header"/>
    <w:rsid w:val="008F53D4"/>
    <w:rPr>
      <w:rFonts w:eastAsia="Times New Roman"/>
      <w:sz w:val="24"/>
      <w:szCs w:val="24"/>
    </w:rPr>
  </w:style>
  <w:style w:type="paragraph" w:styleId="Footer">
    <w:name w:val="footer"/>
    <w:basedOn w:val="Normal"/>
    <w:link w:val="FooterChar"/>
    <w:rsid w:val="008F53D4"/>
    <w:pPr>
      <w:widowControl/>
      <w:tabs>
        <w:tab w:val="center" w:pos="4320"/>
        <w:tab w:val="right" w:pos="8640"/>
      </w:tabs>
      <w:autoSpaceDE/>
      <w:autoSpaceDN/>
      <w:adjustRightInd/>
    </w:pPr>
    <w:rPr>
      <w:sz w:val="24"/>
    </w:rPr>
  </w:style>
  <w:style w:type="character" w:customStyle="1" w:styleId="FooterChar">
    <w:name w:val="Footer Char"/>
    <w:basedOn w:val="DefaultParagraphFont"/>
    <w:link w:val="Footer"/>
    <w:rsid w:val="008F53D4"/>
    <w:rPr>
      <w:rFonts w:eastAsia="Times New Roman"/>
      <w:sz w:val="24"/>
      <w:szCs w:val="24"/>
    </w:rPr>
  </w:style>
  <w:style w:type="character" w:styleId="PageNumber">
    <w:name w:val="page number"/>
    <w:basedOn w:val="DefaultParagraphFont"/>
    <w:rsid w:val="008F53D4"/>
  </w:style>
  <w:style w:type="character" w:styleId="Hyperlink">
    <w:name w:val="Hyperlink"/>
    <w:basedOn w:val="DefaultParagraphFont"/>
    <w:rsid w:val="008F53D4"/>
    <w:rPr>
      <w:color w:val="0000FF"/>
      <w:u w:val="single"/>
    </w:rPr>
  </w:style>
  <w:style w:type="character" w:styleId="FollowedHyperlink">
    <w:name w:val="FollowedHyperlink"/>
    <w:basedOn w:val="DefaultParagraphFont"/>
    <w:rsid w:val="008F53D4"/>
    <w:rPr>
      <w:color w:val="800080"/>
      <w:u w:val="single"/>
    </w:rPr>
  </w:style>
  <w:style w:type="paragraph" w:styleId="NormalWeb">
    <w:name w:val="Normal (Web)"/>
    <w:basedOn w:val="Normal"/>
    <w:rsid w:val="008F53D4"/>
    <w:pPr>
      <w:widowControl/>
      <w:autoSpaceDE/>
      <w:autoSpaceDN/>
      <w:adjustRightInd/>
      <w:spacing w:before="100" w:beforeAutospacing="1" w:after="100" w:afterAutospacing="1"/>
    </w:pPr>
    <w:rPr>
      <w:sz w:val="24"/>
    </w:rPr>
  </w:style>
  <w:style w:type="numbering" w:customStyle="1" w:styleId="Style1">
    <w:name w:val="Style1"/>
    <w:basedOn w:val="NoList"/>
    <w:rsid w:val="008F53D4"/>
    <w:pPr>
      <w:numPr>
        <w:numId w:val="1"/>
      </w:numPr>
    </w:pPr>
  </w:style>
  <w:style w:type="paragraph" w:customStyle="1" w:styleId="Jim1">
    <w:name w:val="Jim 1"/>
    <w:basedOn w:val="Normal"/>
    <w:qFormat/>
    <w:rsid w:val="008F53D4"/>
    <w:pPr>
      <w:widowControl/>
      <w:numPr>
        <w:numId w:val="4"/>
      </w:numPr>
      <w:autoSpaceDE/>
      <w:autoSpaceDN/>
      <w:adjustRightInd/>
    </w:pPr>
    <w:rPr>
      <w:b/>
      <w:sz w:val="24"/>
    </w:rPr>
  </w:style>
  <w:style w:type="character" w:styleId="FootnoteReference">
    <w:name w:val="footnote reference"/>
    <w:rsid w:val="00CD2C06"/>
  </w:style>
  <w:style w:type="paragraph" w:styleId="BodyText">
    <w:name w:val="Body Text"/>
    <w:basedOn w:val="Normal"/>
    <w:link w:val="BodyTextChar"/>
    <w:rsid w:val="00CD2C06"/>
    <w:rPr>
      <w:rFonts w:ascii="Courier" w:hAnsi="Courier"/>
      <w:sz w:val="24"/>
    </w:rPr>
  </w:style>
  <w:style w:type="character" w:customStyle="1" w:styleId="BodyTextChar">
    <w:name w:val="Body Text Char"/>
    <w:basedOn w:val="DefaultParagraphFont"/>
    <w:link w:val="BodyText"/>
    <w:rsid w:val="00CD2C06"/>
    <w:rPr>
      <w:rFonts w:ascii="Courier" w:eastAsia="Times New Roman" w:hAnsi="Courier"/>
    </w:rPr>
  </w:style>
  <w:style w:type="character" w:styleId="CommentReference">
    <w:name w:val="annotation reference"/>
    <w:basedOn w:val="DefaultParagraphFont"/>
    <w:rsid w:val="005127CE"/>
    <w:rPr>
      <w:sz w:val="16"/>
      <w:szCs w:val="16"/>
    </w:rPr>
  </w:style>
  <w:style w:type="paragraph" w:styleId="CommentText">
    <w:name w:val="annotation text"/>
    <w:basedOn w:val="Normal"/>
    <w:link w:val="CommentTextChar"/>
    <w:rsid w:val="005127CE"/>
    <w:rPr>
      <w:szCs w:val="20"/>
    </w:rPr>
  </w:style>
  <w:style w:type="character" w:customStyle="1" w:styleId="CommentTextChar">
    <w:name w:val="Comment Text Char"/>
    <w:basedOn w:val="DefaultParagraphFont"/>
    <w:link w:val="CommentText"/>
    <w:rsid w:val="005127CE"/>
    <w:rPr>
      <w:rFonts w:eastAsia="Times New Roman"/>
      <w:sz w:val="20"/>
      <w:szCs w:val="20"/>
    </w:rPr>
  </w:style>
  <w:style w:type="paragraph" w:styleId="CommentSubject">
    <w:name w:val="annotation subject"/>
    <w:basedOn w:val="CommentText"/>
    <w:next w:val="CommentText"/>
    <w:link w:val="CommentSubjectChar"/>
    <w:rsid w:val="005127CE"/>
    <w:rPr>
      <w:b/>
      <w:bCs/>
    </w:rPr>
  </w:style>
  <w:style w:type="character" w:customStyle="1" w:styleId="CommentSubjectChar">
    <w:name w:val="Comment Subject Char"/>
    <w:basedOn w:val="CommentTextChar"/>
    <w:link w:val="CommentSubject"/>
    <w:rsid w:val="005127CE"/>
    <w:rPr>
      <w:b/>
      <w:bCs/>
    </w:rPr>
  </w:style>
  <w:style w:type="paragraph" w:styleId="Revision">
    <w:name w:val="Revision"/>
    <w:hidden/>
    <w:uiPriority w:val="99"/>
    <w:semiHidden/>
    <w:rsid w:val="005127CE"/>
    <w:rPr>
      <w:rFonts w:eastAsia="Times New Roman"/>
      <w:sz w:val="20"/>
    </w:rPr>
  </w:style>
  <w:style w:type="paragraph" w:styleId="BalloonText">
    <w:name w:val="Balloon Text"/>
    <w:basedOn w:val="Normal"/>
    <w:link w:val="BalloonTextChar"/>
    <w:rsid w:val="005127CE"/>
    <w:rPr>
      <w:rFonts w:ascii="Tahoma" w:hAnsi="Tahoma" w:cs="Tahoma"/>
      <w:sz w:val="16"/>
      <w:szCs w:val="16"/>
    </w:rPr>
  </w:style>
  <w:style w:type="character" w:customStyle="1" w:styleId="BalloonTextChar">
    <w:name w:val="Balloon Text Char"/>
    <w:basedOn w:val="DefaultParagraphFont"/>
    <w:link w:val="BalloonText"/>
    <w:rsid w:val="005127CE"/>
    <w:rPr>
      <w:rFonts w:ascii="Tahoma" w:eastAsia="Times New Roman" w:hAnsi="Tahoma" w:cs="Tahoma"/>
      <w:sz w:val="16"/>
      <w:szCs w:val="16"/>
    </w:rPr>
  </w:style>
  <w:style w:type="character" w:customStyle="1" w:styleId="Hypertext">
    <w:name w:val="Hypertext"/>
    <w:rsid w:val="005116FF"/>
    <w:rPr>
      <w:b/>
      <w:bCs/>
      <w:color w:val="008000"/>
      <w:u w:val="single"/>
    </w:rPr>
  </w:style>
</w:styles>
</file>

<file path=word/webSettings.xml><?xml version="1.0" encoding="utf-8"?>
<w:webSettings xmlns:r="http://schemas.openxmlformats.org/officeDocument/2006/relationships" xmlns:w="http://schemas.openxmlformats.org/wordprocessingml/2006/main">
  <w:divs>
    <w:div w:id="37707630">
      <w:bodyDiv w:val="1"/>
      <w:marLeft w:val="0"/>
      <w:marRight w:val="0"/>
      <w:marTop w:val="0"/>
      <w:marBottom w:val="0"/>
      <w:divBdr>
        <w:top w:val="none" w:sz="0" w:space="0" w:color="auto"/>
        <w:left w:val="none" w:sz="0" w:space="0" w:color="auto"/>
        <w:bottom w:val="none" w:sz="0" w:space="0" w:color="auto"/>
        <w:right w:val="none" w:sz="0" w:space="0" w:color="auto"/>
      </w:divBdr>
    </w:div>
    <w:div w:id="108166022">
      <w:bodyDiv w:val="1"/>
      <w:marLeft w:val="0"/>
      <w:marRight w:val="0"/>
      <w:marTop w:val="0"/>
      <w:marBottom w:val="0"/>
      <w:divBdr>
        <w:top w:val="none" w:sz="0" w:space="0" w:color="auto"/>
        <w:left w:val="none" w:sz="0" w:space="0" w:color="auto"/>
        <w:bottom w:val="none" w:sz="0" w:space="0" w:color="auto"/>
        <w:right w:val="none" w:sz="0" w:space="0" w:color="auto"/>
      </w:divBdr>
    </w:div>
    <w:div w:id="518467088">
      <w:bodyDiv w:val="1"/>
      <w:marLeft w:val="0"/>
      <w:marRight w:val="0"/>
      <w:marTop w:val="0"/>
      <w:marBottom w:val="0"/>
      <w:divBdr>
        <w:top w:val="none" w:sz="0" w:space="0" w:color="auto"/>
        <w:left w:val="none" w:sz="0" w:space="0" w:color="auto"/>
        <w:bottom w:val="none" w:sz="0" w:space="0" w:color="auto"/>
        <w:right w:val="none" w:sz="0" w:space="0" w:color="auto"/>
      </w:divBdr>
    </w:div>
    <w:div w:id="2072843050">
      <w:bodyDiv w:val="1"/>
      <w:marLeft w:val="0"/>
      <w:marRight w:val="0"/>
      <w:marTop w:val="0"/>
      <w:marBottom w:val="0"/>
      <w:divBdr>
        <w:top w:val="none" w:sz="0" w:space="0" w:color="auto"/>
        <w:left w:val="none" w:sz="0" w:space="0" w:color="auto"/>
        <w:bottom w:val="none" w:sz="0" w:space="0" w:color="auto"/>
        <w:right w:val="none" w:sz="0" w:space="0" w:color="auto"/>
      </w:divBdr>
    </w:div>
    <w:div w:id="2089038033">
      <w:bodyDiv w:val="1"/>
      <w:marLeft w:val="0"/>
      <w:marRight w:val="0"/>
      <w:marTop w:val="0"/>
      <w:marBottom w:val="0"/>
      <w:divBdr>
        <w:top w:val="none" w:sz="0" w:space="0" w:color="auto"/>
        <w:left w:val="none" w:sz="0" w:space="0" w:color="auto"/>
        <w:bottom w:val="none" w:sz="0" w:space="0" w:color="auto"/>
        <w:right w:val="none" w:sz="0" w:space="0" w:color="auto"/>
      </w:divBdr>
    </w:div>
    <w:div w:id="209269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tc.wa.gov/water"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68DE7C1780244A882FBB8D08922087" ma:contentTypeVersion="131" ma:contentTypeDescription="" ma:contentTypeScope="" ma:versionID="f5fbfa5484f144cda69e41644c9998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2009-01-28T08:00:00+00:00</OpenedDate>
    <Date1 xmlns="dc463f71-b30c-4ab2-9473-d307f9d35888">2009-02-12T08:00:00+00:00</Date1>
    <IsDocumentOrder xmlns="dc463f71-b30c-4ab2-9473-d307f9d35888" xsi:nil="true"/>
    <IsHighlyConfidential xmlns="dc463f71-b30c-4ab2-9473-d307f9d35888">false</IsHighlyConfidential>
    <CaseCompanyNames xmlns="dc463f71-b30c-4ab2-9473-d307f9d35888">South Bainbridge Water System, Inc.</CaseCompanyNames>
    <DocketNumber xmlns="dc463f71-b30c-4ab2-9473-d307f9d35888">090154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32E1A-A4C1-4029-A469-DBA614FD2880}"/>
</file>

<file path=customXml/itemProps2.xml><?xml version="1.0" encoding="utf-8"?>
<ds:datastoreItem xmlns:ds="http://schemas.openxmlformats.org/officeDocument/2006/customXml" ds:itemID="{D52592B9-DF6E-4343-83F7-4C4C248A99F2}"/>
</file>

<file path=customXml/itemProps3.xml><?xml version="1.0" encoding="utf-8"?>
<ds:datastoreItem xmlns:ds="http://schemas.openxmlformats.org/officeDocument/2006/customXml" ds:itemID="{08D54D9C-07F2-4167-82DF-D42159784E42}"/>
</file>

<file path=customXml/itemProps4.xml><?xml version="1.0" encoding="utf-8"?>
<ds:datastoreItem xmlns:ds="http://schemas.openxmlformats.org/officeDocument/2006/customXml" ds:itemID="{64D9007D-74F3-42F9-B6A4-35A5EC0D987E}"/>
</file>

<file path=customXml/itemProps5.xml><?xml version="1.0" encoding="utf-8"?>
<ds:datastoreItem xmlns:ds="http://schemas.openxmlformats.org/officeDocument/2006/customXml" ds:itemID="{722AFE46-1AAA-471A-A78E-5B88B8026392}"/>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UW-082113 Memo</vt:lpstr>
    </vt:vector>
  </TitlesOfParts>
  <Company>Washington Utilities and Transportation Commission</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UW-082113 Memo</dc:title>
  <dc:subject/>
  <dc:creator>JWard</dc:creator>
  <cp:keywords/>
  <dc:description/>
  <cp:lastModifiedBy>Lisa Wyse, Records Manager</cp:lastModifiedBy>
  <cp:revision>2</cp:revision>
  <cp:lastPrinted>2008-12-19T18:53:00Z</cp:lastPrinted>
  <dcterms:created xsi:type="dcterms:W3CDTF">2009-02-10T00:21:00Z</dcterms:created>
  <dcterms:modified xsi:type="dcterms:W3CDTF">2009-02-10T00:21:00Z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0x0101006E56B4D1795A2E4DB2F0B01679ED314A002668DE7C1780244A882FBB8D08922087</vt:lpwstr>
  </property>
  <property fmtid="{D5CDD505-2E9C-101B-9397-08002B2CF9AE}" pid="3" name="_docset_NoMedatataSyncRequired">
    <vt:lpwstr>False</vt:lpwstr>
  </property>
</Properties>
</file>